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b/>
          <w:sz w:val="44"/>
          <w:lang w:val="en-GB"/>
        </w:rPr>
        <w:t>1 Tools and Techniques</w:t>
      </w:r>
    </w:p>
    <w:p>
      <w:pPr>
        <w:keepNext w:val="0"/>
        <w:spacing w:after="140" w:line="278" w:lineRule="auto"/>
      </w:pPr>
      <w:r>
        <w:rPr>
          <w:rFonts w:ascii="Arial" w:hAnsi="Arial" w:eastAsia="Arial" w:cs="Arial"/>
          <w:b w:val="0"/>
          <w:sz w:val="22"/>
          <w:lang w:val="en-GB"/>
        </w:rPr>
        <w:t>This project turns real transactions into customer features, compares models for four analytical tasks, and integrates the selected methods into a web app for uploading data, viewing results and exporting lists. This section introduces the tools and techniques that support this workflow.</w:t>
      </w:r>
    </w:p>
    <w:p>
      <w:pPr>
        <w:pStyle w:val="Heading1"/>
      </w:pPr>
      <w:r>
        <w:rPr>
          <w:rFonts w:ascii="Arial" w:hAnsi="Arial" w:eastAsia="Arial" w:cs="Arial"/>
          <w:b/>
          <w:sz w:val="30"/>
          <w:lang w:val="en-GB"/>
        </w:rPr>
        <w:t>1.1 Background and Objectives</w:t>
      </w:r>
    </w:p>
    <w:p>
      <w:pPr>
        <w:keepNext w:val="0"/>
        <w:spacing w:after="140" w:line="278" w:lineRule="auto"/>
      </w:pPr>
      <w:r>
        <w:rPr>
          <w:rFonts w:ascii="Arial" w:hAnsi="Arial" w:eastAsia="Arial" w:cs="Arial"/>
          <w:b w:val="0"/>
          <w:sz w:val="22"/>
          <w:lang w:val="en-GB"/>
        </w:rPr>
        <w:t xml:space="preserve">E-commerce teams need to understand buying patterns, identify customers likely to purchase again or spend more, and choose products to recommend. The project addresses these needs through four functions: </w:t>
      </w:r>
      <w:r>
        <w:rPr>
          <w:rFonts w:ascii="Arial" w:hAnsi="Arial" w:eastAsia="Arial" w:cs="Arial"/>
          <w:b/>
          <w:sz w:val="22"/>
          <w:lang w:val="en-GB"/>
        </w:rPr>
        <w:t>customer segmentation, 30-day repurchase prediction, spending-potential ranking, and purchase-habit profiles with product recommendations</w:t>
      </w:r>
      <w:r>
        <w:rPr>
          <w:rFonts w:ascii="Arial" w:hAnsi="Arial" w:eastAsia="Arial" w:cs="Arial"/>
          <w:b w:val="0"/>
          <w:sz w:val="22"/>
          <w:lang w:val="en-GB"/>
        </w:rPr>
        <w:t>. All four share the same transaction source and analysis date, while answering different business questions.</w:t>
      </w:r>
    </w:p>
    <w:p>
      <w:pPr>
        <w:pStyle w:val="Heading1"/>
      </w:pPr>
      <w:r>
        <w:rPr>
          <w:rFonts w:ascii="Arial" w:hAnsi="Arial" w:eastAsia="Arial" w:cs="Arial"/>
          <w:b/>
          <w:sz w:val="30"/>
          <w:lang w:val="en-GB"/>
        </w:rPr>
        <w:t>1.2 Main Tools and Their Roles</w:t>
      </w:r>
    </w:p>
    <w:p>
      <w:pPr>
        <w:pStyle w:val="Caption"/>
        <w:keepNext/>
        <w:spacing w:line="264" w:lineRule="auto"/>
        <w:jc w:val="center"/>
      </w:pPr>
      <w:r>
        <w:rPr>
          <w:rFonts w:ascii="Arial" w:hAnsi="Arial" w:eastAsia="Arial" w:cs="Arial"/>
          <w:b w:val="0"/>
          <w:sz w:val="18"/>
          <w:lang w:val="en-GB"/>
        </w:rPr>
        <w:t>Table 1-1 Main tools and their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200"/>
      </w:tblGrid>
      <w:tr>
        <w:trPr>
          <w:cantSplit/>
          <w:tblHeader/>
        </w:trPr>
        <w:tc>
          <w:tcPr>
            <w:tcW w:type="dxa" w:w="2381"/>
            <w:vAlign w:val="center"/>
            <w:shd w:fill="244C78"/>
            <w:tcMar>
              <w:top w:w="90" w:type="dxa"/>
              <w:bottom w:w="90" w:type="dxa"/>
              <w:left w:w="95" w:type="dxa"/>
              <w:right w:w="95" w:type="dxa"/>
            </w:tcMar>
          </w:tcPr>
          <w:p>
            <w:pPr>
              <w:spacing w:before="0" w:after="0" w:line="269" w:lineRule="auto"/>
              <w:jc w:val="center"/>
            </w:pPr>
            <w:r>
              <w:rPr>
                <w:rFonts w:ascii="Arial" w:hAnsi="Arial" w:eastAsia="Arial" w:cs="Arial"/>
                <w:b/>
                <w:color w:val="FFFFFF"/>
                <w:sz w:val="19"/>
                <w:lang w:val="en-GB"/>
                <w:lang w:val="en-GB"/>
              </w:rPr>
              <w:t>Tool</w:t>
            </w:r>
          </w:p>
        </w:tc>
        <w:tc>
          <w:tcPr>
            <w:tcW w:type="dxa" w:w="7200"/>
            <w:vAlign w:val="center"/>
            <w:shd w:fill="244C78"/>
            <w:tcMar>
              <w:top w:w="90" w:type="dxa"/>
              <w:bottom w:w="90" w:type="dxa"/>
              <w:left w:w="95" w:type="dxa"/>
              <w:right w:w="95" w:type="dxa"/>
            </w:tcMar>
          </w:tcPr>
          <w:p>
            <w:pPr>
              <w:spacing w:before="0" w:after="0" w:line="269" w:lineRule="auto"/>
              <w:jc w:val="center"/>
            </w:pPr>
            <w:r>
              <w:rPr>
                <w:rFonts w:ascii="Arial" w:hAnsi="Arial" w:eastAsia="Arial" w:cs="Arial"/>
                <w:b/>
                <w:color w:val="FFFFFF"/>
                <w:sz w:val="19"/>
                <w:lang w:val="en-GB"/>
                <w:lang w:val="en-GB"/>
              </w:rPr>
              <w:t>Role in the project</w:t>
            </w:r>
          </w:p>
        </w:tc>
      </w:tr>
      <w:tr>
        <w:trPr>
          <w:cantSplit/>
        </w:trPr>
        <w:tc>
          <w:tcPr>
            <w:tcW w:type="dxa" w:w="2381"/>
            <w:vAlign w:val="center"/>
            <w:shd w:fill="F3F7FB"/>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Python</w:t>
            </w:r>
          </w:p>
        </w:tc>
        <w:tc>
          <w:tcPr>
            <w:tcW w:type="dxa" w:w="7200"/>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Main language connecting data processing, model training and app analysis.</w:t>
            </w:r>
          </w:p>
        </w:tc>
      </w:tr>
      <w:tr>
        <w:trPr>
          <w:cantSplit/>
        </w:trPr>
        <w:tc>
          <w:tcPr>
            <w:tcW w:type="dxa" w:w="2381"/>
            <w:vAlign w:val="center"/>
            <w:shd w:fill="FFFFFF"/>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Pandas and NumPy</w:t>
            </w:r>
          </w:p>
        </w:tc>
        <w:tc>
          <w:tcPr>
            <w:tcW w:type="dxa" w:w="7200"/>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Read transactions, process dates and missing values, and aggregate features by customer and time window.</w:t>
            </w:r>
          </w:p>
        </w:tc>
      </w:tr>
      <w:tr>
        <w:trPr>
          <w:cantSplit/>
        </w:trPr>
        <w:tc>
          <w:tcPr>
            <w:tcW w:type="dxa" w:w="2381"/>
            <w:vAlign w:val="center"/>
            <w:shd w:fill="F3F7FB"/>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scikit-learn</w:t>
            </w:r>
          </w:p>
        </w:tc>
        <w:tc>
          <w:tcPr>
            <w:tcW w:type="dxa" w:w="7200"/>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Preprocessing, clustering, logistic regression and evaluation metrics.</w:t>
            </w:r>
          </w:p>
        </w:tc>
      </w:tr>
      <w:tr>
        <w:trPr>
          <w:cantSplit/>
        </w:trPr>
        <w:tc>
          <w:tcPr>
            <w:tcW w:type="dxa" w:w="2381"/>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XGBoost and LightGBM</w:t>
            </w:r>
          </w:p>
        </w:tc>
        <w:tc>
          <w:tcPr>
            <w:tcW w:type="dxa" w:w="7200"/>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Train gradient-boosted trees to learn relationships among purchase timing, frequency and spending.</w:t>
            </w:r>
          </w:p>
        </w:tc>
      </w:tr>
      <w:tr>
        <w:trPr>
          <w:cantSplit/>
        </w:trPr>
        <w:tc>
          <w:tcPr>
            <w:tcW w:type="dxa" w:w="2381"/>
            <w:vAlign w:val="center"/>
            <w:shd w:fill="F3F7FB"/>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Streamlit</w:t>
            </w:r>
          </w:p>
        </w:tc>
        <w:tc>
          <w:tcPr>
            <w:tcW w:type="dxa" w:w="7200"/>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Build the import page and four analysis pages, with filtering, charts and list exports.</w:t>
            </w:r>
          </w:p>
        </w:tc>
      </w:tr>
      <w:tr>
        <w:trPr>
          <w:cantSplit/>
        </w:trPr>
        <w:tc>
          <w:tcPr>
            <w:tcW w:type="dxa" w:w="2381"/>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Plotly and Matplotlib</w:t>
            </w:r>
          </w:p>
        </w:tc>
        <w:tc>
          <w:tcPr>
            <w:tcW w:type="dxa" w:w="7200"/>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Interactive app charts and offline experiment figures, respectively.</w:t>
            </w:r>
          </w:p>
        </w:tc>
      </w:tr>
      <w:tr>
        <w:trPr>
          <w:cantSplit/>
        </w:trPr>
        <w:tc>
          <w:tcPr>
            <w:tcW w:type="dxa" w:w="2381"/>
            <w:vAlign w:val="center"/>
            <w:shd w:fill="F3F7FB"/>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Joblib</w:t>
            </w:r>
          </w:p>
        </w:tc>
        <w:tc>
          <w:tcPr>
            <w:tcW w:type="dxa" w:w="7200"/>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Save and load models so the app can reuse the trained methods.</w:t>
            </w:r>
          </w:p>
        </w:tc>
      </w:tr>
      <w:tr>
        <w:trPr>
          <w:cantSplit/>
        </w:trPr>
        <w:tc>
          <w:tcPr>
            <w:tcW w:type="dxa" w:w="2381"/>
            <w:vAlign w:val="center"/>
            <w:shd w:fill="FFFFFF"/>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Git and Git LFS</w:t>
            </w:r>
          </w:p>
        </w:tc>
        <w:tc>
          <w:tcPr>
            <w:tcW w:type="dxa" w:w="7200"/>
            <w:vAlign w:val="center"/>
            <w:shd w:fill="FFFFFF"/>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Version code and manage designated large data, model and result files.</w:t>
            </w:r>
          </w:p>
        </w:tc>
      </w:tr>
      <w:tr>
        <w:trPr>
          <w:cantSplit/>
        </w:trPr>
        <w:tc>
          <w:tcPr>
            <w:tcW w:type="dxa" w:w="2381"/>
            <w:vAlign w:val="center"/>
            <w:shd w:fill="F3F7FB"/>
            <w:tcMar>
              <w:top w:w="90" w:type="dxa"/>
              <w:bottom w:w="90" w:type="dxa"/>
              <w:left w:w="95" w:type="dxa"/>
              <w:right w:w="95" w:type="dxa"/>
            </w:tcMar>
          </w:tcPr>
          <w:p>
            <w:pPr>
              <w:spacing w:before="0" w:after="0" w:line="269" w:lineRule="auto"/>
              <w:jc w:val="center"/>
            </w:pPr>
            <w:r>
              <w:rPr>
                <w:rFonts w:ascii="Arial" w:hAnsi="Arial" w:eastAsia="Arial" w:cs="Arial"/>
                <w:b w:val="0"/>
                <w:color w:val="000000"/>
                <w:sz w:val="19"/>
                <w:lang w:val="en-GB"/>
                <w:lang w:val="en-GB"/>
              </w:rPr>
              <w:t>unittest</w:t>
            </w:r>
          </w:p>
        </w:tc>
        <w:tc>
          <w:tcPr>
            <w:tcW w:type="dxa" w:w="7200"/>
            <w:vAlign w:val="center"/>
            <w:shd w:fill="F3F7FB"/>
            <w:tcMar>
              <w:top w:w="90" w:type="dxa"/>
              <w:bottom w:w="90" w:type="dxa"/>
              <w:left w:w="95" w:type="dxa"/>
              <w:right w:w="95" w:type="dxa"/>
            </w:tcMar>
          </w:tcPr>
          <w:p>
            <w:pPr>
              <w:spacing w:before="0" w:after="0" w:line="269" w:lineRule="auto"/>
              <w:jc w:val="left"/>
            </w:pPr>
            <w:r>
              <w:rPr>
                <w:rFonts w:ascii="Arial" w:hAnsi="Arial" w:eastAsia="Arial" w:cs="Arial"/>
                <w:b w:val="0"/>
                <w:color w:val="000000"/>
                <w:sz w:val="19"/>
                <w:lang w:val="en-GB"/>
                <w:lang w:val="en-GB"/>
              </w:rPr>
              <w:t>Check feature calculations, model scores, recommendations and page functions.</w:t>
            </w:r>
          </w:p>
        </w:tc>
      </w:tr>
    </w:tbl>
    <w:p>
      <w:pPr>
        <w:spacing w:after="0" w:before="0" w:line="72" w:lineRule="auto"/>
      </w:pPr>
      <w:r>
        <w:rPr>
          <w:sz w:val="4"/>
        </w:rPr>
      </w:r>
    </w:p>
    <w:p>
      <w:r>
        <w:br w:type="page"/>
      </w:r>
    </w:p>
    <w:p>
      <w:pPr>
        <w:pStyle w:val="Heading1"/>
      </w:pPr>
      <w:r>
        <w:rPr>
          <w:rFonts w:ascii="Arial" w:hAnsi="Arial" w:eastAsia="Arial" w:cs="Arial"/>
          <w:b/>
          <w:sz w:val="30"/>
          <w:lang w:val="en-GB"/>
        </w:rPr>
        <w:t>1.3 Core Techniques</w:t>
      </w:r>
    </w:p>
    <w:p>
      <w:pPr>
        <w:keepNext w:val="0"/>
        <w:spacing w:after="140" w:line="278" w:lineRule="auto"/>
      </w:pPr>
      <w:r>
        <w:rPr>
          <w:rFonts w:ascii="Arial" w:hAnsi="Arial" w:eastAsia="Arial" w:cs="Arial"/>
          <w:b/>
          <w:sz w:val="22"/>
          <w:lang w:val="en-GB"/>
        </w:rPr>
        <w:t>Data cleaning and customer snapshots.</w:t>
      </w:r>
      <w:r>
        <w:rPr>
          <w:rFonts w:ascii="Arial" w:hAnsi="Arial" w:eastAsia="Arial" w:cs="Arial"/>
          <w:b w:val="0"/>
          <w:sz w:val="22"/>
          <w:lang w:val="en-GB"/>
        </w:rPr>
        <w:t xml:space="preserve"> The two annual transaction files are combined, fields and dates are standardised, and duplicates, missing customer IDs, cancellations and invalid product records are removed. Purchases are then summarised by customer and analysis date, turning scattered transactions into one comparable row of features.</w:t>
      </w:r>
    </w:p>
    <w:p>
      <w:pPr>
        <w:keepNext w:val="0"/>
        <w:spacing w:after="140" w:line="278" w:lineRule="auto"/>
      </w:pPr>
      <w:r>
        <w:rPr>
          <w:rFonts w:ascii="Arial" w:hAnsi="Arial" w:eastAsia="Arial" w:cs="Arial"/>
          <w:b/>
          <w:sz w:val="22"/>
          <w:lang w:val="en-GB"/>
        </w:rPr>
        <w:t>Time windows and feature processing.</w:t>
      </w:r>
      <w:r>
        <w:rPr>
          <w:rFonts w:ascii="Arial" w:hAnsi="Arial" w:eastAsia="Arial" w:cs="Arial"/>
          <w:b w:val="0"/>
          <w:sz w:val="22"/>
          <w:lang w:val="en-GB"/>
        </w:rPr>
        <w:t xml:space="preserve"> Features mainly use the 180 days before the analysis date, covering recency, order count, spending, order value and product variety. Statistics for the latest 30 and 90 days capture recent changes. Clustering and linear models use long-tail transformations, scaling and missing-value handling as needed; each module adds features relevant to its task.</w:t>
      </w:r>
    </w:p>
    <w:p>
      <w:pPr>
        <w:keepNext w:val="0"/>
        <w:spacing w:after="140" w:line="278" w:lineRule="auto"/>
      </w:pPr>
      <w:r>
        <w:rPr>
          <w:rFonts w:ascii="Arial" w:hAnsi="Arial" w:eastAsia="Arial" w:cs="Arial"/>
          <w:b/>
          <w:sz w:val="22"/>
          <w:lang w:val="en-GB"/>
        </w:rPr>
        <w:t>Time-based validation.</w:t>
      </w:r>
      <w:r>
        <w:rPr>
          <w:rFonts w:ascii="Arial" w:hAnsi="Arial" w:eastAsia="Arial" w:cs="Arial"/>
          <w:b w:val="0"/>
          <w:sz w:val="22"/>
          <w:lang w:val="en-GB"/>
        </w:rPr>
        <w:t xml:space="preserve"> Training covers June 2010 to May 2011, validation covers June to August 2011, and test-period review covers September to November 2011. Parameters are compared through forward validation within the training period. The method is selected on validation data, then kept fixed for later-month checks. Inputs come from before the analysis date; labels come from the following 30 days.</w:t>
      </w:r>
    </w:p>
    <w:p>
      <w:pPr>
        <w:keepNext w:val="0"/>
        <w:spacing w:after="140" w:line="278" w:lineRule="auto"/>
      </w:pPr>
      <w:r>
        <w:rPr>
          <w:rFonts w:ascii="Arial" w:hAnsi="Arial" w:eastAsia="Arial" w:cs="Arial"/>
          <w:b/>
          <w:sz w:val="22"/>
          <w:lang w:val="en-GB"/>
        </w:rPr>
        <w:t>Model and feature comparisons.</w:t>
      </w:r>
      <w:r>
        <w:rPr>
          <w:rFonts w:ascii="Arial" w:hAnsi="Arial" w:eastAsia="Arial" w:cs="Arial"/>
          <w:b w:val="0"/>
          <w:sz w:val="22"/>
          <w:lang w:val="en-GB"/>
        </w:rPr>
        <w:t xml:space="preserve"> Segmentation compares algorithms and cluster counts. Repurchase prediction compares linear and nonlinear models across feature groups. Spending potential compares learned models with past-spending rules. Recommendation first compares five methods, then tests the contribution of profiles and product associations. Each task uses the same customers, months and candidate scope across methods, with checks on monthly performance and resampling stability.</w:t>
      </w:r>
    </w:p>
    <w:p>
      <w:pPr>
        <w:keepNext w:val="0"/>
        <w:spacing w:after="140" w:line="278" w:lineRule="auto"/>
      </w:pPr>
      <w:r>
        <w:rPr>
          <w:rFonts w:ascii="Arial" w:hAnsi="Arial" w:eastAsia="Arial" w:cs="Arial"/>
          <w:b/>
          <w:sz w:val="22"/>
          <w:lang w:val="en-GB"/>
        </w:rPr>
        <w:t>Product-level learning and recommendation.</w:t>
      </w:r>
      <w:r>
        <w:rPr>
          <w:rFonts w:ascii="Arial" w:hAnsi="Arial" w:eastAsia="Arial" w:cs="Arial"/>
          <w:b w:val="0"/>
          <w:sz w:val="22"/>
          <w:lang w:val="en-GB"/>
        </w:rPr>
        <w:t xml:space="preserve"> Each customer–product pair is a sample, with a label indicating whether the product appears in the next order. Unpurchased products are sampled to manage training size, and methods share the same samples. Evaluation and app use score the full candidate catalogue and select ten products for each customer.</w:t>
      </w:r>
    </w:p>
    <w:p>
      <w:pPr>
        <w:pStyle w:val="Heading1"/>
      </w:pPr>
      <w:r>
        <w:rPr>
          <w:rFonts w:ascii="Arial" w:hAnsi="Arial" w:eastAsia="Arial" w:cs="Arial"/>
          <w:b/>
          <w:sz w:val="30"/>
          <w:lang w:val="en-GB"/>
        </w:rPr>
        <w:t>1.4 Reproducibility and Quality Checks</w:t>
      </w:r>
    </w:p>
    <w:p>
      <w:pPr>
        <w:keepNext w:val="0"/>
        <w:spacing w:after="140" w:line="278" w:lineRule="auto"/>
      </w:pPr>
      <w:r>
        <w:rPr>
          <w:rFonts w:ascii="Arial" w:hAnsi="Arial" w:eastAsia="Arial" w:cs="Arial"/>
          <w:b w:val="0"/>
          <w:sz w:val="22"/>
          <w:lang w:val="en-GB"/>
        </w:rPr>
        <w:t>The project records dependency versions, random seeds, feature lists and model settings, and saves experiment results and final models. The app reuses the offline feature calculations, keeping training and app analysis consistent. Automated tests cover time boundaries, score consistency after model saving, recommendation lists, and page filtering and exports, supporting later changes and regression checks.</w:t>
      </w:r>
    </w:p>
    <w:sectPr w:rsidR="00FC693F" w:rsidRPr="0006063C" w:rsidSect="00034616">
      <w:footerReference w:type="default" r:id="rId9"/>
      <w:pgSz w:w="11906" w:h="16838"/>
      <w:pgMar w:top="1077" w:right="1162" w:bottom="1077" w:left="1162"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b w:val="0"/>
        <w:color w:val="666666"/>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20"/>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Arial" w:hAnsi="Arial" w:eastAsia="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Arial" w:hAnsi="Arial" w:eastAsia="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Arial" w:hAnsi="Arial" w:eastAsia="Arial" w:cs="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Arial" w:hAnsi="Arial" w:eastAsia="Arial" w:cs="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80" w:after="180"/>
    </w:pPr>
    <w:rPr>
      <w:rFonts w:ascii="Arial" w:hAnsi="Arial" w:eastAsia="Arial" w:cs="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Tools and Techniques</dc:title>
  <dc:subject>E-commerce Customer Analytics Final Report</dc:subject>
  <dc:creator/>
  <cp:keywords>customer segmentation, repurchase prediction, spending potential, product recommendations</cp:keywords>
  <dc:description/>
  <cp:lastModifiedBy/>
  <cp:revision>1</cp:revision>
  <dcterms:created xsi:type="dcterms:W3CDTF">2013-12-23T23:15:00Z</dcterms:created>
  <dcterms:modified xsi:type="dcterms:W3CDTF">2013-12-23T23:15:00Z</dcterms:modified>
  <cp:category/>
</cp:coreProperties>
</file>