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eastAsia="Arial" w:cs="Arial"/>
          <w:b/>
          <w:sz w:val="44"/>
          <w:lang w:val="en-GB"/>
        </w:rPr>
        <w:t>2 System Design and Models</w:t>
      </w:r>
    </w:p>
    <w:p>
      <w:pPr>
        <w:keepNext w:val="0"/>
        <w:spacing w:after="140" w:line="278" w:lineRule="auto"/>
      </w:pPr>
      <w:r>
        <w:rPr>
          <w:rFonts w:ascii="Arial" w:hAnsi="Arial" w:eastAsia="Arial" w:cs="Arial"/>
          <w:b w:val="0"/>
          <w:sz w:val="22"/>
          <w:lang w:val="en-GB"/>
        </w:rPr>
        <w:t>The system starts with purchase records, builds customer and product features, and produces segments, repurchase predictions, spending-potential rankings and product recommendations. This section follows the data flow through each stage, explaining inputs, processing and outputs. Detailed performance comparisons appear in Part 3.</w:t>
      </w:r>
    </w:p>
    <w:p>
      <w:pPr>
        <w:pStyle w:val="Heading1"/>
      </w:pPr>
      <w:r>
        <w:rPr>
          <w:rFonts w:ascii="Arial" w:hAnsi="Arial" w:eastAsia="Arial" w:cs="Arial"/>
          <w:b/>
          <w:sz w:val="30"/>
          <w:lang w:val="en-GB"/>
        </w:rPr>
        <w:t>2.1 Overall Architecture and Workflow</w:t>
      </w:r>
    </w:p>
    <w:p>
      <w:pPr>
        <w:keepNext w:val="0"/>
        <w:spacing w:after="140" w:line="278" w:lineRule="auto"/>
      </w:pPr>
      <w:r>
        <w:rPr>
          <w:rFonts w:ascii="Arial" w:hAnsi="Arial" w:eastAsia="Arial" w:cs="Arial"/>
          <w:b w:val="0"/>
          <w:sz w:val="22"/>
          <w:lang w:val="en-GB"/>
        </w:rPr>
        <w:t xml:space="preserve">The system has two paths: </w:t>
      </w:r>
      <w:r>
        <w:rPr>
          <w:rFonts w:ascii="Arial" w:hAnsi="Arial" w:eastAsia="Arial" w:cs="Arial"/>
          <w:b/>
          <w:sz w:val="22"/>
          <w:lang w:val="en-GB"/>
        </w:rPr>
        <w:t>offline development</w:t>
      </w:r>
      <w:r>
        <w:rPr>
          <w:rFonts w:ascii="Arial" w:hAnsi="Arial" w:eastAsia="Arial" w:cs="Arial"/>
          <w:b w:val="0"/>
          <w:sz w:val="22"/>
          <w:lang w:val="en-GB"/>
        </w:rPr>
        <w:t xml:space="preserve"> and </w:t>
      </w:r>
      <w:r>
        <w:rPr>
          <w:rFonts w:ascii="Arial" w:hAnsi="Arial" w:eastAsia="Arial" w:cs="Arial"/>
          <w:b/>
          <w:sz w:val="22"/>
          <w:lang w:val="en-GB"/>
        </w:rPr>
        <w:t>app use</w:t>
      </w:r>
      <w:r>
        <w:rPr>
          <w:rFonts w:ascii="Arial" w:hAnsi="Arial" w:eastAsia="Arial" w:cs="Arial"/>
          <w:b w:val="0"/>
          <w:sz w:val="22"/>
          <w:lang w:val="en-GB"/>
        </w:rPr>
        <w:t>. Offline development cleans data, builds samples, compares methods and saves models. During app use, uploaded purchase records are converted into features and passed to the trained models. A new upload or analysis date updates the results while keeping the models unchanged.</w:t>
      </w:r>
    </w:p>
    <w:p>
      <w:pPr>
        <w:keepNext/>
        <w:spacing w:before="0" w:after="0" w:line="240" w:lineRule="auto"/>
        <w:jc w:val="center"/>
      </w:pPr>
      <w:r>
        <w:rPr>
          <w:sz w:val="2"/>
        </w:rPr>
        <w:drawing>
          <wp:inline xmlns:a="http://schemas.openxmlformats.org/drawingml/2006/main" xmlns:pic="http://schemas.openxmlformats.org/drawingml/2006/picture">
            <wp:extent cx="6083999" cy="5316457"/>
            <wp:docPr id="5" name="Picture 5" descr="Offline development and app workflow"/>
            <wp:cNvGraphicFramePr>
              <a:graphicFrameLocks noChangeAspect="1"/>
            </wp:cNvGraphicFramePr>
            <a:graphic>
              <a:graphicData uri="http://schemas.openxmlformats.org/drawingml/2006/picture">
                <pic:pic>
                  <pic:nvPicPr>
                    <pic:cNvPr id="0" name="workflow_en.png"/>
                    <pic:cNvPicPr/>
                  </pic:nvPicPr>
                  <pic:blipFill>
                    <a:blip r:embed="rId13"/>
                    <a:stretch>
                      <a:fillRect/>
                    </a:stretch>
                  </pic:blipFill>
                  <pic:spPr>
                    <a:xfrm>
                      <a:off x="0" y="0"/>
                      <a:ext cx="6083999" cy="5316457"/>
                    </a:xfrm>
                    <a:prstGeom prst="rect"/>
                  </pic:spPr>
                </pic:pic>
              </a:graphicData>
            </a:graphic>
          </wp:inline>
        </w:drawing>
      </w:r>
    </w:p>
    <w:p>
      <w:pPr>
        <w:pStyle w:val="Caption"/>
        <w:keepNext w:val="0"/>
        <w:spacing w:line="264" w:lineRule="auto"/>
        <w:jc w:val="center"/>
      </w:pPr>
      <w:r>
        <w:rPr>
          <w:rFonts w:ascii="Arial" w:hAnsi="Arial" w:eastAsia="Arial" w:cs="Arial"/>
          <w:b w:val="0"/>
          <w:sz w:val="18"/>
          <w:lang w:val="en-GB"/>
        </w:rPr>
        <w:t>Figure 2-1 Offline development and app workflow</w:t>
      </w:r>
    </w:p>
    <w:p>
      <w:pPr>
        <w:keepNext w:val="0"/>
        <w:spacing w:after="140" w:line="278" w:lineRule="auto"/>
      </w:pPr>
      <w:r>
        <w:rPr>
          <w:rFonts w:ascii="Arial" w:hAnsi="Arial" w:eastAsia="Arial" w:cs="Arial"/>
          <w:b w:val="0"/>
          <w:sz w:val="22"/>
          <w:lang w:val="en-GB"/>
        </w:rPr>
        <w:t>The four modules share a transaction source and time split, but construct samples for their own tasks. The first three mainly analyse customer snapshots; recommendation analyses customer–candidate-product pairs. Training and app use follow the same feature definitions.</w:t>
      </w:r>
    </w:p>
    <w:p>
      <w:pPr>
        <w:pStyle w:val="Heading1"/>
      </w:pPr>
      <w:r>
        <w:rPr>
          <w:rFonts w:ascii="Arial" w:hAnsi="Arial" w:eastAsia="Arial" w:cs="Arial"/>
          <w:b/>
          <w:sz w:val="30"/>
          <w:lang w:val="en-GB"/>
        </w:rPr>
        <w:t>2.2 Data and Sample Design</w:t>
      </w:r>
    </w:p>
    <w:p>
      <w:pPr>
        <w:pStyle w:val="Heading2"/>
      </w:pPr>
      <w:r>
        <w:rPr>
          <w:rFonts w:ascii="Arial" w:hAnsi="Arial" w:eastAsia="Arial" w:cs="Arial"/>
          <w:b/>
          <w:sz w:val="25"/>
          <w:lang w:val="en-GB"/>
        </w:rPr>
        <w:t>2.2.1 Data Source and Cleaning</w:t>
      </w:r>
    </w:p>
    <w:p>
      <w:pPr>
        <w:keepNext w:val="0"/>
        <w:spacing w:after="140" w:line="278" w:lineRule="auto"/>
      </w:pPr>
      <w:r>
        <w:rPr>
          <w:rFonts w:ascii="Arial" w:hAnsi="Arial" w:eastAsia="Arial" w:cs="Arial"/>
          <w:b w:val="0"/>
          <w:sz w:val="22"/>
          <w:lang w:val="en-GB"/>
        </w:rPr>
        <w:t xml:space="preserve">UCI Online Retail II contains transactions from a UK online retailer from 2009‑12‑01 to 2011‑12‑09, including wholesale customers. The two annual CSV files contain </w:t>
      </w:r>
      <w:r>
        <w:rPr>
          <w:rFonts w:ascii="Arial" w:hAnsi="Arial" w:eastAsia="Arial" w:cs="Arial"/>
          <w:b/>
          <w:sz w:val="22"/>
          <w:lang w:val="en-GB"/>
        </w:rPr>
        <w:t>1,067,371 rows and 8 fields</w:t>
      </w:r>
      <w:r>
        <w:rPr>
          <w:rFonts w:ascii="Arial" w:hAnsi="Arial" w:eastAsia="Arial" w:cs="Arial"/>
          <w:b w:val="0"/>
          <w:sz w:val="22"/>
          <w:lang w:val="en-GB"/>
        </w:rPr>
        <w:t xml:space="preserve">: invoice number, product code, description, quantity, purchase time, unit price, customer ID and country. </w:t>
      </w:r>
      <w:r>
        <w:rPr>
          <w:rFonts w:ascii="Arial" w:hAnsi="Arial" w:eastAsia="Arial" w:cs="Arial"/>
          <w:b/>
          <w:sz w:val="22"/>
          <w:lang w:val="en-GB"/>
        </w:rPr>
        <w:t>One row represents one product line in an invoice</w:t>
      </w:r>
      <w:r>
        <w:rPr>
          <w:rFonts w:ascii="Arial" w:hAnsi="Arial" w:eastAsia="Arial" w:cs="Arial"/>
          <w:b w:val="0"/>
          <w:sz w:val="22"/>
          <w:lang w:val="en-GB"/>
        </w:rPr>
        <w:t>; an order or customer usually spans multiple rows.</w:t>
      </w:r>
    </w:p>
    <w:p>
      <w:pPr>
        <w:keepNext w:val="0"/>
        <w:spacing w:after="140" w:line="278" w:lineRule="auto"/>
      </w:pPr>
      <w:r>
        <w:rPr>
          <w:rFonts w:ascii="Arial" w:hAnsi="Arial" w:eastAsia="Arial" w:cs="Arial"/>
          <w:b w:val="0"/>
          <w:sz w:val="22"/>
          <w:lang w:val="en-GB"/>
        </w:rPr>
        <w:t xml:space="preserve">Cleaning standardises fields and dates, then removes exact duplicates, missing customer IDs, cancellations, invalid quantities or prices, and non-product entries such as postage and fees. It retains </w:t>
      </w:r>
      <w:r>
        <w:rPr>
          <w:rFonts w:ascii="Arial" w:hAnsi="Arial" w:eastAsia="Arial" w:cs="Arial"/>
          <w:b/>
          <w:sz w:val="22"/>
          <w:lang w:val="en-GB"/>
        </w:rPr>
        <w:t>776,579 qualifying product transactions</w:t>
      </w:r>
      <w:r>
        <w:rPr>
          <w:rFonts w:ascii="Arial" w:hAnsi="Arial" w:eastAsia="Arial" w:cs="Arial"/>
          <w:b w:val="0"/>
          <w:sz w:val="22"/>
          <w:lang w:val="en-GB"/>
        </w:rPr>
        <w:t xml:space="preserve"> and excludes 290,792 rows. Line amount is quantity × unit price. The retained records describe positive purchases; exclusion reasons are stored separately for checking.</w:t>
      </w:r>
    </w:p>
    <w:p>
      <w:pPr>
        <w:pStyle w:val="Heading2"/>
        <w:pageBreakBefore/>
      </w:pPr>
      <w:r>
        <w:rPr>
          <w:rFonts w:ascii="Arial" w:hAnsi="Arial" w:eastAsia="Arial" w:cs="Arial"/>
          <w:b/>
          <w:sz w:val="25"/>
          <w:lang w:val="en-GB"/>
        </w:rPr>
        <w:t>2.2.2 Customer Snapshots and Future Labels</w:t>
      </w:r>
    </w:p>
    <w:p>
      <w:pPr>
        <w:keepNext w:val="0"/>
        <w:spacing w:after="140" w:line="278" w:lineRule="auto"/>
      </w:pPr>
      <w:r>
        <w:rPr>
          <w:rFonts w:ascii="Arial" w:hAnsi="Arial" w:eastAsia="Arial" w:cs="Arial"/>
          <w:b w:val="0"/>
          <w:sz w:val="22"/>
          <w:lang w:val="en-GB"/>
        </w:rPr>
        <w:t xml:space="preserve">A customer’s purchases may be spread across many orders. On the first day of each month, customers who bought at least once in the previous 180 days each receive one row summarising their purchase status. This row is a </w:t>
      </w:r>
      <w:r>
        <w:rPr>
          <w:rFonts w:ascii="Arial" w:hAnsi="Arial" w:eastAsia="Arial" w:cs="Arial"/>
          <w:b/>
          <w:sz w:val="22"/>
          <w:lang w:val="en-GB"/>
        </w:rPr>
        <w:t>customer snapshot</w:t>
      </w:r>
      <w:r>
        <w:rPr>
          <w:rFonts w:ascii="Arial" w:hAnsi="Arial" w:eastAsia="Arial" w:cs="Arial"/>
          <w:b w:val="0"/>
          <w:sz w:val="22"/>
          <w:lang w:val="en-GB"/>
        </w:rPr>
        <w:t>. If the customer remains eligible next month, a new snapshot reflects the updated status.</w:t>
      </w:r>
    </w:p>
    <w:p>
      <w:pPr>
        <w:keepNext w:val="0"/>
        <w:spacing w:after="140" w:line="278" w:lineRule="auto"/>
      </w:pPr>
      <w:r>
        <w:rPr>
          <w:rFonts w:ascii="Arial" w:hAnsi="Arial" w:eastAsia="Arial" w:cs="Arial"/>
          <w:b w:val="0"/>
          <w:sz w:val="22"/>
          <w:lang w:val="en-GB"/>
        </w:rPr>
        <w:t xml:space="preserve">Features use purchases made before the analysis date. Transactions in the following 30 days provide the answers for training and evaluation, called </w:t>
      </w:r>
      <w:r>
        <w:rPr>
          <w:rFonts w:ascii="Arial" w:hAnsi="Arial" w:eastAsia="Arial" w:cs="Arial"/>
          <w:b/>
          <w:sz w:val="22"/>
          <w:lang w:val="en-GB"/>
        </w:rPr>
        <w:t>labels</w:t>
      </w:r>
      <w:r>
        <w:rPr>
          <w:rFonts w:ascii="Arial" w:hAnsi="Arial" w:eastAsia="Arial" w:cs="Arial"/>
          <w:b w:val="0"/>
          <w:sz w:val="22"/>
          <w:lang w:val="en-GB"/>
        </w:rPr>
        <w:t>. For an analysis date of 1 August, inputs describe purchases before 1 August, and labels describe outcomes during the next 30 days from that date. A few features, such as first purchase date and cumulative spending, also use earlier available history.</w:t>
      </w:r>
    </w:p>
    <w:p>
      <w:pPr>
        <w:pStyle w:val="Caption"/>
        <w:keepNext/>
        <w:spacing w:line="264" w:lineRule="auto"/>
        <w:jc w:val="center"/>
      </w:pPr>
      <w:r>
        <w:rPr>
          <w:rFonts w:ascii="Arial" w:hAnsi="Arial" w:eastAsia="Arial" w:cs="Arial"/>
          <w:b w:val="0"/>
          <w:sz w:val="18"/>
          <w:lang w:val="en-GB"/>
        </w:rPr>
        <w:t>Table 2-1 Eight base features in a customer snapshot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4139"/>
        <w:gridCol w:w="2948"/>
      </w:tblGrid>
      <w:tr>
        <w:trPr>
          <w:cantSplit/>
          <w:tblHeader/>
        </w:trPr>
        <w:tc>
          <w:tcPr>
            <w:tcW w:type="dxa" w:w="2494"/>
            <w:vAlign w:val="center"/>
            <w:shd w:fill="244C78"/>
            <w:tcMar>
              <w:top w:w="90" w:type="dxa"/>
              <w:bottom w:w="90" w:type="dxa"/>
              <w:left w:w="95" w:type="dxa"/>
              <w:right w:w="95" w:type="dxa"/>
            </w:tcMar>
          </w:tcPr>
          <w:p>
            <w:pPr>
              <w:spacing w:before="0" w:after="0" w:line="269" w:lineRule="auto"/>
              <w:jc w:val="center"/>
            </w:pPr>
            <w:r>
              <w:rPr>
                <w:rFonts w:ascii="Arial" w:hAnsi="Arial" w:eastAsia="Arial" w:cs="Arial"/>
                <w:b/>
                <w:color w:val="FFFFFF"/>
                <w:sz w:val="19"/>
                <w:lang w:val="en-GB"/>
                <w:lang w:val="en-GB"/>
              </w:rPr>
              <w:t>Feature</w:t>
            </w:r>
          </w:p>
        </w:tc>
        <w:tc>
          <w:tcPr>
            <w:tcW w:type="dxa" w:w="4139"/>
            <w:vAlign w:val="center"/>
            <w:shd w:fill="244C78"/>
            <w:tcMar>
              <w:top w:w="90" w:type="dxa"/>
              <w:bottom w:w="90" w:type="dxa"/>
              <w:left w:w="95" w:type="dxa"/>
              <w:right w:w="95" w:type="dxa"/>
            </w:tcMar>
          </w:tcPr>
          <w:p>
            <w:pPr>
              <w:spacing w:before="0" w:after="0" w:line="269" w:lineRule="auto"/>
              <w:jc w:val="center"/>
            </w:pPr>
            <w:r>
              <w:rPr>
                <w:rFonts w:ascii="Arial" w:hAnsi="Arial" w:eastAsia="Arial" w:cs="Arial"/>
                <w:b/>
                <w:color w:val="FFFFFF"/>
                <w:sz w:val="19"/>
                <w:lang w:val="en-GB"/>
                <w:lang w:val="en-GB"/>
              </w:rPr>
              <w:t>Calculation</w:t>
            </w:r>
          </w:p>
        </w:tc>
        <w:tc>
          <w:tcPr>
            <w:tcW w:type="dxa" w:w="2948"/>
            <w:vAlign w:val="center"/>
            <w:shd w:fill="244C78"/>
            <w:tcMar>
              <w:top w:w="90" w:type="dxa"/>
              <w:bottom w:w="90" w:type="dxa"/>
              <w:left w:w="95" w:type="dxa"/>
              <w:right w:w="95" w:type="dxa"/>
            </w:tcMar>
          </w:tcPr>
          <w:p>
            <w:pPr>
              <w:spacing w:before="0" w:after="0" w:line="269" w:lineRule="auto"/>
              <w:jc w:val="center"/>
            </w:pPr>
            <w:r>
              <w:rPr>
                <w:rFonts w:ascii="Arial" w:hAnsi="Arial" w:eastAsia="Arial" w:cs="Arial"/>
                <w:b/>
                <w:color w:val="FFFFFF"/>
                <w:sz w:val="19"/>
                <w:lang w:val="en-GB"/>
                <w:lang w:val="en-GB"/>
              </w:rPr>
              <w:t>Customer 12347</w:t>
            </w:r>
          </w:p>
        </w:tc>
      </w:tr>
      <w:tr>
        <w:trPr>
          <w:cantSplit/>
        </w:trPr>
        <w:tc>
          <w:tcPr>
            <w:tcW w:type="dxa" w:w="2494"/>
            <w:vAlign w:val="center"/>
            <w:shd w:fill="F3F7FB"/>
            <w:tcMar>
              <w:top w:w="90" w:type="dxa"/>
              <w:bottom w:w="90" w:type="dxa"/>
              <w:left w:w="95" w:type="dxa"/>
              <w:right w:w="95" w:type="dxa"/>
            </w:tcMar>
          </w:tcPr>
          <w:p>
            <w:pPr>
              <w:spacing w:before="0" w:after="0" w:line="269" w:lineRule="auto"/>
              <w:jc w:val="left"/>
            </w:pPr>
            <w:r>
              <w:rPr>
                <w:rFonts w:ascii="Arial" w:hAnsi="Arial" w:eastAsia="Arial" w:cs="Arial"/>
                <w:b w:val="0"/>
                <w:color w:val="000000"/>
                <w:sz w:val="19"/>
                <w:lang w:val="en-GB"/>
                <w:lang w:val="en-GB"/>
              </w:rPr>
              <w:t>Days since last purchase</w:t>
            </w:r>
          </w:p>
        </w:tc>
        <w:tc>
          <w:tcPr>
            <w:tcW w:type="dxa" w:w="4139"/>
            <w:vAlign w:val="center"/>
            <w:shd w:fill="F3F7FB"/>
            <w:tcMar>
              <w:top w:w="90" w:type="dxa"/>
              <w:bottom w:w="90" w:type="dxa"/>
              <w:left w:w="95" w:type="dxa"/>
              <w:right w:w="95" w:type="dxa"/>
            </w:tcMar>
          </w:tcPr>
          <w:p>
            <w:pPr>
              <w:spacing w:before="0" w:after="0" w:line="269" w:lineRule="auto"/>
              <w:jc w:val="left"/>
            </w:pPr>
            <w:r>
              <w:rPr>
                <w:rFonts w:ascii="Arial" w:hAnsi="Arial" w:eastAsia="Arial" w:cs="Arial"/>
                <w:b w:val="0"/>
                <w:color w:val="000000"/>
                <w:sz w:val="19"/>
                <w:lang w:val="en-GB"/>
                <w:lang w:val="en-GB"/>
              </w:rPr>
              <w:t>Days from the latest purchase to the analysis date</w:t>
            </w:r>
          </w:p>
        </w:tc>
        <w:tc>
          <w:tcPr>
            <w:tcW w:type="dxa" w:w="2948"/>
            <w:vAlign w:val="center"/>
            <w:shd w:fill="F3F7FB"/>
            <w:tcMar>
              <w:top w:w="90" w:type="dxa"/>
              <w:bottom w:w="90" w:type="dxa"/>
              <w:left w:w="95" w:type="dxa"/>
              <w:right w:w="95" w:type="dxa"/>
            </w:tcMar>
          </w:tcPr>
          <w:p>
            <w:pPr>
              <w:spacing w:before="0" w:after="0" w:line="269" w:lineRule="auto"/>
              <w:jc w:val="center"/>
            </w:pPr>
            <w:r>
              <w:rPr>
                <w:rFonts w:ascii="Arial" w:hAnsi="Arial" w:eastAsia="Arial" w:cs="Arial"/>
                <w:b w:val="0"/>
                <w:color w:val="000000"/>
                <w:sz w:val="19"/>
                <w:lang w:val="en-GB"/>
                <w:lang w:val="en-GB"/>
              </w:rPr>
              <w:t>53 days</w:t>
            </w:r>
          </w:p>
        </w:tc>
      </w:tr>
      <w:tr>
        <w:trPr>
          <w:cantSplit/>
        </w:trPr>
        <w:tc>
          <w:tcPr>
            <w:tcW w:type="dxa" w:w="2494"/>
            <w:vAlign w:val="center"/>
            <w:shd w:fill="FFFFFF"/>
            <w:tcMar>
              <w:top w:w="90" w:type="dxa"/>
              <w:bottom w:w="90" w:type="dxa"/>
              <w:left w:w="95" w:type="dxa"/>
              <w:right w:w="95" w:type="dxa"/>
            </w:tcMar>
          </w:tcPr>
          <w:p>
            <w:pPr>
              <w:spacing w:before="0" w:after="0" w:line="269" w:lineRule="auto"/>
              <w:jc w:val="left"/>
            </w:pPr>
            <w:r>
              <w:rPr>
                <w:rFonts w:ascii="Arial" w:hAnsi="Arial" w:eastAsia="Arial" w:cs="Arial"/>
                <w:b w:val="0"/>
                <w:color w:val="000000"/>
                <w:sz w:val="19"/>
                <w:lang w:val="en-GB"/>
                <w:lang w:val="en-GB"/>
              </w:rPr>
              <w:t>Orders in 180 days</w:t>
            </w:r>
          </w:p>
        </w:tc>
        <w:tc>
          <w:tcPr>
            <w:tcW w:type="dxa" w:w="4139"/>
            <w:vAlign w:val="center"/>
            <w:shd w:fill="FFFFFF"/>
            <w:tcMar>
              <w:top w:w="90" w:type="dxa"/>
              <w:bottom w:w="90" w:type="dxa"/>
              <w:left w:w="95" w:type="dxa"/>
              <w:right w:w="95" w:type="dxa"/>
            </w:tcMar>
          </w:tcPr>
          <w:p>
            <w:pPr>
              <w:spacing w:before="0" w:after="0" w:line="269" w:lineRule="auto"/>
              <w:jc w:val="left"/>
            </w:pPr>
            <w:r>
              <w:rPr>
                <w:rFonts w:ascii="Arial" w:hAnsi="Arial" w:eastAsia="Arial" w:cs="Arial"/>
                <w:b w:val="0"/>
                <w:color w:val="000000"/>
                <w:sz w:val="19"/>
                <w:lang w:val="en-GB"/>
                <w:lang w:val="en-GB"/>
              </w:rPr>
              <w:t>Count distinct qualifying invoices</w:t>
            </w:r>
          </w:p>
        </w:tc>
        <w:tc>
          <w:tcPr>
            <w:tcW w:type="dxa" w:w="2948"/>
            <w:vAlign w:val="center"/>
            <w:shd w:fill="FFFFFF"/>
            <w:tcMar>
              <w:top w:w="90" w:type="dxa"/>
              <w:bottom w:w="90" w:type="dxa"/>
              <w:left w:w="95" w:type="dxa"/>
              <w:right w:w="95" w:type="dxa"/>
            </w:tcMar>
          </w:tcPr>
          <w:p>
            <w:pPr>
              <w:spacing w:before="0" w:after="0" w:line="269" w:lineRule="auto"/>
              <w:jc w:val="center"/>
            </w:pPr>
            <w:r>
              <w:rPr>
                <w:rFonts w:ascii="Arial" w:hAnsi="Arial" w:eastAsia="Arial" w:cs="Arial"/>
                <w:b w:val="0"/>
                <w:color w:val="000000"/>
                <w:sz w:val="19"/>
                <w:lang w:val="en-GB"/>
                <w:lang w:val="en-GB"/>
              </w:rPr>
              <w:t>2 orders</w:t>
            </w:r>
          </w:p>
        </w:tc>
      </w:tr>
      <w:tr>
        <w:trPr>
          <w:cantSplit/>
        </w:trPr>
        <w:tc>
          <w:tcPr>
            <w:tcW w:type="dxa" w:w="2494"/>
            <w:vAlign w:val="center"/>
            <w:shd w:fill="F3F7FB"/>
            <w:tcMar>
              <w:top w:w="90" w:type="dxa"/>
              <w:bottom w:w="90" w:type="dxa"/>
              <w:left w:w="95" w:type="dxa"/>
              <w:right w:w="95" w:type="dxa"/>
            </w:tcMar>
          </w:tcPr>
          <w:p>
            <w:pPr>
              <w:spacing w:before="0" w:after="0" w:line="269" w:lineRule="auto"/>
              <w:jc w:val="left"/>
            </w:pPr>
            <w:r>
              <w:rPr>
                <w:rFonts w:ascii="Arial" w:hAnsi="Arial" w:eastAsia="Arial" w:cs="Arial"/>
                <w:b w:val="0"/>
                <w:color w:val="000000"/>
                <w:sz w:val="19"/>
                <w:lang w:val="en-GB"/>
                <w:lang w:val="en-GB"/>
              </w:rPr>
              <w:t>Spending in 180 days</w:t>
            </w:r>
          </w:p>
        </w:tc>
        <w:tc>
          <w:tcPr>
            <w:tcW w:type="dxa" w:w="4139"/>
            <w:vAlign w:val="center"/>
            <w:shd w:fill="F3F7FB"/>
            <w:tcMar>
              <w:top w:w="90" w:type="dxa"/>
              <w:bottom w:w="90" w:type="dxa"/>
              <w:left w:w="95" w:type="dxa"/>
              <w:right w:w="95" w:type="dxa"/>
            </w:tcMar>
          </w:tcPr>
          <w:p>
            <w:pPr>
              <w:spacing w:before="0" w:after="0" w:line="269" w:lineRule="auto"/>
              <w:jc w:val="left"/>
            </w:pPr>
            <w:r>
              <w:rPr>
                <w:rFonts w:ascii="Arial" w:hAnsi="Arial" w:eastAsia="Arial" w:cs="Arial"/>
                <w:b w:val="0"/>
                <w:color w:val="000000"/>
                <w:sz w:val="19"/>
                <w:lang w:val="en-GB"/>
                <w:lang w:val="en-GB"/>
              </w:rPr>
              <w:t>Sum qualifying product amounts</w:t>
            </w:r>
          </w:p>
        </w:tc>
        <w:tc>
          <w:tcPr>
            <w:tcW w:type="dxa" w:w="2948"/>
            <w:vAlign w:val="center"/>
            <w:shd w:fill="F3F7FB"/>
            <w:tcMar>
              <w:top w:w="90" w:type="dxa"/>
              <w:bottom w:w="90" w:type="dxa"/>
              <w:left w:w="95" w:type="dxa"/>
              <w:right w:w="95" w:type="dxa"/>
            </w:tcMar>
          </w:tcPr>
          <w:p>
            <w:pPr>
              <w:spacing w:before="0" w:after="0" w:line="269" w:lineRule="auto"/>
              <w:jc w:val="center"/>
            </w:pPr>
            <w:r>
              <w:rPr>
                <w:rFonts w:ascii="Arial" w:hAnsi="Arial" w:eastAsia="Arial" w:cs="Arial"/>
                <w:b w:val="0"/>
                <w:color w:val="000000"/>
                <w:sz w:val="19"/>
                <w:lang w:val="en-GB"/>
                <w:lang w:val="en-GB"/>
              </w:rPr>
              <w:t>£1,018.77</w:t>
            </w:r>
          </w:p>
        </w:tc>
      </w:tr>
      <w:tr>
        <w:trPr>
          <w:cantSplit/>
        </w:trPr>
        <w:tc>
          <w:tcPr>
            <w:tcW w:type="dxa" w:w="2494"/>
            <w:vAlign w:val="center"/>
            <w:shd w:fill="FFFFFF"/>
            <w:tcMar>
              <w:top w:w="90" w:type="dxa"/>
              <w:bottom w:w="90" w:type="dxa"/>
              <w:left w:w="95" w:type="dxa"/>
              <w:right w:w="95" w:type="dxa"/>
            </w:tcMar>
          </w:tcPr>
          <w:p>
            <w:pPr>
              <w:spacing w:before="0" w:after="0" w:line="269" w:lineRule="auto"/>
              <w:jc w:val="left"/>
            </w:pPr>
            <w:r>
              <w:rPr>
                <w:rFonts w:ascii="Arial" w:hAnsi="Arial" w:eastAsia="Arial" w:cs="Arial"/>
                <w:b w:val="0"/>
                <w:color w:val="000000"/>
                <w:sz w:val="19"/>
                <w:lang w:val="en-GB"/>
                <w:lang w:val="en-GB"/>
              </w:rPr>
              <w:t>Average order value</w:t>
            </w:r>
          </w:p>
        </w:tc>
        <w:tc>
          <w:tcPr>
            <w:tcW w:type="dxa" w:w="4139"/>
            <w:vAlign w:val="center"/>
            <w:shd w:fill="FFFFFF"/>
            <w:tcMar>
              <w:top w:w="90" w:type="dxa"/>
              <w:bottom w:w="90" w:type="dxa"/>
              <w:left w:w="95" w:type="dxa"/>
              <w:right w:w="95" w:type="dxa"/>
            </w:tcMar>
          </w:tcPr>
          <w:p>
            <w:pPr>
              <w:spacing w:before="0" w:after="0" w:line="269" w:lineRule="auto"/>
              <w:jc w:val="left"/>
            </w:pPr>
            <w:r>
              <w:rPr>
                <w:rFonts w:ascii="Arial" w:hAnsi="Arial" w:eastAsia="Arial" w:cs="Arial"/>
                <w:b w:val="0"/>
                <w:color w:val="000000"/>
                <w:sz w:val="19"/>
                <w:lang w:val="en-GB"/>
                <w:lang w:val="en-GB"/>
              </w:rPr>
              <w:t>180-day spending ÷ order count</w:t>
            </w:r>
          </w:p>
        </w:tc>
        <w:tc>
          <w:tcPr>
            <w:tcW w:type="dxa" w:w="2948"/>
            <w:vAlign w:val="center"/>
            <w:shd w:fill="FFFFFF"/>
            <w:tcMar>
              <w:top w:w="90" w:type="dxa"/>
              <w:bottom w:w="90" w:type="dxa"/>
              <w:left w:w="95" w:type="dxa"/>
              <w:right w:w="95" w:type="dxa"/>
            </w:tcMar>
          </w:tcPr>
          <w:p>
            <w:pPr>
              <w:spacing w:before="0" w:after="0" w:line="269" w:lineRule="auto"/>
              <w:jc w:val="center"/>
            </w:pPr>
            <w:r>
              <w:rPr>
                <w:rFonts w:ascii="Arial" w:hAnsi="Arial" w:eastAsia="Arial" w:cs="Arial"/>
                <w:b w:val="0"/>
                <w:color w:val="000000"/>
                <w:sz w:val="19"/>
                <w:lang w:val="en-GB"/>
                <w:lang w:val="en-GB"/>
              </w:rPr>
              <w:t>£509.38</w:t>
            </w:r>
          </w:p>
        </w:tc>
      </w:tr>
      <w:tr>
        <w:trPr>
          <w:cantSplit/>
        </w:trPr>
        <w:tc>
          <w:tcPr>
            <w:tcW w:type="dxa" w:w="2494"/>
            <w:vAlign w:val="center"/>
            <w:shd w:fill="F3F7FB"/>
            <w:tcMar>
              <w:top w:w="90" w:type="dxa"/>
              <w:bottom w:w="90" w:type="dxa"/>
              <w:left w:w="95" w:type="dxa"/>
              <w:right w:w="95" w:type="dxa"/>
            </w:tcMar>
          </w:tcPr>
          <w:p>
            <w:pPr>
              <w:spacing w:before="0" w:after="0" w:line="269" w:lineRule="auto"/>
              <w:jc w:val="left"/>
            </w:pPr>
            <w:r>
              <w:rPr>
                <w:rFonts w:ascii="Arial" w:hAnsi="Arial" w:eastAsia="Arial" w:cs="Arial"/>
                <w:b w:val="0"/>
                <w:color w:val="000000"/>
                <w:sz w:val="19"/>
                <w:lang w:val="en-GB"/>
                <w:lang w:val="en-GB"/>
              </w:rPr>
              <w:t>Distinct products in 180 days</w:t>
            </w:r>
          </w:p>
        </w:tc>
        <w:tc>
          <w:tcPr>
            <w:tcW w:type="dxa" w:w="4139"/>
            <w:vAlign w:val="center"/>
            <w:shd w:fill="F3F7FB"/>
            <w:tcMar>
              <w:top w:w="90" w:type="dxa"/>
              <w:bottom w:w="90" w:type="dxa"/>
              <w:left w:w="95" w:type="dxa"/>
              <w:right w:w="95" w:type="dxa"/>
            </w:tcMar>
          </w:tcPr>
          <w:p>
            <w:pPr>
              <w:spacing w:before="0" w:after="0" w:line="269" w:lineRule="auto"/>
              <w:jc w:val="left"/>
            </w:pPr>
            <w:r>
              <w:rPr>
                <w:rFonts w:ascii="Arial" w:hAnsi="Arial" w:eastAsia="Arial" w:cs="Arial"/>
                <w:b w:val="0"/>
                <w:color w:val="000000"/>
                <w:sz w:val="19"/>
                <w:lang w:val="en-GB"/>
                <w:lang w:val="en-GB"/>
              </w:rPr>
              <w:t>Count distinct product codes</w:t>
            </w:r>
          </w:p>
        </w:tc>
        <w:tc>
          <w:tcPr>
            <w:tcW w:type="dxa" w:w="2948"/>
            <w:vAlign w:val="center"/>
            <w:shd w:fill="F3F7FB"/>
            <w:tcMar>
              <w:top w:w="90" w:type="dxa"/>
              <w:bottom w:w="90" w:type="dxa"/>
              <w:left w:w="95" w:type="dxa"/>
              <w:right w:w="95" w:type="dxa"/>
            </w:tcMar>
          </w:tcPr>
          <w:p>
            <w:pPr>
              <w:spacing w:before="0" w:after="0" w:line="269" w:lineRule="auto"/>
              <w:jc w:val="center"/>
            </w:pPr>
            <w:r>
              <w:rPr>
                <w:rFonts w:ascii="Arial" w:hAnsi="Arial" w:eastAsia="Arial" w:cs="Arial"/>
                <w:b w:val="0"/>
                <w:color w:val="000000"/>
                <w:sz w:val="19"/>
                <w:lang w:val="en-GB"/>
                <w:lang w:val="en-GB"/>
              </w:rPr>
              <w:t>39 products</w:t>
            </w:r>
          </w:p>
        </w:tc>
      </w:tr>
      <w:tr>
        <w:trPr>
          <w:cantSplit/>
        </w:trPr>
        <w:tc>
          <w:tcPr>
            <w:tcW w:type="dxa" w:w="2494"/>
            <w:vAlign w:val="center"/>
            <w:shd w:fill="FFFFFF"/>
            <w:tcMar>
              <w:top w:w="90" w:type="dxa"/>
              <w:bottom w:w="90" w:type="dxa"/>
              <w:left w:w="95" w:type="dxa"/>
              <w:right w:w="95" w:type="dxa"/>
            </w:tcMar>
          </w:tcPr>
          <w:p>
            <w:pPr>
              <w:spacing w:before="0" w:after="0" w:line="269" w:lineRule="auto"/>
              <w:jc w:val="left"/>
            </w:pPr>
            <w:r>
              <w:rPr>
                <w:rFonts w:ascii="Arial" w:hAnsi="Arial" w:eastAsia="Arial" w:cs="Arial"/>
                <w:b w:val="0"/>
                <w:color w:val="000000"/>
                <w:sz w:val="19"/>
                <w:lang w:val="en-GB"/>
                <w:lang w:val="en-GB"/>
              </w:rPr>
              <w:t>Orders in 30 days</w:t>
            </w:r>
          </w:p>
        </w:tc>
        <w:tc>
          <w:tcPr>
            <w:tcW w:type="dxa" w:w="4139"/>
            <w:vAlign w:val="center"/>
            <w:shd w:fill="FFFFFF"/>
            <w:tcMar>
              <w:top w:w="90" w:type="dxa"/>
              <w:bottom w:w="90" w:type="dxa"/>
              <w:left w:w="95" w:type="dxa"/>
              <w:right w:w="95" w:type="dxa"/>
            </w:tcMar>
          </w:tcPr>
          <w:p>
            <w:pPr>
              <w:spacing w:before="0" w:after="0" w:line="269" w:lineRule="auto"/>
              <w:jc w:val="left"/>
            </w:pPr>
            <w:r>
              <w:rPr>
                <w:rFonts w:ascii="Arial" w:hAnsi="Arial" w:eastAsia="Arial" w:cs="Arial"/>
                <w:b w:val="0"/>
                <w:color w:val="000000"/>
                <w:sz w:val="19"/>
                <w:lang w:val="en-GB"/>
                <w:lang w:val="en-GB"/>
              </w:rPr>
              <w:t>Count qualifying invoices in the previous 30 days</w:t>
            </w:r>
          </w:p>
        </w:tc>
        <w:tc>
          <w:tcPr>
            <w:tcW w:type="dxa" w:w="2948"/>
            <w:vAlign w:val="center"/>
            <w:shd w:fill="FFFFFF"/>
            <w:tcMar>
              <w:top w:w="90" w:type="dxa"/>
              <w:bottom w:w="90" w:type="dxa"/>
              <w:left w:w="95" w:type="dxa"/>
              <w:right w:w="95" w:type="dxa"/>
            </w:tcMar>
          </w:tcPr>
          <w:p>
            <w:pPr>
              <w:spacing w:before="0" w:after="0" w:line="269" w:lineRule="auto"/>
              <w:jc w:val="center"/>
            </w:pPr>
            <w:r>
              <w:rPr>
                <w:rFonts w:ascii="Arial" w:hAnsi="Arial" w:eastAsia="Arial" w:cs="Arial"/>
                <w:b w:val="0"/>
                <w:color w:val="000000"/>
                <w:sz w:val="19"/>
                <w:lang w:val="en-GB"/>
                <w:lang w:val="en-GB"/>
              </w:rPr>
              <w:t>0 orders</w:t>
            </w:r>
          </w:p>
        </w:tc>
      </w:tr>
      <w:tr>
        <w:trPr>
          <w:cantSplit/>
        </w:trPr>
        <w:tc>
          <w:tcPr>
            <w:tcW w:type="dxa" w:w="2494"/>
            <w:vAlign w:val="center"/>
            <w:shd w:fill="F3F7FB"/>
            <w:tcMar>
              <w:top w:w="90" w:type="dxa"/>
              <w:bottom w:w="90" w:type="dxa"/>
              <w:left w:w="95" w:type="dxa"/>
              <w:right w:w="95" w:type="dxa"/>
            </w:tcMar>
          </w:tcPr>
          <w:p>
            <w:pPr>
              <w:spacing w:before="0" w:after="0" w:line="269" w:lineRule="auto"/>
              <w:jc w:val="left"/>
            </w:pPr>
            <w:r>
              <w:rPr>
                <w:rFonts w:ascii="Arial" w:hAnsi="Arial" w:eastAsia="Arial" w:cs="Arial"/>
                <w:b w:val="0"/>
                <w:color w:val="000000"/>
                <w:sz w:val="19"/>
                <w:lang w:val="en-GB"/>
                <w:lang w:val="en-GB"/>
              </w:rPr>
              <w:t>Orders in 90 days</w:t>
            </w:r>
          </w:p>
        </w:tc>
        <w:tc>
          <w:tcPr>
            <w:tcW w:type="dxa" w:w="4139"/>
            <w:vAlign w:val="center"/>
            <w:shd w:fill="F3F7FB"/>
            <w:tcMar>
              <w:top w:w="90" w:type="dxa"/>
              <w:bottom w:w="90" w:type="dxa"/>
              <w:left w:w="95" w:type="dxa"/>
              <w:right w:w="95" w:type="dxa"/>
            </w:tcMar>
          </w:tcPr>
          <w:p>
            <w:pPr>
              <w:spacing w:before="0" w:after="0" w:line="269" w:lineRule="auto"/>
              <w:jc w:val="left"/>
            </w:pPr>
            <w:r>
              <w:rPr>
                <w:rFonts w:ascii="Arial" w:hAnsi="Arial" w:eastAsia="Arial" w:cs="Arial"/>
                <w:b w:val="0"/>
                <w:color w:val="000000"/>
                <w:sz w:val="19"/>
                <w:lang w:val="en-GB"/>
                <w:lang w:val="en-GB"/>
              </w:rPr>
              <w:t>Count qualifying invoices in the previous 90 days</w:t>
            </w:r>
          </w:p>
        </w:tc>
        <w:tc>
          <w:tcPr>
            <w:tcW w:type="dxa" w:w="2948"/>
            <w:vAlign w:val="center"/>
            <w:shd w:fill="F3F7FB"/>
            <w:tcMar>
              <w:top w:w="90" w:type="dxa"/>
              <w:bottom w:w="90" w:type="dxa"/>
              <w:left w:w="95" w:type="dxa"/>
              <w:right w:w="95" w:type="dxa"/>
            </w:tcMar>
          </w:tcPr>
          <w:p>
            <w:pPr>
              <w:spacing w:before="0" w:after="0" w:line="269" w:lineRule="auto"/>
              <w:jc w:val="center"/>
            </w:pPr>
            <w:r>
              <w:rPr>
                <w:rFonts w:ascii="Arial" w:hAnsi="Arial" w:eastAsia="Arial" w:cs="Arial"/>
                <w:b w:val="0"/>
                <w:color w:val="000000"/>
                <w:sz w:val="19"/>
                <w:lang w:val="en-GB"/>
                <w:lang w:val="en-GB"/>
              </w:rPr>
              <w:t>1 order</w:t>
            </w:r>
          </w:p>
        </w:tc>
      </w:tr>
      <w:tr>
        <w:trPr>
          <w:cantSplit/>
        </w:trPr>
        <w:tc>
          <w:tcPr>
            <w:tcW w:type="dxa" w:w="2494"/>
            <w:vAlign w:val="center"/>
            <w:shd w:fill="FFFFFF"/>
            <w:tcMar>
              <w:top w:w="90" w:type="dxa"/>
              <w:bottom w:w="90" w:type="dxa"/>
              <w:left w:w="95" w:type="dxa"/>
              <w:right w:w="95" w:type="dxa"/>
            </w:tcMar>
          </w:tcPr>
          <w:p>
            <w:pPr>
              <w:spacing w:before="0" w:after="0" w:line="269" w:lineRule="auto"/>
              <w:jc w:val="left"/>
            </w:pPr>
            <w:r>
              <w:rPr>
                <w:rFonts w:ascii="Arial" w:hAnsi="Arial" w:eastAsia="Arial" w:cs="Arial"/>
                <w:b w:val="0"/>
                <w:color w:val="000000"/>
                <w:sz w:val="19"/>
                <w:lang w:val="en-GB"/>
                <w:lang w:val="en-GB"/>
              </w:rPr>
              <w:t>Observed history length</w:t>
            </w:r>
          </w:p>
        </w:tc>
        <w:tc>
          <w:tcPr>
            <w:tcW w:type="dxa" w:w="4139"/>
            <w:vAlign w:val="center"/>
            <w:shd w:fill="FFFFFF"/>
            <w:tcMar>
              <w:top w:w="90" w:type="dxa"/>
              <w:bottom w:w="90" w:type="dxa"/>
              <w:left w:w="95" w:type="dxa"/>
              <w:right w:w="95" w:type="dxa"/>
            </w:tcMar>
          </w:tcPr>
          <w:p>
            <w:pPr>
              <w:spacing w:before="0" w:after="0" w:line="269" w:lineRule="auto"/>
              <w:jc w:val="left"/>
            </w:pPr>
            <w:r>
              <w:rPr>
                <w:rFonts w:ascii="Arial" w:hAnsi="Arial" w:eastAsia="Arial" w:cs="Arial"/>
                <w:b w:val="0"/>
                <w:color w:val="000000"/>
                <w:sz w:val="19"/>
                <w:lang w:val="en-GB"/>
                <w:lang w:val="en-GB"/>
              </w:rPr>
              <w:t>Days from the first observed purchase to the analysis date</w:t>
            </w:r>
          </w:p>
        </w:tc>
        <w:tc>
          <w:tcPr>
            <w:tcW w:type="dxa" w:w="2948"/>
            <w:vAlign w:val="center"/>
            <w:shd w:fill="FFFFFF"/>
            <w:tcMar>
              <w:top w:w="90" w:type="dxa"/>
              <w:bottom w:w="90" w:type="dxa"/>
              <w:left w:w="95" w:type="dxa"/>
              <w:right w:w="95" w:type="dxa"/>
            </w:tcMar>
          </w:tcPr>
          <w:p>
            <w:pPr>
              <w:spacing w:before="0" w:after="0" w:line="269" w:lineRule="auto"/>
              <w:jc w:val="center"/>
            </w:pPr>
            <w:r>
              <w:rPr>
                <w:rFonts w:ascii="Arial" w:hAnsi="Arial" w:eastAsia="Arial" w:cs="Arial"/>
                <w:b w:val="0"/>
                <w:color w:val="000000"/>
                <w:sz w:val="19"/>
                <w:lang w:val="en-GB"/>
                <w:lang w:val="en-GB"/>
              </w:rPr>
              <w:t>274 days</w:t>
            </w:r>
          </w:p>
        </w:tc>
      </w:tr>
    </w:tbl>
    <w:p>
      <w:pPr>
        <w:spacing w:after="0" w:before="0" w:line="72" w:lineRule="auto"/>
      </w:pPr>
      <w:r>
        <w:rPr>
          <w:sz w:val="4"/>
        </w:rPr>
      </w:r>
    </w:p>
    <w:p>
      <w:pPr>
        <w:keepNext w:val="0"/>
        <w:spacing w:after="140" w:line="278" w:lineRule="auto"/>
      </w:pPr>
      <w:r>
        <w:rPr>
          <w:rFonts w:ascii="Arial" w:hAnsi="Arial" w:eastAsia="Arial" w:cs="Arial"/>
          <w:b w:val="0"/>
          <w:sz w:val="22"/>
          <w:lang w:val="en-GB"/>
        </w:rPr>
        <w:t xml:space="preserve">The example is customer 12347’s snapshot on </w:t>
      </w:r>
      <w:r>
        <w:rPr>
          <w:rFonts w:ascii="Arial" w:hAnsi="Arial" w:eastAsia="Arial" w:cs="Arial"/>
          <w:b/>
          <w:sz w:val="22"/>
          <w:lang w:val="en-GB"/>
        </w:rPr>
        <w:t>2011‑08‑01</w:t>
      </w:r>
      <w:r>
        <w:rPr>
          <w:rFonts w:ascii="Arial" w:hAnsi="Arial" w:eastAsia="Arial" w:cs="Arial"/>
          <w:b w:val="0"/>
          <w:sz w:val="22"/>
          <w:lang w:val="en-GB"/>
        </w:rPr>
        <w:t>. The customer bought again within the next 30 days, so the repurchase label is 1. Qualifying spending during that period was £584.91, the spending label. Recommendation checks which products appeared in the next order within those 30 days. Segmentation uses no future label.</w:t>
      </w:r>
    </w:p>
    <w:p>
      <w:pPr>
        <w:keepNext w:val="0"/>
        <w:spacing w:after="140" w:line="278" w:lineRule="auto"/>
      </w:pPr>
      <w:r>
        <w:rPr>
          <w:rFonts w:ascii="Arial" w:hAnsi="Arial" w:eastAsia="Arial" w:cs="Arial"/>
          <w:b w:val="0"/>
          <w:sz w:val="22"/>
          <w:lang w:val="en-GB"/>
        </w:rPr>
        <w:t xml:space="preserve">The 18 monthly snapshots from June 2010 to November 2011 contain </w:t>
      </w:r>
      <w:r>
        <w:rPr>
          <w:rFonts w:ascii="Arial" w:hAnsi="Arial" w:eastAsia="Arial" w:cs="Arial"/>
          <w:b/>
          <w:sz w:val="22"/>
          <w:lang w:val="en-GB"/>
        </w:rPr>
        <w:t>54,040 records</w:t>
      </w:r>
      <w:r>
        <w:rPr>
          <w:rFonts w:ascii="Arial" w:hAnsi="Arial" w:eastAsia="Arial" w:cs="Arial"/>
          <w:b w:val="0"/>
          <w:sz w:val="22"/>
          <w:lang w:val="en-GB"/>
        </w:rPr>
        <w:t xml:space="preserve"> covering </w:t>
      </w:r>
      <w:r>
        <w:rPr>
          <w:rFonts w:ascii="Arial" w:hAnsi="Arial" w:eastAsia="Arial" w:cs="Arial"/>
          <w:b/>
          <w:sz w:val="22"/>
          <w:lang w:val="en-GB"/>
        </w:rPr>
        <w:t>5,622 customers</w:t>
      </w:r>
      <w:r>
        <w:rPr>
          <w:rFonts w:ascii="Arial" w:hAnsi="Arial" w:eastAsia="Arial" w:cs="Arial"/>
          <w:b w:val="0"/>
          <w:sz w:val="22"/>
          <w:lang w:val="en-GB"/>
        </w:rPr>
        <w:t>. Samples are split by month. A customer can appear in several months, allowing the models to learn from purchase states at different dates.</w:t>
      </w:r>
    </w:p>
    <w:p>
      <w:pPr>
        <w:pStyle w:val="Caption"/>
        <w:keepNext/>
        <w:spacing w:line="264" w:lineRule="auto"/>
        <w:jc w:val="center"/>
      </w:pPr>
      <w:r>
        <w:rPr>
          <w:rFonts w:ascii="Arial" w:hAnsi="Arial" w:eastAsia="Arial" w:cs="Arial"/>
          <w:b w:val="0"/>
          <w:sz w:val="18"/>
          <w:lang w:val="en-GB"/>
        </w:rPr>
        <w:t>Table 2-2 Time-based split of customer snapshots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4706"/>
        <w:gridCol w:w="2381"/>
      </w:tblGrid>
      <w:tr>
        <w:trPr>
          <w:cantSplit/>
          <w:tblHeader/>
        </w:trPr>
        <w:tc>
          <w:tcPr>
            <w:tcW w:type="dxa" w:w="2494"/>
            <w:vAlign w:val="center"/>
            <w:shd w:fill="244C78"/>
            <w:tcMar>
              <w:top w:w="90" w:type="dxa"/>
              <w:bottom w:w="90" w:type="dxa"/>
              <w:left w:w="95" w:type="dxa"/>
              <w:right w:w="95" w:type="dxa"/>
            </w:tcMar>
          </w:tcPr>
          <w:p>
            <w:pPr>
              <w:spacing w:before="0" w:after="0" w:line="269" w:lineRule="auto"/>
              <w:jc w:val="center"/>
            </w:pPr>
            <w:r>
              <w:rPr>
                <w:rFonts w:ascii="Arial" w:hAnsi="Arial" w:eastAsia="Arial" w:cs="Arial"/>
                <w:b/>
                <w:color w:val="FFFFFF"/>
                <w:sz w:val="19"/>
                <w:lang w:val="en-GB"/>
                <w:lang w:val="en-GB"/>
              </w:rPr>
              <w:t>Purpose</w:t>
            </w:r>
          </w:p>
        </w:tc>
        <w:tc>
          <w:tcPr>
            <w:tcW w:type="dxa" w:w="4706"/>
            <w:vAlign w:val="center"/>
            <w:shd w:fill="244C78"/>
            <w:tcMar>
              <w:top w:w="90" w:type="dxa"/>
              <w:bottom w:w="90" w:type="dxa"/>
              <w:left w:w="95" w:type="dxa"/>
              <w:right w:w="95" w:type="dxa"/>
            </w:tcMar>
          </w:tcPr>
          <w:p>
            <w:pPr>
              <w:spacing w:before="0" w:after="0" w:line="269" w:lineRule="auto"/>
              <w:jc w:val="center"/>
            </w:pPr>
            <w:r>
              <w:rPr>
                <w:rFonts w:ascii="Arial" w:hAnsi="Arial" w:eastAsia="Arial" w:cs="Arial"/>
                <w:b/>
                <w:color w:val="FFFFFF"/>
                <w:sz w:val="19"/>
                <w:lang w:val="en-GB"/>
                <w:lang w:val="en-GB"/>
              </w:rPr>
              <w:t>Snapshot months</w:t>
            </w:r>
          </w:p>
        </w:tc>
        <w:tc>
          <w:tcPr>
            <w:tcW w:type="dxa" w:w="2381"/>
            <w:vAlign w:val="center"/>
            <w:shd w:fill="244C78"/>
            <w:tcMar>
              <w:top w:w="90" w:type="dxa"/>
              <w:bottom w:w="90" w:type="dxa"/>
              <w:left w:w="95" w:type="dxa"/>
              <w:right w:w="95" w:type="dxa"/>
            </w:tcMar>
          </w:tcPr>
          <w:p>
            <w:pPr>
              <w:spacing w:before="0" w:after="0" w:line="269" w:lineRule="auto"/>
              <w:jc w:val="center"/>
            </w:pPr>
            <w:r>
              <w:rPr>
                <w:rFonts w:ascii="Arial" w:hAnsi="Arial" w:eastAsia="Arial" w:cs="Arial"/>
                <w:b/>
                <w:color w:val="FFFFFF"/>
                <w:sz w:val="19"/>
                <w:lang w:val="en-GB"/>
                <w:lang w:val="en-GB"/>
              </w:rPr>
              <w:t>Records</w:t>
            </w:r>
          </w:p>
        </w:tc>
      </w:tr>
      <w:tr>
        <w:trPr>
          <w:cantSplit/>
        </w:trPr>
        <w:tc>
          <w:tcPr>
            <w:tcW w:type="dxa" w:w="2494"/>
            <w:vAlign w:val="center"/>
            <w:shd w:fill="F3F7FB"/>
            <w:tcMar>
              <w:top w:w="90" w:type="dxa"/>
              <w:bottom w:w="90" w:type="dxa"/>
              <w:left w:w="95" w:type="dxa"/>
              <w:right w:w="95" w:type="dxa"/>
            </w:tcMar>
          </w:tcPr>
          <w:p>
            <w:pPr>
              <w:spacing w:before="0" w:after="0" w:line="269" w:lineRule="auto"/>
              <w:jc w:val="center"/>
            </w:pPr>
            <w:r>
              <w:rPr>
                <w:rFonts w:ascii="Arial" w:hAnsi="Arial" w:eastAsia="Arial" w:cs="Arial"/>
                <w:b w:val="0"/>
                <w:color w:val="000000"/>
                <w:sz w:val="19"/>
                <w:lang w:val="en-GB"/>
                <w:lang w:val="en-GB"/>
              </w:rPr>
              <w:t>Training</w:t>
            </w:r>
          </w:p>
        </w:tc>
        <w:tc>
          <w:tcPr>
            <w:tcW w:type="dxa" w:w="4706"/>
            <w:vAlign w:val="center"/>
            <w:shd w:fill="F3F7FB"/>
            <w:tcMar>
              <w:top w:w="90" w:type="dxa"/>
              <w:bottom w:w="90" w:type="dxa"/>
              <w:left w:w="95" w:type="dxa"/>
              <w:right w:w="95" w:type="dxa"/>
            </w:tcMar>
          </w:tcPr>
          <w:p>
            <w:pPr>
              <w:spacing w:before="0" w:after="0" w:line="269" w:lineRule="auto"/>
              <w:jc w:val="left"/>
            </w:pPr>
            <w:r>
              <w:rPr>
                <w:rFonts w:ascii="Arial" w:hAnsi="Arial" w:eastAsia="Arial" w:cs="Arial"/>
                <w:b w:val="0"/>
                <w:color w:val="000000"/>
                <w:sz w:val="19"/>
                <w:lang w:val="en-GB"/>
                <w:lang w:val="en-GB"/>
              </w:rPr>
              <w:t>June 2010–May 2011</w:t>
            </w:r>
          </w:p>
        </w:tc>
        <w:tc>
          <w:tcPr>
            <w:tcW w:type="dxa" w:w="2381"/>
            <w:vAlign w:val="center"/>
            <w:shd w:fill="F3F7FB"/>
            <w:tcMar>
              <w:top w:w="90" w:type="dxa"/>
              <w:bottom w:w="90" w:type="dxa"/>
              <w:left w:w="95" w:type="dxa"/>
              <w:right w:w="95" w:type="dxa"/>
            </w:tcMar>
          </w:tcPr>
          <w:p>
            <w:pPr>
              <w:spacing w:before="0" w:after="0" w:line="269" w:lineRule="auto"/>
              <w:jc w:val="center"/>
            </w:pPr>
            <w:r>
              <w:rPr>
                <w:rFonts w:ascii="Arial" w:hAnsi="Arial" w:eastAsia="Arial" w:cs="Arial"/>
                <w:b w:val="0"/>
                <w:color w:val="000000"/>
                <w:sz w:val="19"/>
                <w:lang w:val="en-GB"/>
                <w:lang w:val="en-GB"/>
              </w:rPr>
              <w:t>37,019</w:t>
            </w:r>
          </w:p>
        </w:tc>
      </w:tr>
      <w:tr>
        <w:trPr>
          <w:cantSplit/>
        </w:trPr>
        <w:tc>
          <w:tcPr>
            <w:tcW w:type="dxa" w:w="2494"/>
            <w:vAlign w:val="center"/>
            <w:shd w:fill="FFFFFF"/>
            <w:tcMar>
              <w:top w:w="90" w:type="dxa"/>
              <w:bottom w:w="90" w:type="dxa"/>
              <w:left w:w="95" w:type="dxa"/>
              <w:right w:w="95" w:type="dxa"/>
            </w:tcMar>
          </w:tcPr>
          <w:p>
            <w:pPr>
              <w:spacing w:before="0" w:after="0" w:line="269" w:lineRule="auto"/>
              <w:jc w:val="left"/>
            </w:pPr>
            <w:r>
              <w:rPr>
                <w:rFonts w:ascii="Arial" w:hAnsi="Arial" w:eastAsia="Arial" w:cs="Arial"/>
                <w:b w:val="0"/>
                <w:color w:val="000000"/>
                <w:sz w:val="19"/>
                <w:lang w:val="en-GB"/>
                <w:lang w:val="en-GB"/>
              </w:rPr>
              <w:t>Validation and selection</w:t>
            </w:r>
          </w:p>
        </w:tc>
        <w:tc>
          <w:tcPr>
            <w:tcW w:type="dxa" w:w="4706"/>
            <w:vAlign w:val="center"/>
            <w:shd w:fill="FFFFFF"/>
            <w:tcMar>
              <w:top w:w="90" w:type="dxa"/>
              <w:bottom w:w="90" w:type="dxa"/>
              <w:left w:w="95" w:type="dxa"/>
              <w:right w:w="95" w:type="dxa"/>
            </w:tcMar>
          </w:tcPr>
          <w:p>
            <w:pPr>
              <w:spacing w:before="0" w:after="0" w:line="269" w:lineRule="auto"/>
              <w:jc w:val="center"/>
            </w:pPr>
            <w:r>
              <w:rPr>
                <w:rFonts w:ascii="Arial" w:hAnsi="Arial" w:eastAsia="Arial" w:cs="Arial"/>
                <w:b w:val="0"/>
                <w:color w:val="000000"/>
                <w:sz w:val="19"/>
                <w:lang w:val="en-GB"/>
                <w:lang w:val="en-GB"/>
              </w:rPr>
              <w:t>June–August 2011</w:t>
            </w:r>
          </w:p>
        </w:tc>
        <w:tc>
          <w:tcPr>
            <w:tcW w:type="dxa" w:w="2381"/>
            <w:vAlign w:val="center"/>
            <w:shd w:fill="FFFFFF"/>
            <w:tcMar>
              <w:top w:w="90" w:type="dxa"/>
              <w:bottom w:w="90" w:type="dxa"/>
              <w:left w:w="95" w:type="dxa"/>
              <w:right w:w="95" w:type="dxa"/>
            </w:tcMar>
          </w:tcPr>
          <w:p>
            <w:pPr>
              <w:spacing w:before="0" w:after="0" w:line="269" w:lineRule="auto"/>
              <w:jc w:val="center"/>
            </w:pPr>
            <w:r>
              <w:rPr>
                <w:rFonts w:ascii="Arial" w:hAnsi="Arial" w:eastAsia="Arial" w:cs="Arial"/>
                <w:b w:val="0"/>
                <w:color w:val="000000"/>
                <w:sz w:val="19"/>
                <w:lang w:val="en-GB"/>
                <w:lang w:val="en-GB"/>
              </w:rPr>
              <w:t>8,146</w:t>
            </w:r>
          </w:p>
        </w:tc>
      </w:tr>
      <w:tr>
        <w:trPr>
          <w:cantSplit/>
        </w:trPr>
        <w:tc>
          <w:tcPr>
            <w:tcW w:type="dxa" w:w="2494"/>
            <w:vAlign w:val="center"/>
            <w:shd w:fill="F3F7FB"/>
            <w:tcMar>
              <w:top w:w="90" w:type="dxa"/>
              <w:bottom w:w="90" w:type="dxa"/>
              <w:left w:w="95" w:type="dxa"/>
              <w:right w:w="95" w:type="dxa"/>
            </w:tcMar>
          </w:tcPr>
          <w:p>
            <w:pPr>
              <w:spacing w:before="0" w:after="0" w:line="269" w:lineRule="auto"/>
              <w:jc w:val="left"/>
            </w:pPr>
            <w:r>
              <w:rPr>
                <w:rFonts w:ascii="Arial" w:hAnsi="Arial" w:eastAsia="Arial" w:cs="Arial"/>
                <w:b w:val="0"/>
                <w:color w:val="000000"/>
                <w:sz w:val="19"/>
                <w:lang w:val="en-GB"/>
                <w:lang w:val="en-GB"/>
              </w:rPr>
              <w:t>Test-period review</w:t>
            </w:r>
          </w:p>
        </w:tc>
        <w:tc>
          <w:tcPr>
            <w:tcW w:type="dxa" w:w="4706"/>
            <w:vAlign w:val="center"/>
            <w:shd w:fill="F3F7FB"/>
            <w:tcMar>
              <w:top w:w="90" w:type="dxa"/>
              <w:bottom w:w="90" w:type="dxa"/>
              <w:left w:w="95" w:type="dxa"/>
              <w:right w:w="95" w:type="dxa"/>
            </w:tcMar>
          </w:tcPr>
          <w:p>
            <w:pPr>
              <w:spacing w:before="0" w:after="0" w:line="269" w:lineRule="auto"/>
              <w:jc w:val="left"/>
            </w:pPr>
            <w:r>
              <w:rPr>
                <w:rFonts w:ascii="Arial" w:hAnsi="Arial" w:eastAsia="Arial" w:cs="Arial"/>
                <w:b w:val="0"/>
                <w:color w:val="000000"/>
                <w:sz w:val="19"/>
                <w:lang w:val="en-GB"/>
                <w:lang w:val="en-GB"/>
              </w:rPr>
              <w:t>September–November 2011</w:t>
            </w:r>
          </w:p>
        </w:tc>
        <w:tc>
          <w:tcPr>
            <w:tcW w:type="dxa" w:w="2381"/>
            <w:vAlign w:val="center"/>
            <w:shd w:fill="F3F7FB"/>
            <w:tcMar>
              <w:top w:w="90" w:type="dxa"/>
              <w:bottom w:w="90" w:type="dxa"/>
              <w:left w:w="95" w:type="dxa"/>
              <w:right w:w="95" w:type="dxa"/>
            </w:tcMar>
          </w:tcPr>
          <w:p>
            <w:pPr>
              <w:spacing w:before="0" w:after="0" w:line="269" w:lineRule="auto"/>
              <w:jc w:val="center"/>
            </w:pPr>
            <w:r>
              <w:rPr>
                <w:rFonts w:ascii="Arial" w:hAnsi="Arial" w:eastAsia="Arial" w:cs="Arial"/>
                <w:b w:val="0"/>
                <w:color w:val="000000"/>
                <w:sz w:val="19"/>
                <w:lang w:val="en-GB"/>
                <w:lang w:val="en-GB"/>
              </w:rPr>
              <w:t>8,875</w:t>
            </w:r>
          </w:p>
        </w:tc>
      </w:tr>
    </w:tbl>
    <w:p>
      <w:pPr>
        <w:spacing w:after="0" w:before="0" w:line="72" w:lineRule="auto"/>
      </w:pPr>
      <w:r>
        <w:rPr>
          <w:sz w:val="4"/>
        </w:rPr>
      </w:r>
    </w:p>
    <w:p>
      <w:pPr>
        <w:pStyle w:val="Heading1"/>
        <w:pageBreakBefore/>
      </w:pPr>
      <w:r>
        <w:rPr>
          <w:rFonts w:ascii="Arial" w:hAnsi="Arial" w:eastAsia="Arial" w:cs="Arial"/>
          <w:b/>
          <w:sz w:val="30"/>
          <w:lang w:val="en-GB"/>
        </w:rPr>
        <w:t>2.3 Model Design for the Four Modules</w:t>
      </w:r>
    </w:p>
    <w:p>
      <w:pPr>
        <w:keepNext w:val="0"/>
        <w:spacing w:after="140" w:line="278" w:lineRule="auto"/>
      </w:pPr>
      <w:r>
        <w:rPr>
          <w:rFonts w:ascii="Arial" w:hAnsi="Arial" w:eastAsia="Arial" w:cs="Arial"/>
          <w:b w:val="0"/>
          <w:sz w:val="22"/>
          <w:lang w:val="en-GB"/>
        </w:rPr>
        <w:t>Parameters are selected through forward validation within the training period: train on earlier samples whose outcomes have been fully observed, then check later months. Methods are selected on validation data and kept fixed for the September–November review. The following sections explain each module’s inputs, comparisons and outputs.</w:t>
      </w:r>
    </w:p>
    <w:p>
      <w:pPr>
        <w:pStyle w:val="Heading2"/>
      </w:pPr>
      <w:r>
        <w:rPr>
          <w:rFonts w:ascii="Arial" w:hAnsi="Arial" w:eastAsia="Arial" w:cs="Arial"/>
          <w:b/>
          <w:sz w:val="25"/>
          <w:lang w:val="en-GB"/>
        </w:rPr>
        <w:t>2.3.1 Customer Segmentation</w:t>
      </w:r>
    </w:p>
    <w:p>
      <w:pPr>
        <w:keepNext w:val="0"/>
        <w:spacing w:after="140" w:line="278" w:lineRule="auto"/>
      </w:pPr>
      <w:r>
        <w:rPr>
          <w:rFonts w:ascii="Arial" w:hAnsi="Arial" w:eastAsia="Arial" w:cs="Arial"/>
          <w:b/>
          <w:sz w:val="22"/>
          <w:lang w:val="en-GB"/>
        </w:rPr>
        <w:t>Inputs and processing.</w:t>
      </w:r>
      <w:r>
        <w:rPr>
          <w:rFonts w:ascii="Arial" w:hAnsi="Arial" w:eastAsia="Arial" w:cs="Arial"/>
          <w:b w:val="0"/>
          <w:sz w:val="22"/>
          <w:lang w:val="en-GB"/>
        </w:rPr>
        <w:t xml:space="preserve"> Segmentation uses five purchase features: days since last purchase, 180-day order count, average order value, product variety per order, and the share of orders placed in the latest 90 days. These describe recency, frequency, order value, breadth and recent change. Total spending largely duplicates “order count × average order value”, so it is not added separately.</w:t>
      </w:r>
    </w:p>
    <w:p>
      <w:pPr>
        <w:keepNext w:val="0"/>
        <w:spacing w:after="140" w:line="278" w:lineRule="auto"/>
      </w:pPr>
      <w:r>
        <w:rPr>
          <w:rFonts w:ascii="Arial" w:hAnsi="Arial" w:eastAsia="Arial" w:cs="Arial"/>
          <w:b w:val="0"/>
          <w:sz w:val="22"/>
          <w:lang w:val="en-GB"/>
        </w:rPr>
        <w:t>Order count, order value and product variety are log-transformed to reduce the influence of extreme values, then all features are standardised to comparable scales. Preprocessing settings are learned from training data.</w:t>
      </w:r>
    </w:p>
    <w:p>
      <w:pPr>
        <w:pStyle w:val="Caption"/>
        <w:keepNext/>
        <w:spacing w:line="264" w:lineRule="auto"/>
        <w:jc w:val="center"/>
      </w:pPr>
      <w:r>
        <w:rPr>
          <w:rFonts w:ascii="Arial" w:hAnsi="Arial" w:eastAsia="Arial" w:cs="Arial"/>
          <w:b w:val="0"/>
          <w:sz w:val="18"/>
          <w:lang w:val="en-GB"/>
        </w:rPr>
        <w:t>Table 2-3 Why the three clustering algorithms are compared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57"/>
        <w:gridCol w:w="4082"/>
        <w:gridCol w:w="3742"/>
      </w:tblGrid>
      <w:tr>
        <w:trPr>
          <w:cantSplit/>
          <w:tblHeader/>
        </w:trPr>
        <w:tc>
          <w:tcPr>
            <w:tcW w:type="dxa" w:w="1757"/>
            <w:vAlign w:val="center"/>
            <w:shd w:fill="244C78"/>
            <w:tcMar>
              <w:top w:w="90" w:type="dxa"/>
              <w:bottom w:w="90" w:type="dxa"/>
              <w:left w:w="95" w:type="dxa"/>
              <w:right w:w="95" w:type="dxa"/>
            </w:tcMar>
          </w:tcPr>
          <w:p>
            <w:pPr>
              <w:spacing w:before="0" w:after="0" w:line="269" w:lineRule="auto"/>
              <w:jc w:val="center"/>
            </w:pPr>
            <w:r>
              <w:rPr>
                <w:rFonts w:ascii="Arial" w:hAnsi="Arial" w:eastAsia="Arial" w:cs="Arial"/>
                <w:b/>
                <w:color w:val="FFFFFF"/>
                <w:sz w:val="19"/>
                <w:lang w:val="en-GB"/>
                <w:lang w:val="en-GB"/>
              </w:rPr>
              <w:t>Algorithm</w:t>
            </w:r>
          </w:p>
        </w:tc>
        <w:tc>
          <w:tcPr>
            <w:tcW w:type="dxa" w:w="4082"/>
            <w:vAlign w:val="center"/>
            <w:shd w:fill="244C78"/>
            <w:tcMar>
              <w:top w:w="90" w:type="dxa"/>
              <w:bottom w:w="90" w:type="dxa"/>
              <w:left w:w="95" w:type="dxa"/>
              <w:right w:w="95" w:type="dxa"/>
            </w:tcMar>
          </w:tcPr>
          <w:p>
            <w:pPr>
              <w:spacing w:before="0" w:after="0" w:line="269" w:lineRule="auto"/>
              <w:jc w:val="center"/>
            </w:pPr>
            <w:r>
              <w:rPr>
                <w:rFonts w:ascii="Arial" w:hAnsi="Arial" w:eastAsia="Arial" w:cs="Arial"/>
                <w:b/>
                <w:color w:val="FFFFFF"/>
                <w:sz w:val="19"/>
                <w:lang w:val="en-GB"/>
                <w:lang w:val="en-GB"/>
              </w:rPr>
              <w:t>How it groups customers</w:t>
            </w:r>
          </w:p>
        </w:tc>
        <w:tc>
          <w:tcPr>
            <w:tcW w:type="dxa" w:w="3742"/>
            <w:vAlign w:val="center"/>
            <w:shd w:fill="244C78"/>
            <w:tcMar>
              <w:top w:w="90" w:type="dxa"/>
              <w:bottom w:w="90" w:type="dxa"/>
              <w:left w:w="95" w:type="dxa"/>
              <w:right w:w="95" w:type="dxa"/>
            </w:tcMar>
          </w:tcPr>
          <w:p>
            <w:pPr>
              <w:spacing w:before="0" w:after="0" w:line="269" w:lineRule="auto"/>
              <w:jc w:val="center"/>
            </w:pPr>
            <w:r>
              <w:rPr>
                <w:rFonts w:ascii="Arial" w:hAnsi="Arial" w:eastAsia="Arial" w:cs="Arial"/>
                <w:b/>
                <w:color w:val="FFFFFF"/>
                <w:sz w:val="19"/>
                <w:lang w:val="en-GB"/>
                <w:lang w:val="en-GB"/>
              </w:rPr>
              <w:t>Reason for comparison</w:t>
            </w:r>
          </w:p>
        </w:tc>
      </w:tr>
      <w:tr>
        <w:trPr>
          <w:cantSplit/>
        </w:trPr>
        <w:tc>
          <w:tcPr>
            <w:tcW w:type="dxa" w:w="1757"/>
            <w:vAlign w:val="center"/>
            <w:shd w:fill="F3F7FB"/>
            <w:tcMar>
              <w:top w:w="90" w:type="dxa"/>
              <w:bottom w:w="90" w:type="dxa"/>
              <w:left w:w="95" w:type="dxa"/>
              <w:right w:w="95" w:type="dxa"/>
            </w:tcMar>
          </w:tcPr>
          <w:p>
            <w:pPr>
              <w:spacing w:before="0" w:after="0" w:line="269" w:lineRule="auto"/>
              <w:jc w:val="center"/>
            </w:pPr>
            <w:r>
              <w:rPr>
                <w:rFonts w:ascii="Arial" w:hAnsi="Arial" w:eastAsia="Arial" w:cs="Arial"/>
                <w:b w:val="0"/>
                <w:color w:val="000000"/>
                <w:sz w:val="19"/>
                <w:lang w:val="en-GB"/>
                <w:lang w:val="en-GB"/>
              </w:rPr>
              <w:t>K-means</w:t>
            </w:r>
          </w:p>
        </w:tc>
        <w:tc>
          <w:tcPr>
            <w:tcW w:type="dxa" w:w="4082"/>
            <w:vAlign w:val="center"/>
            <w:shd w:fill="F3F7FB"/>
            <w:tcMar>
              <w:top w:w="90" w:type="dxa"/>
              <w:bottom w:w="90" w:type="dxa"/>
              <w:left w:w="95" w:type="dxa"/>
              <w:right w:w="95" w:type="dxa"/>
            </w:tcMar>
          </w:tcPr>
          <w:p>
            <w:pPr>
              <w:spacing w:before="0" w:after="0" w:line="269" w:lineRule="auto"/>
              <w:jc w:val="left"/>
            </w:pPr>
            <w:r>
              <w:rPr>
                <w:rFonts w:ascii="Arial" w:hAnsi="Arial" w:eastAsia="Arial" w:cs="Arial"/>
                <w:b w:val="0"/>
                <w:color w:val="000000"/>
                <w:sz w:val="19"/>
                <w:lang w:val="en-GB"/>
                <w:lang w:val="en-GB"/>
              </w:rPr>
              <w:t>Finds a centre for each cluster and assigns customers by distance.</w:t>
            </w:r>
          </w:p>
        </w:tc>
        <w:tc>
          <w:tcPr>
            <w:tcW w:type="dxa" w:w="3742"/>
            <w:vAlign w:val="center"/>
            <w:shd w:fill="F3F7FB"/>
            <w:tcMar>
              <w:top w:w="90" w:type="dxa"/>
              <w:bottom w:w="90" w:type="dxa"/>
              <w:left w:w="95" w:type="dxa"/>
              <w:right w:w="95" w:type="dxa"/>
            </w:tcMar>
          </w:tcPr>
          <w:p>
            <w:pPr>
              <w:spacing w:before="0" w:after="0" w:line="269" w:lineRule="auto"/>
              <w:jc w:val="left"/>
            </w:pPr>
            <w:r>
              <w:rPr>
                <w:rFonts w:ascii="Arial" w:hAnsi="Arial" w:eastAsia="Arial" w:cs="Arial"/>
                <w:b w:val="0"/>
                <w:color w:val="000000"/>
                <w:sz w:val="19"/>
                <w:lang w:val="en-GB"/>
                <w:lang w:val="en-GB"/>
              </w:rPr>
              <w:t>Centres are easy to interpret as customer profiles.</w:t>
            </w:r>
          </w:p>
        </w:tc>
      </w:tr>
      <w:tr>
        <w:trPr>
          <w:cantSplit/>
        </w:trPr>
        <w:tc>
          <w:tcPr>
            <w:tcW w:type="dxa" w:w="1757"/>
            <w:vAlign w:val="center"/>
            <w:shd w:fill="FFFFFF"/>
            <w:tcMar>
              <w:top w:w="90" w:type="dxa"/>
              <w:bottom w:w="90" w:type="dxa"/>
              <w:left w:w="95" w:type="dxa"/>
              <w:right w:w="95" w:type="dxa"/>
            </w:tcMar>
          </w:tcPr>
          <w:p>
            <w:pPr>
              <w:spacing w:before="0" w:after="0" w:line="269" w:lineRule="auto"/>
              <w:jc w:val="left"/>
            </w:pPr>
            <w:r>
              <w:rPr>
                <w:rFonts w:ascii="Arial" w:hAnsi="Arial" w:eastAsia="Arial" w:cs="Arial"/>
                <w:b w:val="0"/>
                <w:color w:val="000000"/>
                <w:sz w:val="19"/>
                <w:lang w:val="en-GB"/>
                <w:lang w:val="en-GB"/>
              </w:rPr>
              <w:t>Bisecting K-means</w:t>
            </w:r>
          </w:p>
        </w:tc>
        <w:tc>
          <w:tcPr>
            <w:tcW w:type="dxa" w:w="4082"/>
            <w:vAlign w:val="center"/>
            <w:shd w:fill="FFFFFF"/>
            <w:tcMar>
              <w:top w:w="90" w:type="dxa"/>
              <w:bottom w:w="90" w:type="dxa"/>
              <w:left w:w="95" w:type="dxa"/>
              <w:right w:w="95" w:type="dxa"/>
            </w:tcMar>
          </w:tcPr>
          <w:p>
            <w:pPr>
              <w:spacing w:before="0" w:after="0" w:line="269" w:lineRule="auto"/>
              <w:jc w:val="left"/>
            </w:pPr>
            <w:r>
              <w:rPr>
                <w:rFonts w:ascii="Arial" w:hAnsi="Arial" w:eastAsia="Arial" w:cs="Arial"/>
                <w:b w:val="0"/>
                <w:color w:val="000000"/>
                <w:sz w:val="19"/>
                <w:lang w:val="en-GB"/>
                <w:lang w:val="en-GB"/>
              </w:rPr>
              <w:t>Splits clusters step by step, selecting a cluster with high internal variation.</w:t>
            </w:r>
          </w:p>
        </w:tc>
        <w:tc>
          <w:tcPr>
            <w:tcW w:type="dxa" w:w="3742"/>
            <w:vAlign w:val="center"/>
            <w:shd w:fill="FFFFFF"/>
            <w:tcMar>
              <w:top w:w="90" w:type="dxa"/>
              <w:bottom w:w="90" w:type="dxa"/>
              <w:left w:w="95" w:type="dxa"/>
              <w:right w:w="95" w:type="dxa"/>
            </w:tcMar>
          </w:tcPr>
          <w:p>
            <w:pPr>
              <w:spacing w:before="0" w:after="0" w:line="269" w:lineRule="auto"/>
              <w:jc w:val="left"/>
            </w:pPr>
            <w:r>
              <w:rPr>
                <w:rFonts w:ascii="Arial" w:hAnsi="Arial" w:eastAsia="Arial" w:cs="Arial"/>
                <w:b w:val="0"/>
                <w:color w:val="000000"/>
                <w:sz w:val="19"/>
                <w:lang w:val="en-GB"/>
                <w:lang w:val="en-GB"/>
              </w:rPr>
              <w:t>Tests whether hierarchical splitting gives more stable segments.</w:t>
            </w:r>
          </w:p>
        </w:tc>
      </w:tr>
      <w:tr>
        <w:trPr>
          <w:cantSplit/>
        </w:trPr>
        <w:tc>
          <w:tcPr>
            <w:tcW w:type="dxa" w:w="1757"/>
            <w:vAlign w:val="center"/>
            <w:shd w:fill="F3F7FB"/>
            <w:tcMar>
              <w:top w:w="90" w:type="dxa"/>
              <w:bottom w:w="90" w:type="dxa"/>
              <w:left w:w="95" w:type="dxa"/>
              <w:right w:w="95" w:type="dxa"/>
            </w:tcMar>
          </w:tcPr>
          <w:p>
            <w:pPr>
              <w:spacing w:before="0" w:after="0" w:line="269" w:lineRule="auto"/>
              <w:jc w:val="left"/>
            </w:pPr>
            <w:r>
              <w:rPr>
                <w:rFonts w:ascii="Arial" w:hAnsi="Arial" w:eastAsia="Arial" w:cs="Arial"/>
                <w:b w:val="0"/>
                <w:color w:val="000000"/>
                <w:sz w:val="19"/>
                <w:lang w:val="en-GB"/>
                <w:lang w:val="en-GB"/>
              </w:rPr>
              <w:t>Gaussian mixture model (GMM)</w:t>
            </w:r>
          </w:p>
        </w:tc>
        <w:tc>
          <w:tcPr>
            <w:tcW w:type="dxa" w:w="4082"/>
            <w:vAlign w:val="center"/>
            <w:shd w:fill="F3F7FB"/>
            <w:tcMar>
              <w:top w:w="90" w:type="dxa"/>
              <w:bottom w:w="90" w:type="dxa"/>
              <w:left w:w="95" w:type="dxa"/>
              <w:right w:w="95" w:type="dxa"/>
            </w:tcMar>
          </w:tcPr>
          <w:p>
            <w:pPr>
              <w:spacing w:before="0" w:after="0" w:line="269" w:lineRule="auto"/>
              <w:jc w:val="left"/>
            </w:pPr>
            <w:r>
              <w:rPr>
                <w:rFonts w:ascii="Arial" w:hAnsi="Arial" w:eastAsia="Arial" w:cs="Arial"/>
                <w:b w:val="0"/>
                <w:color w:val="000000"/>
                <w:sz w:val="19"/>
                <w:lang w:val="en-GB"/>
                <w:lang w:val="en-GB"/>
              </w:rPr>
              <w:t>Represents clusters as Gaussian distributions and assigns customers by membership probability.</w:t>
            </w:r>
          </w:p>
        </w:tc>
        <w:tc>
          <w:tcPr>
            <w:tcW w:type="dxa" w:w="3742"/>
            <w:vAlign w:val="center"/>
            <w:shd w:fill="F3F7FB"/>
            <w:tcMar>
              <w:top w:w="90" w:type="dxa"/>
              <w:bottom w:w="90" w:type="dxa"/>
              <w:left w:w="95" w:type="dxa"/>
              <w:right w:w="95" w:type="dxa"/>
            </w:tcMar>
          </w:tcPr>
          <w:p>
            <w:pPr>
              <w:spacing w:before="0" w:after="0" w:line="269" w:lineRule="auto"/>
              <w:jc w:val="left"/>
            </w:pPr>
            <w:r>
              <w:rPr>
                <w:rFonts w:ascii="Arial" w:hAnsi="Arial" w:eastAsia="Arial" w:cs="Arial"/>
                <w:b w:val="0"/>
                <w:color w:val="000000"/>
                <w:sz w:val="19"/>
                <w:lang w:val="en-GB"/>
                <w:lang w:val="en-GB"/>
              </w:rPr>
              <w:t>Allows different cluster shapes and sizes, relaxing the K-means shape assumption.</w:t>
            </w:r>
          </w:p>
        </w:tc>
      </w:tr>
    </w:tbl>
    <w:p>
      <w:pPr>
        <w:spacing w:after="0" w:before="0" w:line="72" w:lineRule="auto"/>
      </w:pPr>
      <w:r>
        <w:rPr>
          <w:sz w:val="4"/>
        </w:rPr>
      </w:r>
    </w:p>
    <w:p>
      <w:pPr>
        <w:keepNext w:val="0"/>
        <w:spacing w:after="140" w:line="278" w:lineRule="auto"/>
      </w:pPr>
      <w:r>
        <w:rPr>
          <w:rFonts w:ascii="Arial" w:hAnsi="Arial" w:eastAsia="Arial" w:cs="Arial"/>
          <w:b w:val="0"/>
          <w:sz w:val="22"/>
          <w:lang w:val="en-GB"/>
        </w:rPr>
        <w:t xml:space="preserve">All three algorithms are compared with </w:t>
      </w:r>
      <w:r>
        <w:rPr>
          <w:rFonts w:ascii="Arial" w:hAnsi="Arial" w:eastAsia="Arial" w:cs="Arial"/>
          <w:b/>
          <w:sz w:val="22"/>
          <w:lang w:val="en-GB"/>
        </w:rPr>
        <w:t>2–6 clusters</w:t>
      </w:r>
      <w:r>
        <w:rPr>
          <w:rFonts w:ascii="Arial" w:hAnsi="Arial" w:eastAsia="Arial" w:cs="Arial"/>
          <w:b w:val="0"/>
          <w:sz w:val="22"/>
          <w:lang w:val="en-GB"/>
        </w:rPr>
        <w:t>. The silhouette coefficient measures separation; ARI after customer resampling measures grouping stability. Validation months check whether cluster sizes and profiles recur. Selection considers separation, stability and business interpretation together.</w:t>
      </w:r>
    </w:p>
    <w:p>
      <w:pPr>
        <w:keepNext w:val="0"/>
        <w:spacing w:after="140" w:line="278" w:lineRule="auto"/>
      </w:pPr>
      <w:r>
        <w:rPr>
          <w:rFonts w:ascii="Arial" w:hAnsi="Arial" w:eastAsia="Arial" w:cs="Arial"/>
          <w:b/>
          <w:sz w:val="22"/>
          <w:lang w:val="en-GB"/>
        </w:rPr>
        <w:t>The selected method is K-means with 4 clusters.</w:t>
      </w:r>
      <w:r>
        <w:rPr>
          <w:rFonts w:ascii="Arial" w:hAnsi="Arial" w:eastAsia="Arial" w:cs="Arial"/>
          <w:b w:val="0"/>
          <w:sz w:val="22"/>
          <w:lang w:val="en-GB"/>
        </w:rPr>
        <w:t xml:space="preserve"> Two clusters achieve the highest silhouette coefficient, highlighting the difference between long-inactive and recent buyers. Four clusters retain stability while distinguishing frequent, low-order-value and high-order-value recent buyers. These profiles recur in all three validation months. The algorithm creates the groups, and the team names them from their statistics.</w:t>
      </w:r>
    </w:p>
    <w:p>
      <w:pPr>
        <w:keepNext w:val="0"/>
        <w:spacing w:after="140" w:line="278" w:lineRule="auto"/>
      </w:pPr>
      <w:r>
        <w:rPr>
          <w:rFonts w:ascii="Arial" w:hAnsi="Arial" w:eastAsia="Arial" w:cs="Arial"/>
          <w:b w:val="0"/>
          <w:sz w:val="22"/>
          <w:lang w:val="en-GB"/>
        </w:rPr>
        <w:t xml:space="preserve">The groups are </w:t>
      </w:r>
      <w:r>
        <w:rPr>
          <w:rFonts w:ascii="Arial" w:hAnsi="Arial" w:eastAsia="Arial" w:cs="Arial"/>
          <w:b/>
          <w:sz w:val="22"/>
          <w:lang w:val="en-GB"/>
        </w:rPr>
        <w:t>Group 1 Long inactive, Group 2 Recent frequent buyers, Group 3 Recent low order value, and Group 4 Recent high order value</w:t>
      </w:r>
      <w:r>
        <w:rPr>
          <w:rFonts w:ascii="Arial" w:hAnsi="Arial" w:eastAsia="Arial" w:cs="Arial"/>
          <w:b w:val="0"/>
          <w:sz w:val="22"/>
          <w:lang w:val="en-GB"/>
        </w:rPr>
        <w:t>. At inference, a customer is assigned to the nearest cluster centre. Frequency describes order count, while order value describes spending per order, so frequent buyers can have higher total spending.</w:t>
      </w:r>
    </w:p>
    <w:p>
      <w:pPr>
        <w:pStyle w:val="Heading2"/>
        <w:pageBreakBefore/>
      </w:pPr>
      <w:r>
        <w:rPr>
          <w:rFonts w:ascii="Arial" w:hAnsi="Arial" w:eastAsia="Arial" w:cs="Arial"/>
          <w:b/>
          <w:sz w:val="25"/>
          <w:lang w:val="en-GB"/>
        </w:rPr>
        <w:t>2.3.2 Predicting Repurchase in the Next 30 Days</w:t>
      </w:r>
    </w:p>
    <w:p>
      <w:pPr>
        <w:keepNext w:val="0"/>
        <w:spacing w:after="140" w:line="278" w:lineRule="auto"/>
      </w:pPr>
      <w:r>
        <w:rPr>
          <w:rFonts w:ascii="Arial" w:hAnsi="Arial" w:eastAsia="Arial" w:cs="Arial"/>
          <w:b/>
          <w:sz w:val="22"/>
          <w:lang w:val="en-GB"/>
        </w:rPr>
        <w:t>Objective and label.</w:t>
      </w:r>
      <w:r>
        <w:rPr>
          <w:rFonts w:ascii="Arial" w:hAnsi="Arial" w:eastAsia="Arial" w:cs="Arial"/>
          <w:b w:val="0"/>
          <w:sz w:val="22"/>
          <w:lang w:val="en-GB"/>
        </w:rPr>
        <w:t xml:space="preserve"> At least one qualifying purchase in the next 30 days is labelled 1; otherwise the label is 0. The model uses information available before the analysis date to calculate a repurchase score and rank customers from highest to lowest.</w:t>
      </w:r>
    </w:p>
    <w:p>
      <w:pPr>
        <w:pStyle w:val="Caption"/>
        <w:keepNext/>
        <w:spacing w:line="264" w:lineRule="auto"/>
        <w:jc w:val="center"/>
      </w:pPr>
      <w:r>
        <w:rPr>
          <w:rFonts w:ascii="Arial" w:hAnsi="Arial" w:eastAsia="Arial" w:cs="Arial"/>
          <w:b w:val="0"/>
          <w:sz w:val="18"/>
          <w:lang w:val="en-GB"/>
        </w:rPr>
        <w:t>Table 2-4 Three feature groups for repurchase prediction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24"/>
        <w:gridCol w:w="4139"/>
        <w:gridCol w:w="3118"/>
      </w:tblGrid>
      <w:tr>
        <w:trPr>
          <w:cantSplit/>
          <w:tblHeader/>
        </w:trPr>
        <w:tc>
          <w:tcPr>
            <w:tcW w:type="dxa" w:w="2324"/>
            <w:vAlign w:val="center"/>
            <w:shd w:fill="244C78"/>
            <w:tcMar>
              <w:top w:w="90" w:type="dxa"/>
              <w:bottom w:w="90" w:type="dxa"/>
              <w:left w:w="95" w:type="dxa"/>
              <w:right w:w="95" w:type="dxa"/>
            </w:tcMar>
          </w:tcPr>
          <w:p>
            <w:pPr>
              <w:spacing w:before="0" w:after="0" w:line="269" w:lineRule="auto"/>
              <w:jc w:val="center"/>
            </w:pPr>
            <w:r>
              <w:rPr>
                <w:rFonts w:ascii="Arial" w:hAnsi="Arial" w:eastAsia="Arial" w:cs="Arial"/>
                <w:b/>
                <w:color w:val="FFFFFF"/>
                <w:sz w:val="19"/>
                <w:lang w:val="en-GB"/>
                <w:lang w:val="en-GB"/>
              </w:rPr>
              <w:t>Feature group</w:t>
            </w:r>
          </w:p>
        </w:tc>
        <w:tc>
          <w:tcPr>
            <w:tcW w:type="dxa" w:w="4139"/>
            <w:vAlign w:val="center"/>
            <w:shd w:fill="244C78"/>
            <w:tcMar>
              <w:top w:w="90" w:type="dxa"/>
              <w:bottom w:w="90" w:type="dxa"/>
              <w:left w:w="95" w:type="dxa"/>
              <w:right w:w="95" w:type="dxa"/>
            </w:tcMar>
          </w:tcPr>
          <w:p>
            <w:pPr>
              <w:spacing w:before="0" w:after="0" w:line="269" w:lineRule="auto"/>
              <w:jc w:val="center"/>
            </w:pPr>
            <w:r>
              <w:rPr>
                <w:rFonts w:ascii="Arial" w:hAnsi="Arial" w:eastAsia="Arial" w:cs="Arial"/>
                <w:b/>
                <w:color w:val="FFFFFF"/>
                <w:sz w:val="19"/>
                <w:lang w:val="en-GB"/>
                <w:lang w:val="en-GB"/>
              </w:rPr>
              <w:t>Information provided</w:t>
            </w:r>
          </w:p>
        </w:tc>
        <w:tc>
          <w:tcPr>
            <w:tcW w:type="dxa" w:w="3118"/>
            <w:vAlign w:val="center"/>
            <w:shd w:fill="244C78"/>
            <w:tcMar>
              <w:top w:w="90" w:type="dxa"/>
              <w:bottom w:w="90" w:type="dxa"/>
              <w:left w:w="95" w:type="dxa"/>
              <w:right w:w="95" w:type="dxa"/>
            </w:tcMar>
          </w:tcPr>
          <w:p>
            <w:pPr>
              <w:spacing w:before="0" w:after="0" w:line="269" w:lineRule="auto"/>
              <w:jc w:val="center"/>
            </w:pPr>
            <w:r>
              <w:rPr>
                <w:rFonts w:ascii="Arial" w:hAnsi="Arial" w:eastAsia="Arial" w:cs="Arial"/>
                <w:b/>
                <w:color w:val="FFFFFF"/>
                <w:sz w:val="19"/>
                <w:lang w:val="en-GB"/>
                <w:lang w:val="en-GB"/>
              </w:rPr>
              <w:t>Purpose</w:t>
            </w:r>
          </w:p>
        </w:tc>
      </w:tr>
      <w:tr>
        <w:trPr>
          <w:cantSplit/>
        </w:trPr>
        <w:tc>
          <w:tcPr>
            <w:tcW w:type="dxa" w:w="2324"/>
            <w:vAlign w:val="center"/>
            <w:shd w:fill="F3F7FB"/>
            <w:tcMar>
              <w:top w:w="90" w:type="dxa"/>
              <w:bottom w:w="90" w:type="dxa"/>
              <w:left w:w="95" w:type="dxa"/>
              <w:right w:w="95" w:type="dxa"/>
            </w:tcMar>
          </w:tcPr>
          <w:p>
            <w:pPr>
              <w:spacing w:before="0" w:after="0" w:line="269" w:lineRule="auto"/>
              <w:jc w:val="center"/>
            </w:pPr>
            <w:r>
              <w:rPr>
                <w:rFonts w:ascii="Arial" w:hAnsi="Arial" w:eastAsia="Arial" w:cs="Arial"/>
                <w:b w:val="0"/>
                <w:color w:val="000000"/>
                <w:sz w:val="19"/>
                <w:lang w:val="en-GB"/>
                <w:lang w:val="en-GB"/>
              </w:rPr>
              <w:t>Base: 8 features</w:t>
            </w:r>
          </w:p>
        </w:tc>
        <w:tc>
          <w:tcPr>
            <w:tcW w:type="dxa" w:w="4139"/>
            <w:vAlign w:val="center"/>
            <w:shd w:fill="F3F7FB"/>
            <w:tcMar>
              <w:top w:w="90" w:type="dxa"/>
              <w:bottom w:w="90" w:type="dxa"/>
              <w:left w:w="95" w:type="dxa"/>
              <w:right w:w="95" w:type="dxa"/>
            </w:tcMar>
          </w:tcPr>
          <w:p>
            <w:pPr>
              <w:spacing w:before="0" w:after="0" w:line="269" w:lineRule="auto"/>
              <w:jc w:val="left"/>
            </w:pPr>
            <w:r>
              <w:rPr>
                <w:rFonts w:ascii="Arial" w:hAnsi="Arial" w:eastAsia="Arial" w:cs="Arial"/>
                <w:b w:val="0"/>
                <w:color w:val="000000"/>
                <w:sz w:val="19"/>
                <w:lang w:val="en-GB"/>
                <w:lang w:val="en-GB"/>
              </w:rPr>
              <w:t>Timing, counts, spending and product variety from Table 2-1.</w:t>
            </w:r>
          </w:p>
        </w:tc>
        <w:tc>
          <w:tcPr>
            <w:tcW w:type="dxa" w:w="3118"/>
            <w:vAlign w:val="center"/>
            <w:shd w:fill="F3F7FB"/>
            <w:tcMar>
              <w:top w:w="90" w:type="dxa"/>
              <w:bottom w:w="90" w:type="dxa"/>
              <w:left w:w="95" w:type="dxa"/>
              <w:right w:w="95" w:type="dxa"/>
            </w:tcMar>
          </w:tcPr>
          <w:p>
            <w:pPr>
              <w:spacing w:before="0" w:after="0" w:line="269" w:lineRule="auto"/>
              <w:jc w:val="left"/>
            </w:pPr>
            <w:r>
              <w:rPr>
                <w:rFonts w:ascii="Arial" w:hAnsi="Arial" w:eastAsia="Arial" w:cs="Arial"/>
                <w:b w:val="0"/>
                <w:color w:val="000000"/>
                <w:sz w:val="19"/>
                <w:lang w:val="en-GB"/>
                <w:lang w:val="en-GB"/>
              </w:rPr>
              <w:t>Describe the same base purchase status for every customer.</w:t>
            </w:r>
          </w:p>
        </w:tc>
      </w:tr>
      <w:tr>
        <w:trPr>
          <w:cantSplit/>
        </w:trPr>
        <w:tc>
          <w:tcPr>
            <w:tcW w:type="dxa" w:w="2324"/>
            <w:vAlign w:val="center"/>
            <w:shd w:fill="FFFFFF"/>
            <w:tcMar>
              <w:top w:w="90" w:type="dxa"/>
              <w:bottom w:w="90" w:type="dxa"/>
              <w:left w:w="95" w:type="dxa"/>
              <w:right w:w="95" w:type="dxa"/>
            </w:tcMar>
          </w:tcPr>
          <w:p>
            <w:pPr>
              <w:spacing w:before="0" w:after="0" w:line="269" w:lineRule="auto"/>
              <w:jc w:val="left"/>
            </w:pPr>
            <w:r>
              <w:rPr>
                <w:rFonts w:ascii="Arial" w:hAnsi="Arial" w:eastAsia="Arial" w:cs="Arial"/>
                <w:b w:val="0"/>
                <w:color w:val="000000"/>
                <w:sz w:val="19"/>
                <w:lang w:val="en-GB"/>
                <w:lang w:val="en-GB"/>
              </w:rPr>
              <w:t>Base + trend: 11 features</w:t>
            </w:r>
          </w:p>
        </w:tc>
        <w:tc>
          <w:tcPr>
            <w:tcW w:type="dxa" w:w="4139"/>
            <w:vAlign w:val="center"/>
            <w:shd w:fill="FFFFFF"/>
            <w:tcMar>
              <w:top w:w="90" w:type="dxa"/>
              <w:bottom w:w="90" w:type="dxa"/>
              <w:left w:w="95" w:type="dxa"/>
              <w:right w:w="95" w:type="dxa"/>
            </w:tcMar>
          </w:tcPr>
          <w:p>
            <w:pPr>
              <w:spacing w:before="0" w:after="0" w:line="269" w:lineRule="auto"/>
              <w:jc w:val="left"/>
            </w:pPr>
            <w:r>
              <w:rPr>
                <w:rFonts w:ascii="Arial" w:hAnsi="Arial" w:eastAsia="Arial" w:cs="Arial"/>
                <w:b w:val="0"/>
                <w:color w:val="000000"/>
                <w:sz w:val="19"/>
                <w:lang w:val="en-GB"/>
                <w:lang w:val="en-GB"/>
              </w:rPr>
              <w:t>Add recent order share, order change and a history-length flag.</w:t>
            </w:r>
          </w:p>
        </w:tc>
        <w:tc>
          <w:tcPr>
            <w:tcW w:type="dxa" w:w="3118"/>
            <w:vAlign w:val="center"/>
            <w:shd w:fill="FFFFFF"/>
            <w:tcMar>
              <w:top w:w="90" w:type="dxa"/>
              <w:bottom w:w="90" w:type="dxa"/>
              <w:left w:w="95" w:type="dxa"/>
              <w:right w:w="95" w:type="dxa"/>
            </w:tcMar>
          </w:tcPr>
          <w:p>
            <w:pPr>
              <w:spacing w:before="0" w:after="0" w:line="269" w:lineRule="auto"/>
              <w:jc w:val="left"/>
            </w:pPr>
            <w:r>
              <w:rPr>
                <w:rFonts w:ascii="Arial" w:hAnsi="Arial" w:eastAsia="Arial" w:cs="Arial"/>
                <w:b w:val="0"/>
                <w:color w:val="000000"/>
                <w:sz w:val="19"/>
                <w:lang w:val="en-GB"/>
                <w:lang w:val="en-GB"/>
              </w:rPr>
              <w:t>Distinguish increasing from decreasing recent activity.</w:t>
            </w:r>
          </w:p>
        </w:tc>
      </w:tr>
      <w:tr>
        <w:trPr>
          <w:cantSplit/>
        </w:trPr>
        <w:tc>
          <w:tcPr>
            <w:tcW w:type="dxa" w:w="2324"/>
            <w:vAlign w:val="center"/>
            <w:shd w:fill="F3F7FB"/>
            <w:tcMar>
              <w:top w:w="90" w:type="dxa"/>
              <w:bottom w:w="90" w:type="dxa"/>
              <w:left w:w="95" w:type="dxa"/>
              <w:right w:w="95" w:type="dxa"/>
            </w:tcMar>
          </w:tcPr>
          <w:p>
            <w:pPr>
              <w:spacing w:before="0" w:after="0" w:line="269" w:lineRule="auto"/>
              <w:jc w:val="left"/>
            </w:pPr>
            <w:r>
              <w:rPr>
                <w:rFonts w:ascii="Arial" w:hAnsi="Arial" w:eastAsia="Arial" w:cs="Arial"/>
                <w:b w:val="0"/>
                <w:color w:val="000000"/>
                <w:sz w:val="19"/>
                <w:lang w:val="en-GB"/>
                <w:lang w:val="en-GB"/>
              </w:rPr>
              <w:t>Base + trend + timing: 14 features</w:t>
            </w:r>
          </w:p>
        </w:tc>
        <w:tc>
          <w:tcPr>
            <w:tcW w:type="dxa" w:w="4139"/>
            <w:vAlign w:val="center"/>
            <w:shd w:fill="F3F7FB"/>
            <w:tcMar>
              <w:top w:w="90" w:type="dxa"/>
              <w:bottom w:w="90" w:type="dxa"/>
              <w:left w:w="95" w:type="dxa"/>
              <w:right w:w="95" w:type="dxa"/>
            </w:tcMar>
          </w:tcPr>
          <w:p>
            <w:pPr>
              <w:spacing w:before="0" w:after="0" w:line="269" w:lineRule="auto"/>
              <w:jc w:val="left"/>
            </w:pPr>
            <w:r>
              <w:rPr>
                <w:rFonts w:ascii="Arial" w:hAnsi="Arial" w:eastAsia="Arial" w:cs="Arial"/>
                <w:b w:val="0"/>
                <w:color w:val="000000"/>
                <w:sz w:val="19"/>
                <w:lang w:val="en-GB"/>
                <w:lang w:val="en-GB"/>
              </w:rPr>
              <w:t>Also add active purchase periods, the last inter-order gap and a multiple-purchase flag.</w:t>
            </w:r>
          </w:p>
        </w:tc>
        <w:tc>
          <w:tcPr>
            <w:tcW w:type="dxa" w:w="3118"/>
            <w:vAlign w:val="center"/>
            <w:shd w:fill="F3F7FB"/>
            <w:tcMar>
              <w:top w:w="90" w:type="dxa"/>
              <w:bottom w:w="90" w:type="dxa"/>
              <w:left w:w="95" w:type="dxa"/>
              <w:right w:w="95" w:type="dxa"/>
            </w:tcMar>
          </w:tcPr>
          <w:p>
            <w:pPr>
              <w:spacing w:before="0" w:after="0" w:line="269" w:lineRule="auto"/>
              <w:jc w:val="left"/>
            </w:pPr>
            <w:r>
              <w:rPr>
                <w:rFonts w:ascii="Arial" w:hAnsi="Arial" w:eastAsia="Arial" w:cs="Arial"/>
                <w:b w:val="0"/>
                <w:color w:val="000000"/>
                <w:sz w:val="19"/>
                <w:lang w:val="en-GB"/>
                <w:lang w:val="en-GB"/>
              </w:rPr>
              <w:t>Distinguish regular buying from occasional bursts.</w:t>
            </w:r>
          </w:p>
        </w:tc>
      </w:tr>
    </w:tbl>
    <w:p>
      <w:pPr>
        <w:spacing w:after="0" w:before="0" w:line="72" w:lineRule="auto"/>
      </w:pPr>
      <w:r>
        <w:rPr>
          <w:sz w:val="4"/>
        </w:rPr>
      </w:r>
    </w:p>
    <w:p>
      <w:pPr>
        <w:keepNext w:val="0"/>
        <w:spacing w:after="140" w:line="278" w:lineRule="auto"/>
      </w:pPr>
      <w:r>
        <w:rPr>
          <w:rFonts w:ascii="Arial" w:hAnsi="Arial" w:eastAsia="Arial" w:cs="Arial"/>
          <w:b w:val="0"/>
          <w:sz w:val="22"/>
          <w:lang w:val="en-GB"/>
        </w:rPr>
        <w:t xml:space="preserve">Each group is tested with four models, giving 12 combinations. </w:t>
      </w:r>
      <w:r>
        <w:rPr>
          <w:rFonts w:ascii="Arial" w:hAnsi="Arial" w:eastAsia="Arial" w:cs="Arial"/>
          <w:b/>
          <w:sz w:val="22"/>
          <w:lang w:val="en-GB"/>
        </w:rPr>
        <w:t>Logistic regression (LR)</w:t>
      </w:r>
      <w:r>
        <w:rPr>
          <w:rFonts w:ascii="Arial" w:hAnsi="Arial" w:eastAsia="Arial" w:cs="Arial"/>
          <w:b w:val="0"/>
          <w:sz w:val="22"/>
          <w:lang w:val="en-GB"/>
        </w:rPr>
        <w:t xml:space="preserve"> provides an interpretable linear reference. </w:t>
      </w:r>
      <w:r>
        <w:rPr>
          <w:rFonts w:ascii="Arial" w:hAnsi="Arial" w:eastAsia="Arial" w:cs="Arial"/>
          <w:b/>
          <w:sz w:val="22"/>
          <w:lang w:val="en-GB"/>
        </w:rPr>
        <w:t>Spline logistic regression</w:t>
      </w:r>
      <w:r>
        <w:rPr>
          <w:rFonts w:ascii="Arial" w:hAnsi="Arial" w:eastAsia="Arial" w:cs="Arial"/>
          <w:b w:val="0"/>
          <w:sz w:val="22"/>
          <w:lang w:val="en-GB"/>
        </w:rPr>
        <w:t xml:space="preserve"> allows the effect of purchase recency to curve. </w:t>
      </w:r>
      <w:r>
        <w:rPr>
          <w:rFonts w:ascii="Arial" w:hAnsi="Arial" w:eastAsia="Arial" w:cs="Arial"/>
          <w:b/>
          <w:sz w:val="22"/>
          <w:lang w:val="en-GB"/>
        </w:rPr>
        <w:t>XGBoost and LightGBM</w:t>
      </w:r>
      <w:r>
        <w:rPr>
          <w:rFonts w:ascii="Arial" w:hAnsi="Arial" w:eastAsia="Arial" w:cs="Arial"/>
          <w:b w:val="0"/>
          <w:sz w:val="22"/>
          <w:lang w:val="en-GB"/>
        </w:rPr>
        <w:t xml:space="preserve"> are gradient-boosted trees that learn nonlinear and combined effects of timing, frequency and spending, using different tree-building strategies.</w:t>
      </w:r>
    </w:p>
    <w:p>
      <w:pPr>
        <w:keepNext w:val="0"/>
        <w:spacing w:after="140" w:line="278" w:lineRule="auto"/>
      </w:pPr>
      <w:r>
        <w:rPr>
          <w:rFonts w:ascii="Arial" w:hAnsi="Arial" w:eastAsia="Arial" w:cs="Arial"/>
          <w:b w:val="0"/>
          <w:sz w:val="22"/>
          <w:lang w:val="en-GB"/>
        </w:rPr>
        <w:t xml:space="preserve">Parameters are first selected through forward validation within training. Validation </w:t>
      </w:r>
      <w:r>
        <w:rPr>
          <w:rFonts w:ascii="Arial" w:hAnsi="Arial" w:eastAsia="Arial" w:cs="Arial"/>
          <w:b/>
          <w:sz w:val="22"/>
          <w:lang w:val="en-GB"/>
        </w:rPr>
        <w:t>average precision (AP)</w:t>
      </w:r>
      <w:r>
        <w:rPr>
          <w:rFonts w:ascii="Arial" w:hAnsi="Arial" w:eastAsia="Arial" w:cs="Arial"/>
          <w:b w:val="0"/>
          <w:sz w:val="22"/>
          <w:lang w:val="en-GB"/>
        </w:rPr>
        <w:t xml:space="preserve"> then compares overall ranking, alongside precision in the top 20% of customers, assessing both the ranking and priority-list quality. The selected method is </w:t>
      </w:r>
      <w:r>
        <w:rPr>
          <w:rFonts w:ascii="Arial" w:hAnsi="Arial" w:eastAsia="Arial" w:cs="Arial"/>
          <w:b/>
          <w:sz w:val="22"/>
          <w:lang w:val="en-GB"/>
        </w:rPr>
        <w:t>14 features with XGBoost</w:t>
      </w:r>
      <w:r>
        <w:rPr>
          <w:rFonts w:ascii="Arial" w:hAnsi="Arial" w:eastAsia="Arial" w:cs="Arial"/>
          <w:b w:val="0"/>
          <w:sz w:val="22"/>
          <w:lang w:val="en-GB"/>
        </w:rPr>
        <w:t>.</w:t>
      </w:r>
    </w:p>
    <w:p>
      <w:pPr>
        <w:keepNext w:val="0"/>
        <w:spacing w:after="140" w:line="278" w:lineRule="auto"/>
      </w:pPr>
      <w:r>
        <w:rPr>
          <w:rFonts w:ascii="Arial" w:hAnsi="Arial" w:eastAsia="Arial" w:cs="Arial"/>
          <w:b/>
          <w:sz w:val="22"/>
          <w:lang w:val="en-GB"/>
        </w:rPr>
        <w:t>How the score is calculated.</w:t>
      </w:r>
      <w:r>
        <w:rPr>
          <w:rFonts w:ascii="Arial" w:hAnsi="Arial" w:eastAsia="Arial" w:cs="Arial"/>
          <w:b w:val="0"/>
          <w:sz w:val="22"/>
          <w:lang w:val="en-GB"/>
        </w:rPr>
        <w:t xml:space="preserve"> All customers pass through the same set of trees. Each tree follows the customer’s features to a leaf and outputs an adjustment. Later trees learn from the current prediction errors. The initial value and all tree adjustments are added, then converted to a score between 0 and 1:</w:t>
      </w:r>
    </w:p>
    <w:p>
      <w:pPr>
        <w:keepNext/>
        <w:spacing w:after="140" w:line="278" w:lineRule="auto"/>
      </w:pPr>
      <w:r>
        <w:rPr>
          <w:rFonts w:ascii="Arial" w:hAnsi="Arial" w:eastAsia="Arial" w:cs="Arial"/>
          <w:b/>
          <w:sz w:val="22"/>
          <w:lang w:val="en-GB"/>
        </w:rPr>
        <w:t>Raw score F = initial value + sum of all tree adjustments</w:t>
      </w:r>
    </w:p>
    <w:p>
      <w:pPr>
        <w:keepNext/>
        <w:spacing w:line="278" w:lineRule="auto" w:after="140"/>
      </w:pPr>
      <w:r>
        <w:rPr>
          <w:rFonts w:ascii="Arial" w:hAnsi="Arial" w:eastAsia="Arial" w:cs="Arial"/>
          <w:b w:val="0"/>
          <w:sz w:val="22"/>
          <w:lang w:val="en-GB"/>
        </w:rPr>
        <w:t xml:space="preserve">Repurchase score </w:t>
      </w:r>
      <m:oMath>
        <m:r>
          <m:t>s＝</m:t>
        </m:r>
        <m:f>
          <m:num>
            <m:r>
              <m:t>1</m:t>
            </m:r>
          </m:num>
          <m:den>
            <m:r>
              <m:t>1＋</m:t>
            </m:r>
            <m:sSup>
              <m:e>
                <m:r>
                  <m:t>e</m:t>
                </m:r>
              </m:e>
              <m:sup>
                <m:r>
                  <m:t>−F</m:t>
                </m:r>
              </m:sup>
            </m:sSup>
          </m:den>
        </m:f>
      </m:oMath>
    </w:p>
    <w:p>
      <w:pPr>
        <w:keepNext w:val="0"/>
        <w:spacing w:after="140" w:line="278" w:lineRule="auto"/>
      </w:pPr>
      <w:r>
        <w:rPr>
          <w:rFonts w:ascii="Arial" w:hAnsi="Arial" w:eastAsia="Arial" w:cs="Arial"/>
          <w:b w:val="0"/>
          <w:sz w:val="22"/>
          <w:lang w:val="en-GB"/>
        </w:rPr>
        <w:t>The adjustments already include the learning rate. Scores compare repurchase tendencies and generate the priority list. Evaluation checks the ranking against actual 0/1 labels, primarily using AP alongside ROC-AUC, top-20% precision and the Brier score. Calculations and results appear in Part 3.</w:t>
      </w:r>
    </w:p>
    <w:p>
      <w:pPr>
        <w:pStyle w:val="Heading2"/>
        <w:pageBreakBefore/>
      </w:pPr>
      <w:r>
        <w:rPr>
          <w:rFonts w:ascii="Arial" w:hAnsi="Arial" w:eastAsia="Arial" w:cs="Arial"/>
          <w:b/>
          <w:sz w:val="25"/>
          <w:lang w:val="en-GB"/>
        </w:rPr>
        <w:t>2.3.3 Spending-Potential Ranking</w:t>
      </w:r>
    </w:p>
    <w:p>
      <w:pPr>
        <w:keepNext w:val="0"/>
        <w:spacing w:after="140" w:line="278" w:lineRule="auto"/>
      </w:pPr>
      <w:r>
        <w:rPr>
          <w:rFonts w:ascii="Arial" w:hAnsi="Arial" w:eastAsia="Arial" w:cs="Arial"/>
          <w:b/>
          <w:sz w:val="22"/>
          <w:lang w:val="en-GB"/>
        </w:rPr>
        <w:t>Objective and features.</w:t>
      </w:r>
      <w:r>
        <w:rPr>
          <w:rFonts w:ascii="Arial" w:hAnsi="Arial" w:eastAsia="Arial" w:cs="Arial"/>
          <w:b w:val="0"/>
          <w:sz w:val="22"/>
          <w:lang w:val="en-GB"/>
        </w:rPr>
        <w:t xml:space="preserve"> This module asks which customers to review first when places are limited. It learns from actual qualifying spending in the next 30 days, with £0 for no purchase. The 20 inputs comprise the eight base features plus recent spending windows, individual-order amounts, active purchase days, and cumulative spending and order counts from earlier history.</w:t>
      </w:r>
    </w:p>
    <w:p>
      <w:pPr>
        <w:keepNext w:val="0"/>
        <w:spacing w:after="140" w:line="278" w:lineRule="auto"/>
      </w:pPr>
      <w:r>
        <w:rPr>
          <w:rFonts w:ascii="Arial" w:hAnsi="Arial" w:eastAsia="Arial" w:cs="Arial"/>
          <w:b w:val="0"/>
          <w:sz w:val="22"/>
          <w:lang w:val="en-GB"/>
        </w:rPr>
        <w:t>Future spending contains many zeros and a small number of large positive amounts. The comparison therefore includes direct amount models and a two-stage model, alongside three past-spending rules.</w:t>
      </w:r>
    </w:p>
    <w:p>
      <w:pPr>
        <w:pStyle w:val="Caption"/>
        <w:keepNext/>
        <w:spacing w:line="264" w:lineRule="auto"/>
        <w:jc w:val="center"/>
      </w:pPr>
      <w:r>
        <w:rPr>
          <w:rFonts w:ascii="Arial" w:hAnsi="Arial" w:eastAsia="Arial" w:cs="Arial"/>
          <w:b w:val="0"/>
          <w:sz w:val="18"/>
          <w:lang w:val="en-GB"/>
        </w:rPr>
        <w:t>Table 2-5 Six methods for spending-potential ranking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572"/>
        <w:gridCol w:w="6009"/>
      </w:tblGrid>
      <w:tr>
        <w:trPr>
          <w:cantSplit/>
          <w:tblHeader/>
        </w:trPr>
        <w:tc>
          <w:tcPr>
            <w:tcW w:type="dxa" w:w="3572"/>
            <w:vAlign w:val="center"/>
            <w:shd w:fill="244C78"/>
            <w:tcMar>
              <w:top w:w="90" w:type="dxa"/>
              <w:bottom w:w="90" w:type="dxa"/>
              <w:left w:w="95" w:type="dxa"/>
              <w:right w:w="95" w:type="dxa"/>
            </w:tcMar>
          </w:tcPr>
          <w:p>
            <w:pPr>
              <w:spacing w:before="0" w:after="0" w:line="269" w:lineRule="auto"/>
              <w:jc w:val="center"/>
            </w:pPr>
            <w:r>
              <w:rPr>
                <w:rFonts w:ascii="Arial" w:hAnsi="Arial" w:eastAsia="Arial" w:cs="Arial"/>
                <w:b/>
                <w:color w:val="FFFFFF"/>
                <w:sz w:val="19"/>
                <w:lang w:val="en-GB"/>
                <w:lang w:val="en-GB"/>
              </w:rPr>
              <w:t>Method</w:t>
            </w:r>
          </w:p>
        </w:tc>
        <w:tc>
          <w:tcPr>
            <w:tcW w:type="dxa" w:w="6009"/>
            <w:vAlign w:val="center"/>
            <w:shd w:fill="244C78"/>
            <w:tcMar>
              <w:top w:w="90" w:type="dxa"/>
              <w:bottom w:w="90" w:type="dxa"/>
              <w:left w:w="95" w:type="dxa"/>
              <w:right w:w="95" w:type="dxa"/>
            </w:tcMar>
          </w:tcPr>
          <w:p>
            <w:pPr>
              <w:spacing w:before="0" w:after="0" w:line="269" w:lineRule="auto"/>
              <w:jc w:val="center"/>
            </w:pPr>
            <w:r>
              <w:rPr>
                <w:rFonts w:ascii="Arial" w:hAnsi="Arial" w:eastAsia="Arial" w:cs="Arial"/>
                <w:b/>
                <w:color w:val="FFFFFF"/>
                <w:sz w:val="19"/>
                <w:lang w:val="en-GB"/>
                <w:lang w:val="en-GB"/>
              </w:rPr>
              <w:t>Basis for ranking</w:t>
            </w:r>
          </w:p>
        </w:tc>
      </w:tr>
      <w:tr>
        <w:trPr>
          <w:cantSplit/>
        </w:trPr>
        <w:tc>
          <w:tcPr>
            <w:tcW w:type="dxa" w:w="3572"/>
            <w:vAlign w:val="center"/>
            <w:shd w:fill="F3F7FB"/>
            <w:tcMar>
              <w:top w:w="90" w:type="dxa"/>
              <w:bottom w:w="90" w:type="dxa"/>
              <w:left w:w="95" w:type="dxa"/>
              <w:right w:w="95" w:type="dxa"/>
            </w:tcMar>
          </w:tcPr>
          <w:p>
            <w:pPr>
              <w:spacing w:before="0" w:after="0" w:line="269" w:lineRule="auto"/>
              <w:jc w:val="left"/>
            </w:pPr>
            <w:r>
              <w:rPr>
                <w:rFonts w:ascii="Arial" w:hAnsi="Arial" w:eastAsia="Arial" w:cs="Arial"/>
                <w:b w:val="0"/>
                <w:color w:val="000000"/>
                <w:sz w:val="19"/>
                <w:lang w:val="en-GB"/>
                <w:lang w:val="en-GB"/>
              </w:rPr>
              <w:t>Past-30-day spending rule</w:t>
            </w:r>
          </w:p>
        </w:tc>
        <w:tc>
          <w:tcPr>
            <w:tcW w:type="dxa" w:w="6009"/>
            <w:vAlign w:val="center"/>
            <w:shd w:fill="F3F7FB"/>
            <w:tcMar>
              <w:top w:w="90" w:type="dxa"/>
              <w:bottom w:w="90" w:type="dxa"/>
              <w:left w:w="95" w:type="dxa"/>
              <w:right w:w="95" w:type="dxa"/>
            </w:tcMar>
          </w:tcPr>
          <w:p>
            <w:pPr>
              <w:spacing w:before="0" w:after="0" w:line="269" w:lineRule="auto"/>
              <w:jc w:val="left"/>
            </w:pPr>
            <w:r>
              <w:rPr>
                <w:rFonts w:ascii="Arial" w:hAnsi="Arial" w:eastAsia="Arial" w:cs="Arial"/>
                <w:b w:val="0"/>
                <w:color w:val="000000"/>
                <w:sz w:val="19"/>
                <w:lang w:val="en-GB"/>
                <w:lang w:val="en-GB"/>
              </w:rPr>
              <w:t>Rank by spending already observed in the previous 30 days.</w:t>
            </w:r>
          </w:p>
        </w:tc>
      </w:tr>
      <w:tr>
        <w:trPr>
          <w:cantSplit/>
        </w:trPr>
        <w:tc>
          <w:tcPr>
            <w:tcW w:type="dxa" w:w="3572"/>
            <w:vAlign w:val="center"/>
            <w:shd w:fill="FFFFFF"/>
            <w:tcMar>
              <w:top w:w="90" w:type="dxa"/>
              <w:bottom w:w="90" w:type="dxa"/>
              <w:left w:w="95" w:type="dxa"/>
              <w:right w:w="95" w:type="dxa"/>
            </w:tcMar>
          </w:tcPr>
          <w:p>
            <w:pPr>
              <w:spacing w:before="0" w:after="0" w:line="269" w:lineRule="auto"/>
              <w:jc w:val="left"/>
            </w:pPr>
            <w:r>
              <w:rPr>
                <w:rFonts w:ascii="Arial" w:hAnsi="Arial" w:eastAsia="Arial" w:cs="Arial"/>
                <w:b w:val="0"/>
                <w:color w:val="000000"/>
                <w:sz w:val="19"/>
                <w:lang w:val="en-GB"/>
                <w:lang w:val="en-GB"/>
              </w:rPr>
              <w:t>Past-90-day spending rule</w:t>
            </w:r>
          </w:p>
        </w:tc>
        <w:tc>
          <w:tcPr>
            <w:tcW w:type="dxa" w:w="6009"/>
            <w:vAlign w:val="center"/>
            <w:shd w:fill="FFFFFF"/>
            <w:tcMar>
              <w:top w:w="90" w:type="dxa"/>
              <w:bottom w:w="90" w:type="dxa"/>
              <w:left w:w="95" w:type="dxa"/>
              <w:right w:w="95" w:type="dxa"/>
            </w:tcMar>
          </w:tcPr>
          <w:p>
            <w:pPr>
              <w:spacing w:before="0" w:after="0" w:line="269" w:lineRule="auto"/>
              <w:jc w:val="left"/>
            </w:pPr>
            <w:r>
              <w:rPr>
                <w:rFonts w:ascii="Arial" w:hAnsi="Arial" w:eastAsia="Arial" w:cs="Arial"/>
                <w:b w:val="0"/>
                <w:color w:val="000000"/>
                <w:sz w:val="19"/>
                <w:lang w:val="en-GB"/>
                <w:lang w:val="en-GB"/>
              </w:rPr>
              <w:t>Rank by spending already observed in the previous 90 days.</w:t>
            </w:r>
          </w:p>
        </w:tc>
      </w:tr>
      <w:tr>
        <w:trPr>
          <w:cantSplit/>
        </w:trPr>
        <w:tc>
          <w:tcPr>
            <w:tcW w:type="dxa" w:w="3572"/>
            <w:vAlign w:val="center"/>
            <w:shd w:fill="F3F7FB"/>
            <w:tcMar>
              <w:top w:w="90" w:type="dxa"/>
              <w:bottom w:w="90" w:type="dxa"/>
              <w:left w:w="95" w:type="dxa"/>
              <w:right w:w="95" w:type="dxa"/>
            </w:tcMar>
          </w:tcPr>
          <w:p>
            <w:pPr>
              <w:spacing w:before="0" w:after="0" w:line="269" w:lineRule="auto"/>
              <w:jc w:val="left"/>
            </w:pPr>
            <w:r>
              <w:rPr>
                <w:rFonts w:ascii="Arial" w:hAnsi="Arial" w:eastAsia="Arial" w:cs="Arial"/>
                <w:b w:val="0"/>
                <w:color w:val="000000"/>
                <w:sz w:val="19"/>
                <w:lang w:val="en-GB"/>
                <w:lang w:val="en-GB"/>
              </w:rPr>
              <w:t>Past-180-day spending rule</w:t>
            </w:r>
          </w:p>
        </w:tc>
        <w:tc>
          <w:tcPr>
            <w:tcW w:type="dxa" w:w="6009"/>
            <w:vAlign w:val="center"/>
            <w:shd w:fill="F3F7FB"/>
            <w:tcMar>
              <w:top w:w="90" w:type="dxa"/>
              <w:bottom w:w="90" w:type="dxa"/>
              <w:left w:w="95" w:type="dxa"/>
              <w:right w:w="95" w:type="dxa"/>
            </w:tcMar>
          </w:tcPr>
          <w:p>
            <w:pPr>
              <w:spacing w:before="0" w:after="0" w:line="269" w:lineRule="auto"/>
              <w:jc w:val="left"/>
            </w:pPr>
            <w:r>
              <w:rPr>
                <w:rFonts w:ascii="Arial" w:hAnsi="Arial" w:eastAsia="Arial" w:cs="Arial"/>
                <w:b w:val="0"/>
                <w:color w:val="000000"/>
                <w:sz w:val="19"/>
                <w:lang w:val="en-GB"/>
                <w:lang w:val="en-GB"/>
              </w:rPr>
              <w:t>Rank by spending already observed in the previous 180 days.</w:t>
            </w:r>
          </w:p>
        </w:tc>
      </w:tr>
      <w:tr>
        <w:trPr>
          <w:cantSplit/>
        </w:trPr>
        <w:tc>
          <w:tcPr>
            <w:tcW w:type="dxa" w:w="3572"/>
            <w:vAlign w:val="center"/>
            <w:shd w:fill="FFFFFF"/>
            <w:tcMar>
              <w:top w:w="90" w:type="dxa"/>
              <w:bottom w:w="90" w:type="dxa"/>
              <w:left w:w="95" w:type="dxa"/>
              <w:right w:w="95" w:type="dxa"/>
            </w:tcMar>
          </w:tcPr>
          <w:p>
            <w:pPr>
              <w:spacing w:before="0" w:after="0" w:line="269" w:lineRule="auto"/>
              <w:jc w:val="left"/>
            </w:pPr>
            <w:r>
              <w:rPr>
                <w:rFonts w:ascii="Arial" w:hAnsi="Arial" w:eastAsia="Arial" w:cs="Arial"/>
                <w:b w:val="0"/>
                <w:color w:val="000000"/>
                <w:sz w:val="19"/>
                <w:lang w:val="en-GB"/>
                <w:lang w:val="en-GB"/>
              </w:rPr>
              <w:t>Direct LightGBM amount model</w:t>
            </w:r>
          </w:p>
        </w:tc>
        <w:tc>
          <w:tcPr>
            <w:tcW w:type="dxa" w:w="6009"/>
            <w:vAlign w:val="center"/>
            <w:shd w:fill="FFFFFF"/>
            <w:tcMar>
              <w:top w:w="90" w:type="dxa"/>
              <w:bottom w:w="90" w:type="dxa"/>
              <w:left w:w="95" w:type="dxa"/>
              <w:right w:w="95" w:type="dxa"/>
            </w:tcMar>
          </w:tcPr>
          <w:p>
            <w:pPr>
              <w:spacing w:before="0" w:after="0" w:line="269" w:lineRule="auto"/>
              <w:jc w:val="left"/>
            </w:pPr>
            <w:r>
              <w:rPr>
                <w:rFonts w:ascii="Arial" w:hAnsi="Arial" w:eastAsia="Arial" w:cs="Arial"/>
                <w:b w:val="0"/>
                <w:color w:val="000000"/>
                <w:sz w:val="19"/>
                <w:lang w:val="en-GB"/>
                <w:lang w:val="en-GB"/>
              </w:rPr>
              <w:t>Learn the next 30 days’ spending directly with a Tweedie objective.</w:t>
            </w:r>
          </w:p>
        </w:tc>
      </w:tr>
      <w:tr>
        <w:trPr>
          <w:cantSplit/>
        </w:trPr>
        <w:tc>
          <w:tcPr>
            <w:tcW w:type="dxa" w:w="3572"/>
            <w:vAlign w:val="center"/>
            <w:shd w:fill="F3F7FB"/>
            <w:tcMar>
              <w:top w:w="90" w:type="dxa"/>
              <w:bottom w:w="90" w:type="dxa"/>
              <w:left w:w="95" w:type="dxa"/>
              <w:right w:w="95" w:type="dxa"/>
            </w:tcMar>
          </w:tcPr>
          <w:p>
            <w:pPr>
              <w:spacing w:before="0" w:after="0" w:line="269" w:lineRule="auto"/>
              <w:jc w:val="left"/>
            </w:pPr>
            <w:r>
              <w:rPr>
                <w:rFonts w:ascii="Arial" w:hAnsi="Arial" w:eastAsia="Arial" w:cs="Arial"/>
                <w:b w:val="0"/>
                <w:color w:val="000000"/>
                <w:sz w:val="19"/>
                <w:lang w:val="en-GB"/>
                <w:lang w:val="en-GB"/>
              </w:rPr>
              <w:t>Direct XGBoost amount model</w:t>
            </w:r>
          </w:p>
        </w:tc>
        <w:tc>
          <w:tcPr>
            <w:tcW w:type="dxa" w:w="6009"/>
            <w:vAlign w:val="center"/>
            <w:shd w:fill="F3F7FB"/>
            <w:tcMar>
              <w:top w:w="90" w:type="dxa"/>
              <w:bottom w:w="90" w:type="dxa"/>
              <w:left w:w="95" w:type="dxa"/>
              <w:right w:w="95" w:type="dxa"/>
            </w:tcMar>
          </w:tcPr>
          <w:p>
            <w:pPr>
              <w:spacing w:before="0" w:after="0" w:line="269" w:lineRule="auto"/>
              <w:jc w:val="left"/>
            </w:pPr>
            <w:r>
              <w:rPr>
                <w:rFonts w:ascii="Arial" w:hAnsi="Arial" w:eastAsia="Arial" w:cs="Arial"/>
                <w:b w:val="0"/>
                <w:color w:val="000000"/>
                <w:sz w:val="19"/>
                <w:lang w:val="en-GB"/>
                <w:lang w:val="en-GB"/>
              </w:rPr>
              <w:t>Also learn future spending directly, comparing a different boosting implementation.</w:t>
            </w:r>
          </w:p>
        </w:tc>
      </w:tr>
      <w:tr>
        <w:trPr>
          <w:cantSplit/>
        </w:trPr>
        <w:tc>
          <w:tcPr>
            <w:tcW w:type="dxa" w:w="3572"/>
            <w:vAlign w:val="center"/>
            <w:shd w:fill="FFFFFF"/>
            <w:tcMar>
              <w:top w:w="90" w:type="dxa"/>
              <w:bottom w:w="90" w:type="dxa"/>
              <w:left w:w="95" w:type="dxa"/>
              <w:right w:w="95" w:type="dxa"/>
            </w:tcMar>
          </w:tcPr>
          <w:p>
            <w:pPr>
              <w:spacing w:before="0" w:after="0" w:line="269" w:lineRule="auto"/>
              <w:jc w:val="left"/>
            </w:pPr>
            <w:r>
              <w:rPr>
                <w:rFonts w:ascii="Arial" w:hAnsi="Arial" w:eastAsia="Arial" w:cs="Arial"/>
                <w:b w:val="0"/>
                <w:color w:val="000000"/>
                <w:sz w:val="19"/>
                <w:lang w:val="en-GB"/>
                <w:lang w:val="en-GB"/>
              </w:rPr>
              <w:t>Two-stage LightGBM</w:t>
            </w:r>
          </w:p>
        </w:tc>
        <w:tc>
          <w:tcPr>
            <w:tcW w:type="dxa" w:w="6009"/>
            <w:vAlign w:val="center"/>
            <w:shd w:fill="FFFFFF"/>
            <w:tcMar>
              <w:top w:w="90" w:type="dxa"/>
              <w:bottom w:w="90" w:type="dxa"/>
              <w:left w:w="95" w:type="dxa"/>
              <w:right w:w="95" w:type="dxa"/>
            </w:tcMar>
          </w:tcPr>
          <w:p>
            <w:pPr>
              <w:spacing w:before="0" w:after="0" w:line="269" w:lineRule="auto"/>
              <w:jc w:val="left"/>
            </w:pPr>
            <w:r>
              <w:rPr>
                <w:rFonts w:ascii="Arial" w:hAnsi="Arial" w:eastAsia="Arial" w:cs="Arial"/>
                <w:b w:val="0"/>
                <w:color w:val="000000"/>
                <w:sz w:val="19"/>
                <w:lang w:val="en-GB"/>
                <w:lang w:val="en-GB"/>
              </w:rPr>
              <w:t>Estimate purchase occurrence and conditional total spending, then combine them into a ranking score.</w:t>
            </w:r>
          </w:p>
        </w:tc>
      </w:tr>
    </w:tbl>
    <w:p>
      <w:pPr>
        <w:spacing w:after="0" w:before="0" w:line="72" w:lineRule="auto"/>
      </w:pPr>
      <w:r>
        <w:rPr>
          <w:sz w:val="4"/>
        </w:rPr>
      </w:r>
    </w:p>
    <w:p>
      <w:pPr>
        <w:keepNext w:val="0"/>
        <w:spacing w:after="140" w:line="278" w:lineRule="auto"/>
      </w:pPr>
      <w:r>
        <w:rPr>
          <w:rFonts w:ascii="Arial" w:hAnsi="Arial" w:eastAsia="Arial" w:cs="Arial"/>
          <w:b w:val="0"/>
          <w:sz w:val="22"/>
          <w:lang w:val="en-GB"/>
        </w:rPr>
        <w:t>Tweedie is a training loss suited to a mix of zeros and skewed positive amounts. The two-stage approach instead learns whether a customer buys and how much they spend as separate steps:</w:t>
      </w:r>
    </w:p>
    <w:p>
      <w:pPr>
        <w:keepNext w:val="0"/>
        <w:spacing w:after="140" w:line="278" w:lineRule="auto"/>
      </w:pPr>
      <w:r>
        <w:rPr>
          <w:rFonts w:ascii="Arial" w:hAnsi="Arial" w:eastAsia="Arial" w:cs="Arial"/>
          <w:b/>
          <w:sz w:val="22"/>
          <w:lang w:val="en-GB"/>
        </w:rPr>
        <w:t>Step 1:</w:t>
      </w:r>
      <w:r>
        <w:rPr>
          <w:rFonts w:ascii="Arial" w:hAnsi="Arial" w:eastAsia="Arial" w:cs="Arial"/>
          <w:b w:val="0"/>
          <w:sz w:val="22"/>
          <w:lang w:val="en-GB"/>
        </w:rPr>
        <w:t xml:space="preserve"> Train a classifier on all customers to estimate p, the chance of purchasing within 30 days.</w:t>
        <w:br/>
      </w:r>
      <w:r>
        <w:rPr>
          <w:rFonts w:ascii="Arial" w:hAnsi="Arial" w:eastAsia="Arial" w:cs="Arial"/>
          <w:b/>
          <w:sz w:val="22"/>
          <w:lang w:val="en-GB"/>
        </w:rPr>
        <w:t>Step 2:</w:t>
      </w:r>
      <w:r>
        <w:rPr>
          <w:rFonts w:ascii="Arial" w:hAnsi="Arial" w:eastAsia="Arial" w:cs="Arial"/>
          <w:b w:val="0"/>
          <w:sz w:val="22"/>
          <w:lang w:val="en-GB"/>
        </w:rPr>
        <w:t xml:space="preserve"> Train Gamma regression on buyers to estimate m, total 30-day spending conditional on a purchase.</w:t>
        <w:br/>
      </w:r>
      <w:r>
        <w:rPr>
          <w:rFonts w:ascii="Arial" w:hAnsi="Arial" w:eastAsia="Arial" w:cs="Arial"/>
          <w:b/>
          <w:sz w:val="22"/>
          <w:lang w:val="en-GB"/>
        </w:rPr>
        <w:t>Raw spending-potential score = p × m.</w:t>
      </w:r>
    </w:p>
    <w:p>
      <w:pPr>
        <w:keepNext w:val="0"/>
        <w:spacing w:after="140" w:line="278" w:lineRule="auto"/>
      </w:pPr>
      <w:r>
        <w:rPr>
          <w:rFonts w:ascii="Arial" w:hAnsi="Arial" w:eastAsia="Arial" w:cs="Arial"/>
          <w:b w:val="0"/>
          <w:sz w:val="22"/>
          <w:lang w:val="en-GB"/>
        </w:rPr>
        <w:t xml:space="preserve">For example, p = 0.6 and m = £500 give a score of £300, an estimate of expected spending over the next 30 days. Customers are ranked by this value, and the list takes </w:t>
      </w:r>
      <w:r>
        <w:rPr>
          <w:rFonts w:ascii="Arial" w:hAnsi="Arial" w:eastAsia="Arial" w:cs="Arial"/>
          <w:b/>
          <w:sz w:val="22"/>
          <w:lang w:val="en-GB"/>
        </w:rPr>
        <w:t>customer count × 20%, rounded up</w:t>
      </w:r>
      <w:r>
        <w:rPr>
          <w:rFonts w:ascii="Arial" w:hAnsi="Arial" w:eastAsia="Arial" w:cs="Arial"/>
          <w:b w:val="0"/>
          <w:sz w:val="22"/>
          <w:lang w:val="en-GB"/>
        </w:rPr>
        <w:t>. The app displays the rank. The purchase classifier in this two-stage model is trained specifically for spending ranking.</w:t>
      </w:r>
    </w:p>
    <w:p>
      <w:pPr>
        <w:keepNext w:val="0"/>
        <w:spacing w:after="140" w:line="278" w:lineRule="auto"/>
      </w:pPr>
      <w:r>
        <w:rPr>
          <w:rFonts w:ascii="Arial" w:hAnsi="Arial" w:eastAsia="Arial" w:cs="Arial"/>
          <w:b/>
          <w:sz w:val="22"/>
          <w:lang w:val="en-GB"/>
        </w:rPr>
        <w:t>The selected method is two-stage LightGBM.</w:t>
      </w:r>
      <w:r>
        <w:rPr>
          <w:rFonts w:ascii="Arial" w:hAnsi="Arial" w:eastAsia="Arial" w:cs="Arial"/>
          <w:b w:val="0"/>
          <w:sz w:val="22"/>
          <w:lang w:val="en-GB"/>
        </w:rPr>
        <w:t xml:space="preserve"> Selection prioritises the share of actual spending captured by the top-20% list during validation, with checks on monthly performance and customer-resampling stability. Spending coverage equals “the list’s actual spending in the next 30 days ÷ all customers’ spending over the same period”. MAE provides an additional check on amount error. Coverage takes priority because the task is to select a customer list; the full comparison appears in Part 3. After selection, the final model is fitted on training and validation samples whose outcomes are fully observed before 1 September.</w:t>
      </w:r>
    </w:p>
    <w:p>
      <w:pPr>
        <w:pStyle w:val="Heading2"/>
        <w:pageBreakBefore/>
      </w:pPr>
      <w:r>
        <w:rPr>
          <w:rFonts w:ascii="Arial" w:hAnsi="Arial" w:eastAsia="Arial" w:cs="Arial"/>
          <w:b/>
          <w:sz w:val="25"/>
          <w:lang w:val="en-GB"/>
        </w:rPr>
        <w:t>2.3.4 Purchase-Habit Profiles and Recommendations</w:t>
      </w:r>
    </w:p>
    <w:p>
      <w:pPr>
        <w:keepNext w:val="0"/>
        <w:spacing w:after="140" w:line="278" w:lineRule="auto"/>
      </w:pPr>
      <w:r>
        <w:rPr>
          <w:rFonts w:ascii="Arial" w:hAnsi="Arial" w:eastAsia="Arial" w:cs="Arial"/>
          <w:b/>
          <w:sz w:val="22"/>
          <w:lang w:val="en-GB"/>
        </w:rPr>
        <w:t>Build the profile first.</w:t>
      </w:r>
      <w:r>
        <w:rPr>
          <w:rFonts w:ascii="Arial" w:hAnsi="Arial" w:eastAsia="Arial" w:cs="Arial"/>
          <w:b w:val="0"/>
          <w:sz w:val="22"/>
          <w:lang w:val="en-GB"/>
        </w:rPr>
        <w:t xml:space="preserve"> A purchase-habit profile summarises historical behaviour as features describing purchase frequency, repeat buying versus exploration, and preference concentration. The system reads the 180 days before the analysis date, organises the products in each purchase and aggregates the results.</w:t>
      </w:r>
    </w:p>
    <w:p>
      <w:pPr>
        <w:keepNext w:val="0"/>
        <w:spacing w:after="140" w:line="278" w:lineRule="auto"/>
      </w:pPr>
      <w:r>
        <w:rPr>
          <w:rFonts w:ascii="Arial" w:hAnsi="Arial" w:eastAsia="Arial" w:cs="Arial"/>
          <w:b w:val="0"/>
          <w:sz w:val="22"/>
          <w:lang w:val="en-GB"/>
        </w:rPr>
        <w:t>Transactions by the same customer at the same time are treated as one purchase, with each product counted once per purchase. Each later purchase is compared with all products bought previously, and the purchased-product history is updated after every purchase.</w:t>
      </w:r>
    </w:p>
    <w:p>
      <w:pPr>
        <w:pStyle w:val="Caption"/>
        <w:keepNext/>
        <w:spacing w:line="264" w:lineRule="auto"/>
        <w:jc w:val="center"/>
      </w:pPr>
      <w:r>
        <w:rPr>
          <w:rFonts w:ascii="Arial" w:hAnsi="Arial" w:eastAsia="Arial" w:cs="Arial"/>
          <w:b w:val="0"/>
          <w:sz w:val="18"/>
          <w:lang w:val="en-GB"/>
        </w:rPr>
        <w:t>Table 2-6 Example of calculating repeat-product share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17"/>
        <w:gridCol w:w="1587"/>
        <w:gridCol w:w="4025"/>
        <w:gridCol w:w="2551"/>
      </w:tblGrid>
      <w:tr>
        <w:trPr>
          <w:cantSplit/>
          <w:tblHeader/>
        </w:trPr>
        <w:tc>
          <w:tcPr>
            <w:tcW w:type="dxa" w:w="1417"/>
            <w:vAlign w:val="center"/>
            <w:shd w:fill="244C78"/>
            <w:tcMar>
              <w:top w:w="65" w:type="dxa"/>
              <w:bottom w:w="65" w:type="dxa"/>
              <w:left w:w="95" w:type="dxa"/>
              <w:right w:w="95" w:type="dxa"/>
            </w:tcMar>
          </w:tcPr>
          <w:p>
            <w:pPr>
              <w:spacing w:before="0" w:after="0" w:line="269" w:lineRule="auto"/>
              <w:jc w:val="center"/>
            </w:pPr>
            <w:r>
              <w:rPr>
                <w:rFonts w:ascii="Arial" w:hAnsi="Arial" w:eastAsia="Arial" w:cs="Arial"/>
                <w:b/>
                <w:color w:val="FFFFFF"/>
                <w:sz w:val="19"/>
                <w:lang w:val="en-GB"/>
                <w:lang w:val="en-GB"/>
              </w:rPr>
              <w:t>Purchase</w:t>
            </w:r>
          </w:p>
        </w:tc>
        <w:tc>
          <w:tcPr>
            <w:tcW w:type="dxa" w:w="1587"/>
            <w:vAlign w:val="center"/>
            <w:shd w:fill="244C78"/>
            <w:tcMar>
              <w:top w:w="65" w:type="dxa"/>
              <w:bottom w:w="65" w:type="dxa"/>
              <w:left w:w="95" w:type="dxa"/>
              <w:right w:w="95" w:type="dxa"/>
            </w:tcMar>
          </w:tcPr>
          <w:p>
            <w:pPr>
              <w:spacing w:before="0" w:after="0" w:line="269" w:lineRule="auto"/>
              <w:jc w:val="center"/>
            </w:pPr>
            <w:r>
              <w:rPr>
                <w:rFonts w:ascii="Arial" w:hAnsi="Arial" w:eastAsia="Arial" w:cs="Arial"/>
                <w:b/>
                <w:color w:val="FFFFFF"/>
                <w:sz w:val="19"/>
                <w:lang w:val="en-GB"/>
                <w:lang w:val="en-GB"/>
              </w:rPr>
              <w:t>Products</w:t>
            </w:r>
          </w:p>
        </w:tc>
        <w:tc>
          <w:tcPr>
            <w:tcW w:type="dxa" w:w="4025"/>
            <w:vAlign w:val="center"/>
            <w:shd w:fill="244C78"/>
            <w:tcMar>
              <w:top w:w="65" w:type="dxa"/>
              <w:bottom w:w="65" w:type="dxa"/>
              <w:left w:w="95" w:type="dxa"/>
              <w:right w:w="95" w:type="dxa"/>
            </w:tcMar>
          </w:tcPr>
          <w:p>
            <w:pPr>
              <w:spacing w:before="0" w:after="0" w:line="269" w:lineRule="auto"/>
              <w:jc w:val="center"/>
            </w:pPr>
            <w:r>
              <w:rPr>
                <w:rFonts w:ascii="Arial" w:hAnsi="Arial" w:eastAsia="Arial" w:cs="Arial"/>
                <w:b/>
                <w:color w:val="FFFFFF"/>
                <w:sz w:val="19"/>
                <w:lang w:val="en-GB"/>
                <w:lang w:val="en-GB"/>
              </w:rPr>
              <w:t>Previously purchased products</w:t>
            </w:r>
          </w:p>
        </w:tc>
        <w:tc>
          <w:tcPr>
            <w:tcW w:type="dxa" w:w="2551"/>
            <w:vAlign w:val="center"/>
            <w:shd w:fill="244C78"/>
            <w:tcMar>
              <w:top w:w="65" w:type="dxa"/>
              <w:bottom w:w="65" w:type="dxa"/>
              <w:left w:w="95" w:type="dxa"/>
              <w:right w:w="95" w:type="dxa"/>
            </w:tcMar>
          </w:tcPr>
          <w:p>
            <w:pPr>
              <w:spacing w:before="0" w:after="0" w:line="269" w:lineRule="auto"/>
              <w:jc w:val="center"/>
            </w:pPr>
            <w:r>
              <w:rPr>
                <w:rFonts w:ascii="Arial" w:hAnsi="Arial" w:eastAsia="Arial" w:cs="Arial"/>
                <w:b/>
                <w:color w:val="FFFFFF"/>
                <w:sz w:val="19"/>
                <w:lang w:val="en-GB"/>
                <w:lang w:val="en-GB"/>
              </w:rPr>
              <w:t>Repeat-product share</w:t>
            </w:r>
          </w:p>
        </w:tc>
      </w:tr>
      <w:tr>
        <w:trPr>
          <w:cantSplit/>
        </w:trPr>
        <w:tc>
          <w:tcPr>
            <w:tcW w:type="dxa" w:w="1417"/>
            <w:vAlign w:val="center"/>
            <w:shd w:fill="F3F7FB"/>
            <w:tcMar>
              <w:top w:w="65" w:type="dxa"/>
              <w:bottom w:w="65" w:type="dxa"/>
              <w:left w:w="95" w:type="dxa"/>
              <w:right w:w="95" w:type="dxa"/>
            </w:tcMar>
          </w:tcPr>
          <w:p>
            <w:pPr>
              <w:spacing w:before="0" w:after="0" w:line="269" w:lineRule="auto"/>
              <w:jc w:val="center"/>
            </w:pPr>
            <w:r>
              <w:rPr>
                <w:rFonts w:ascii="Arial" w:hAnsi="Arial" w:eastAsia="Arial" w:cs="Arial"/>
                <w:b w:val="0"/>
                <w:color w:val="000000"/>
                <w:sz w:val="19"/>
                <w:lang w:val="en-GB"/>
                <w:lang w:val="en-GB"/>
              </w:rPr>
              <w:t>1st</w:t>
            </w:r>
          </w:p>
        </w:tc>
        <w:tc>
          <w:tcPr>
            <w:tcW w:type="dxa" w:w="1587"/>
            <w:vAlign w:val="center"/>
            <w:shd w:fill="F3F7FB"/>
            <w:tcMar>
              <w:top w:w="65" w:type="dxa"/>
              <w:bottom w:w="65" w:type="dxa"/>
              <w:left w:w="95" w:type="dxa"/>
              <w:right w:w="95" w:type="dxa"/>
            </w:tcMar>
          </w:tcPr>
          <w:p>
            <w:pPr>
              <w:spacing w:before="0" w:after="0" w:line="269" w:lineRule="auto"/>
              <w:jc w:val="center"/>
            </w:pPr>
            <w:r>
              <w:rPr>
                <w:rFonts w:ascii="Arial" w:hAnsi="Arial" w:eastAsia="Arial" w:cs="Arial"/>
                <w:b w:val="0"/>
                <w:color w:val="000000"/>
                <w:sz w:val="19"/>
                <w:lang w:val="en-GB"/>
                <w:lang w:val="en-GB"/>
              </w:rPr>
              <w:t>A, B</w:t>
            </w:r>
          </w:p>
        </w:tc>
        <w:tc>
          <w:tcPr>
            <w:tcW w:type="dxa" w:w="4025"/>
            <w:vAlign w:val="center"/>
            <w:shd w:fill="F3F7FB"/>
            <w:tcMar>
              <w:top w:w="65" w:type="dxa"/>
              <w:bottom w:w="65" w:type="dxa"/>
              <w:left w:w="95" w:type="dxa"/>
              <w:right w:w="95" w:type="dxa"/>
            </w:tcMar>
          </w:tcPr>
          <w:p>
            <w:pPr>
              <w:spacing w:before="0" w:after="0" w:line="269" w:lineRule="auto"/>
              <w:jc w:val="left"/>
            </w:pPr>
            <w:r>
              <w:rPr>
                <w:rFonts w:ascii="Arial" w:hAnsi="Arial" w:eastAsia="Arial" w:cs="Arial"/>
                <w:b w:val="0"/>
                <w:color w:val="000000"/>
                <w:sz w:val="19"/>
                <w:lang w:val="en-GB"/>
                <w:lang w:val="en-GB"/>
              </w:rPr>
              <w:t>Start purchase history with A and B.</w:t>
            </w:r>
          </w:p>
        </w:tc>
        <w:tc>
          <w:tcPr>
            <w:tcW w:type="dxa" w:w="2551"/>
            <w:vAlign w:val="center"/>
            <w:shd w:fill="F3F7FB"/>
            <w:tcMar>
              <w:top w:w="65" w:type="dxa"/>
              <w:bottom w:w="65" w:type="dxa"/>
              <w:left w:w="95" w:type="dxa"/>
              <w:right w:w="95" w:type="dxa"/>
            </w:tcMar>
          </w:tcPr>
          <w:p>
            <w:pPr>
              <w:spacing w:before="0" w:after="0" w:line="269" w:lineRule="auto"/>
              <w:jc w:val="left"/>
            </w:pPr>
            <w:r>
              <w:rPr>
                <w:rFonts w:ascii="Arial" w:hAnsi="Arial" w:eastAsia="Arial" w:cs="Arial"/>
                <w:b w:val="0"/>
                <w:color w:val="000000"/>
                <w:sz w:val="19"/>
                <w:lang w:val="en-GB"/>
                <w:lang w:val="en-GB"/>
              </w:rPr>
              <w:t>Reference purchase</w:t>
            </w:r>
          </w:p>
        </w:tc>
      </w:tr>
      <w:tr>
        <w:trPr>
          <w:cantSplit/>
        </w:trPr>
        <w:tc>
          <w:tcPr>
            <w:tcW w:type="dxa" w:w="1417"/>
            <w:vAlign w:val="center"/>
            <w:shd w:fill="FFFFFF"/>
            <w:tcMar>
              <w:top w:w="65" w:type="dxa"/>
              <w:bottom w:w="65" w:type="dxa"/>
              <w:left w:w="95" w:type="dxa"/>
              <w:right w:w="95" w:type="dxa"/>
            </w:tcMar>
          </w:tcPr>
          <w:p>
            <w:pPr>
              <w:spacing w:before="0" w:after="0" w:line="269" w:lineRule="auto"/>
              <w:jc w:val="center"/>
            </w:pPr>
            <w:r>
              <w:rPr>
                <w:rFonts w:ascii="Arial" w:hAnsi="Arial" w:eastAsia="Arial" w:cs="Arial"/>
                <w:b w:val="0"/>
                <w:color w:val="000000"/>
                <w:sz w:val="19"/>
                <w:lang w:val="en-GB"/>
                <w:lang w:val="en-GB"/>
              </w:rPr>
              <w:t>2nd</w:t>
            </w:r>
          </w:p>
        </w:tc>
        <w:tc>
          <w:tcPr>
            <w:tcW w:type="dxa" w:w="1587"/>
            <w:vAlign w:val="center"/>
            <w:shd w:fill="FFFFFF"/>
            <w:tcMar>
              <w:top w:w="65" w:type="dxa"/>
              <w:bottom w:w="65" w:type="dxa"/>
              <w:left w:w="95" w:type="dxa"/>
              <w:right w:w="95" w:type="dxa"/>
            </w:tcMar>
          </w:tcPr>
          <w:p>
            <w:pPr>
              <w:spacing w:before="0" w:after="0" w:line="269" w:lineRule="auto"/>
              <w:jc w:val="center"/>
            </w:pPr>
            <w:r>
              <w:rPr>
                <w:rFonts w:ascii="Arial" w:hAnsi="Arial" w:eastAsia="Arial" w:cs="Arial"/>
                <w:b w:val="0"/>
                <w:color w:val="000000"/>
                <w:sz w:val="19"/>
                <w:lang w:val="en-GB"/>
                <w:lang w:val="en-GB"/>
              </w:rPr>
              <w:t>A, C</w:t>
            </w:r>
          </w:p>
        </w:tc>
        <w:tc>
          <w:tcPr>
            <w:tcW w:type="dxa" w:w="4025"/>
            <w:vAlign w:val="center"/>
            <w:shd w:fill="FFFFFF"/>
            <w:tcMar>
              <w:top w:w="65" w:type="dxa"/>
              <w:bottom w:w="65" w:type="dxa"/>
              <w:left w:w="95" w:type="dxa"/>
              <w:right w:w="95" w:type="dxa"/>
            </w:tcMar>
          </w:tcPr>
          <w:p>
            <w:pPr>
              <w:spacing w:before="0" w:after="0" w:line="269" w:lineRule="auto"/>
              <w:jc w:val="left"/>
            </w:pPr>
            <w:r>
              <w:rPr>
                <w:rFonts w:ascii="Arial" w:hAnsi="Arial" w:eastAsia="Arial" w:cs="Arial"/>
                <w:b w:val="0"/>
                <w:color w:val="000000"/>
                <w:sz w:val="19"/>
                <w:lang w:val="en-GB"/>
                <w:lang w:val="en-GB"/>
              </w:rPr>
              <w:t>A was bought before; C is new.</w:t>
            </w:r>
          </w:p>
        </w:tc>
        <w:tc>
          <w:tcPr>
            <w:tcW w:type="dxa" w:w="2551"/>
            <w:vAlign w:val="center"/>
            <w:shd w:fill="FFFFFF"/>
            <w:tcMar>
              <w:top w:w="65" w:type="dxa"/>
              <w:bottom w:w="65" w:type="dxa"/>
              <w:left w:w="95" w:type="dxa"/>
              <w:right w:w="95" w:type="dxa"/>
            </w:tcMar>
          </w:tcPr>
          <w:p>
            <w:pPr>
              <w:spacing w:before="0" w:after="0" w:line="269" w:lineRule="auto"/>
              <w:jc w:val="center"/>
            </w:pPr>
            <w:r>
              <w:rPr>
                <w:rFonts w:ascii="Arial" w:hAnsi="Arial" w:eastAsia="Arial" w:cs="Arial"/>
                <w:b w:val="0"/>
                <w:color w:val="000000"/>
                <w:sz w:val="19"/>
                <w:lang w:val="en-GB"/>
                <w:lang w:val="en-GB"/>
              </w:rPr>
              <w:t>1 ÷ 2 = 50%</w:t>
            </w:r>
          </w:p>
        </w:tc>
      </w:tr>
      <w:tr>
        <w:trPr>
          <w:cantSplit/>
        </w:trPr>
        <w:tc>
          <w:tcPr>
            <w:tcW w:type="dxa" w:w="1417"/>
            <w:vAlign w:val="center"/>
            <w:shd w:fill="F3F7FB"/>
            <w:tcMar>
              <w:top w:w="65" w:type="dxa"/>
              <w:bottom w:w="65" w:type="dxa"/>
              <w:left w:w="95" w:type="dxa"/>
              <w:right w:w="95" w:type="dxa"/>
            </w:tcMar>
          </w:tcPr>
          <w:p>
            <w:pPr>
              <w:spacing w:before="0" w:after="0" w:line="269" w:lineRule="auto"/>
              <w:jc w:val="center"/>
            </w:pPr>
            <w:r>
              <w:rPr>
                <w:rFonts w:ascii="Arial" w:hAnsi="Arial" w:eastAsia="Arial" w:cs="Arial"/>
                <w:b w:val="0"/>
                <w:color w:val="000000"/>
                <w:sz w:val="19"/>
                <w:lang w:val="en-GB"/>
                <w:lang w:val="en-GB"/>
              </w:rPr>
              <w:t>3rd</w:t>
            </w:r>
          </w:p>
        </w:tc>
        <w:tc>
          <w:tcPr>
            <w:tcW w:type="dxa" w:w="1587"/>
            <w:vAlign w:val="center"/>
            <w:shd w:fill="F3F7FB"/>
            <w:tcMar>
              <w:top w:w="65" w:type="dxa"/>
              <w:bottom w:w="65" w:type="dxa"/>
              <w:left w:w="95" w:type="dxa"/>
              <w:right w:w="95" w:type="dxa"/>
            </w:tcMar>
          </w:tcPr>
          <w:p>
            <w:pPr>
              <w:spacing w:before="0" w:after="0" w:line="269" w:lineRule="auto"/>
              <w:jc w:val="center"/>
            </w:pPr>
            <w:r>
              <w:rPr>
                <w:rFonts w:ascii="Arial" w:hAnsi="Arial" w:eastAsia="Arial" w:cs="Arial"/>
                <w:b w:val="0"/>
                <w:color w:val="000000"/>
                <w:sz w:val="19"/>
                <w:lang w:val="en-GB"/>
                <w:lang w:val="en-GB"/>
              </w:rPr>
              <w:t>C, D</w:t>
            </w:r>
          </w:p>
        </w:tc>
        <w:tc>
          <w:tcPr>
            <w:tcW w:type="dxa" w:w="4025"/>
            <w:vAlign w:val="center"/>
            <w:shd w:fill="F3F7FB"/>
            <w:tcMar>
              <w:top w:w="65" w:type="dxa"/>
              <w:bottom w:w="65" w:type="dxa"/>
              <w:left w:w="95" w:type="dxa"/>
              <w:right w:w="95" w:type="dxa"/>
            </w:tcMar>
          </w:tcPr>
          <w:p>
            <w:pPr>
              <w:spacing w:before="0" w:after="0" w:line="269" w:lineRule="auto"/>
              <w:jc w:val="left"/>
            </w:pPr>
            <w:r>
              <w:rPr>
                <w:rFonts w:ascii="Arial" w:hAnsi="Arial" w:eastAsia="Arial" w:cs="Arial"/>
                <w:b w:val="0"/>
                <w:color w:val="000000"/>
                <w:sz w:val="19"/>
                <w:lang w:val="en-GB"/>
                <w:lang w:val="en-GB"/>
              </w:rPr>
              <w:t>C was bought in purchase 2; D is new.</w:t>
            </w:r>
          </w:p>
        </w:tc>
        <w:tc>
          <w:tcPr>
            <w:tcW w:type="dxa" w:w="2551"/>
            <w:vAlign w:val="center"/>
            <w:shd w:fill="F3F7FB"/>
            <w:tcMar>
              <w:top w:w="65" w:type="dxa"/>
              <w:bottom w:w="65" w:type="dxa"/>
              <w:left w:w="95" w:type="dxa"/>
              <w:right w:w="95" w:type="dxa"/>
            </w:tcMar>
          </w:tcPr>
          <w:p>
            <w:pPr>
              <w:spacing w:before="0" w:after="0" w:line="269" w:lineRule="auto"/>
              <w:jc w:val="center"/>
            </w:pPr>
            <w:r>
              <w:rPr>
                <w:rFonts w:ascii="Arial" w:hAnsi="Arial" w:eastAsia="Arial" w:cs="Arial"/>
                <w:b w:val="0"/>
                <w:color w:val="000000"/>
                <w:sz w:val="19"/>
                <w:lang w:val="en-GB"/>
                <w:lang w:val="en-GB"/>
              </w:rPr>
              <w:t>1 ÷ 2 = 50%</w:t>
            </w:r>
          </w:p>
        </w:tc>
      </w:tr>
    </w:tbl>
    <w:p>
      <w:pPr>
        <w:spacing w:after="0" w:before="0" w:line="72" w:lineRule="auto"/>
      </w:pPr>
      <w:r>
        <w:rPr>
          <w:sz w:val="4"/>
        </w:rPr>
      </w:r>
    </w:p>
    <w:p>
      <w:pPr>
        <w:keepNext w:val="0"/>
        <w:spacing w:after="140" w:line="278" w:lineRule="auto"/>
      </w:pPr>
      <w:r>
        <w:rPr>
          <w:rFonts w:ascii="Arial" w:hAnsi="Arial" w:eastAsia="Arial" w:cs="Arial"/>
          <w:b w:val="0"/>
          <w:sz w:val="22"/>
          <w:lang w:val="en-GB"/>
        </w:rPr>
        <w:t xml:space="preserve">Averaging from the second purchase gives a historical repeat-product share of (50% + 50%) ÷ 2 = 50%. Another measure is </w:t>
      </w:r>
      <w:r>
        <w:rPr>
          <w:rFonts w:ascii="Arial" w:hAnsi="Arial" w:eastAsia="Arial" w:cs="Arial"/>
          <w:b/>
          <w:sz w:val="22"/>
          <w:lang w:val="en-GB"/>
        </w:rPr>
        <w:t>top-3 product concentration = total occurrences of the three most frequently purchased products ÷ occurrences of all products</w:t>
      </w:r>
      <w:r>
        <w:rPr>
          <w:rFonts w:ascii="Arial" w:hAnsi="Arial" w:eastAsia="Arial" w:cs="Arial"/>
          <w:b w:val="0"/>
          <w:sz w:val="22"/>
          <w:lang w:val="en-GB"/>
        </w:rPr>
        <w:t>. The first describes repeat buying versus exploration; the second describes concentration on a few products.</w:t>
      </w:r>
    </w:p>
    <w:p>
      <w:pPr>
        <w:keepNext w:val="0"/>
        <w:spacing w:after="140" w:line="278" w:lineRule="auto"/>
      </w:pPr>
      <w:r>
        <w:rPr>
          <w:rFonts w:ascii="Arial" w:hAnsi="Arial" w:eastAsia="Arial" w:cs="Arial"/>
          <w:b w:val="0"/>
          <w:sz w:val="22"/>
          <w:lang w:val="en-GB"/>
        </w:rPr>
        <w:t xml:space="preserve">The profile also includes recent repeat-product share and its change, purchase count, comparable purchase count, distinct product count, average products per purchase, days since last purchase and purchase-history span. Together these form </w:t>
      </w:r>
      <w:r>
        <w:rPr>
          <w:rFonts w:ascii="Arial" w:hAnsi="Arial" w:eastAsia="Arial" w:cs="Arial"/>
          <w:b/>
          <w:sz w:val="22"/>
          <w:lang w:val="en-GB"/>
        </w:rPr>
        <w:t>10 profile features</w:t>
      </w:r>
      <w:r>
        <w:rPr>
          <w:rFonts w:ascii="Arial" w:hAnsi="Arial" w:eastAsia="Arial" w:cs="Arial"/>
          <w:b w:val="0"/>
          <w:sz w:val="22"/>
          <w:lang w:val="en-GB"/>
        </w:rPr>
        <w:t xml:space="preserve"> for display and recommendation.</w:t>
      </w:r>
    </w:p>
    <w:p>
      <w:pPr>
        <w:keepNext w:val="0"/>
        <w:spacing w:after="140" w:line="278" w:lineRule="auto"/>
      </w:pPr>
      <w:r>
        <w:rPr>
          <w:rFonts w:ascii="Arial" w:hAnsi="Arial" w:eastAsia="Arial" w:cs="Arial"/>
          <w:b/>
          <w:sz w:val="22"/>
          <w:lang w:val="en-GB"/>
        </w:rPr>
        <w:t>Round 1 compares five recommendation methods.</w:t>
      </w:r>
      <w:r>
        <w:rPr>
          <w:rFonts w:ascii="Arial" w:hAnsi="Arial" w:eastAsia="Arial" w:cs="Arial"/>
          <w:b w:val="0"/>
          <w:sz w:val="22"/>
          <w:lang w:val="en-GB"/>
        </w:rPr>
        <w:t xml:space="preserve"> Historical purchases become a customer–product purchase-count table recording who bought what and how often. Each method uses the same customers and candidate products, recommends ten products per customer, and checks the next order within the following 30 days.</w:t>
      </w:r>
    </w:p>
    <w:p>
      <w:pPr>
        <w:pStyle w:val="Caption"/>
        <w:keepNext/>
        <w:spacing w:line="264" w:lineRule="auto"/>
        <w:jc w:val="center"/>
      </w:pPr>
      <w:r>
        <w:rPr>
          <w:rFonts w:ascii="Arial" w:hAnsi="Arial" w:eastAsia="Arial" w:cs="Arial"/>
          <w:b w:val="0"/>
          <w:sz w:val="18"/>
          <w:lang w:val="en-GB"/>
        </w:rPr>
        <w:t>Table 2-7 Round 1 methods and reasons for comparison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24"/>
        <w:gridCol w:w="7257"/>
      </w:tblGrid>
      <w:tr>
        <w:trPr>
          <w:cantSplit/>
          <w:tblHeader/>
        </w:trPr>
        <w:tc>
          <w:tcPr>
            <w:tcW w:type="dxa" w:w="2324"/>
            <w:vAlign w:val="center"/>
            <w:shd w:fill="244C78"/>
            <w:tcMar>
              <w:top w:w="65" w:type="dxa"/>
              <w:bottom w:w="65" w:type="dxa"/>
              <w:left w:w="95" w:type="dxa"/>
              <w:right w:w="95" w:type="dxa"/>
            </w:tcMar>
          </w:tcPr>
          <w:p>
            <w:pPr>
              <w:spacing w:before="0" w:after="0" w:line="269" w:lineRule="auto"/>
              <w:jc w:val="center"/>
            </w:pPr>
            <w:r>
              <w:rPr>
                <w:rFonts w:ascii="Arial" w:hAnsi="Arial" w:eastAsia="Arial" w:cs="Arial"/>
                <w:b/>
                <w:color w:val="FFFFFF"/>
                <w:sz w:val="19"/>
                <w:lang w:val="en-GB"/>
                <w:lang w:val="en-GB"/>
              </w:rPr>
              <w:t>Method</w:t>
            </w:r>
          </w:p>
        </w:tc>
        <w:tc>
          <w:tcPr>
            <w:tcW w:type="dxa" w:w="7257"/>
            <w:vAlign w:val="center"/>
            <w:shd w:fill="244C78"/>
            <w:tcMar>
              <w:top w:w="65" w:type="dxa"/>
              <w:bottom w:w="65" w:type="dxa"/>
              <w:left w:w="95" w:type="dxa"/>
              <w:right w:w="95" w:type="dxa"/>
            </w:tcMar>
          </w:tcPr>
          <w:p>
            <w:pPr>
              <w:spacing w:before="0" w:after="0" w:line="269" w:lineRule="auto"/>
              <w:jc w:val="center"/>
            </w:pPr>
            <w:r>
              <w:rPr>
                <w:rFonts w:ascii="Arial" w:hAnsi="Arial" w:eastAsia="Arial" w:cs="Arial"/>
                <w:b/>
                <w:color w:val="FFFFFF"/>
                <w:sz w:val="19"/>
                <w:lang w:val="en-GB"/>
                <w:lang w:val="en-GB"/>
              </w:rPr>
              <w:t>Recommendation approach and reason for comparison</w:t>
            </w:r>
          </w:p>
        </w:tc>
      </w:tr>
      <w:tr>
        <w:trPr>
          <w:cantSplit/>
        </w:trPr>
        <w:tc>
          <w:tcPr>
            <w:tcW w:type="dxa" w:w="2324"/>
            <w:vAlign w:val="center"/>
            <w:shd w:fill="F3F7FB"/>
            <w:tcMar>
              <w:top w:w="65" w:type="dxa"/>
              <w:bottom w:w="65" w:type="dxa"/>
              <w:left w:w="95" w:type="dxa"/>
              <w:right w:w="95" w:type="dxa"/>
            </w:tcMar>
          </w:tcPr>
          <w:p>
            <w:pPr>
              <w:spacing w:before="0" w:after="0" w:line="269" w:lineRule="auto"/>
              <w:jc w:val="center"/>
            </w:pPr>
            <w:r>
              <w:rPr>
                <w:rFonts w:ascii="Arial" w:hAnsi="Arial" w:eastAsia="Arial" w:cs="Arial"/>
                <w:b w:val="0"/>
                <w:color w:val="000000"/>
                <w:sz w:val="19"/>
                <w:lang w:val="en-GB"/>
                <w:lang w:val="en-GB"/>
              </w:rPr>
              <w:t>Popular products</w:t>
            </w:r>
          </w:p>
        </w:tc>
        <w:tc>
          <w:tcPr>
            <w:tcW w:type="dxa" w:w="7257"/>
            <w:vAlign w:val="center"/>
            <w:shd w:fill="F3F7FB"/>
            <w:tcMar>
              <w:top w:w="65" w:type="dxa"/>
              <w:bottom w:w="65" w:type="dxa"/>
              <w:left w:w="95" w:type="dxa"/>
              <w:right w:w="95" w:type="dxa"/>
            </w:tcMar>
          </w:tcPr>
          <w:p>
            <w:pPr>
              <w:spacing w:before="0" w:after="0" w:line="269" w:lineRule="auto"/>
              <w:jc w:val="left"/>
            </w:pPr>
            <w:r>
              <w:rPr>
                <w:rFonts w:ascii="Arial" w:hAnsi="Arial" w:eastAsia="Arial" w:cs="Arial"/>
                <w:b w:val="0"/>
                <w:color w:val="000000"/>
                <w:sz w:val="19"/>
                <w:lang w:val="en-GB"/>
                <w:lang w:val="en-GB"/>
              </w:rPr>
              <w:t>Recommend globally popular products as a reference independent of personal preferences.</w:t>
            </w:r>
          </w:p>
        </w:tc>
      </w:tr>
      <w:tr>
        <w:trPr>
          <w:cantSplit/>
        </w:trPr>
        <w:tc>
          <w:tcPr>
            <w:tcW w:type="dxa" w:w="2324"/>
            <w:vAlign w:val="center"/>
            <w:shd w:fill="FFFFFF"/>
            <w:tcMar>
              <w:top w:w="65" w:type="dxa"/>
              <w:bottom w:w="65" w:type="dxa"/>
              <w:left w:w="95" w:type="dxa"/>
              <w:right w:w="95" w:type="dxa"/>
            </w:tcMar>
          </w:tcPr>
          <w:p>
            <w:pPr>
              <w:spacing w:before="0" w:after="0" w:line="269" w:lineRule="auto"/>
              <w:jc w:val="left"/>
            </w:pPr>
            <w:r>
              <w:rPr>
                <w:rFonts w:ascii="Arial" w:hAnsi="Arial" w:eastAsia="Arial" w:cs="Arial"/>
                <w:b w:val="0"/>
                <w:color w:val="000000"/>
                <w:sz w:val="19"/>
                <w:lang w:val="en-GB"/>
                <w:lang w:val="en-GB"/>
              </w:rPr>
              <w:t>Personal repeat purchase</w:t>
            </w:r>
          </w:p>
        </w:tc>
        <w:tc>
          <w:tcPr>
            <w:tcW w:type="dxa" w:w="7257"/>
            <w:vAlign w:val="center"/>
            <w:shd w:fill="FFFFFF"/>
            <w:tcMar>
              <w:top w:w="65" w:type="dxa"/>
              <w:bottom w:w="65" w:type="dxa"/>
              <w:left w:w="95" w:type="dxa"/>
              <w:right w:w="95" w:type="dxa"/>
            </w:tcMar>
          </w:tcPr>
          <w:p>
            <w:pPr>
              <w:spacing w:before="0" w:after="0" w:line="269" w:lineRule="auto"/>
              <w:jc w:val="left"/>
            </w:pPr>
            <w:r>
              <w:rPr>
                <w:rFonts w:ascii="Arial" w:hAnsi="Arial" w:eastAsia="Arial" w:cs="Arial"/>
                <w:b w:val="0"/>
                <w:color w:val="000000"/>
                <w:sz w:val="19"/>
                <w:lang w:val="en-GB"/>
                <w:lang w:val="en-GB"/>
              </w:rPr>
              <w:t>Prioritise products the customer has bought repeatedly, matching replenishment and wholesale buying.</w:t>
            </w:r>
          </w:p>
        </w:tc>
      </w:tr>
      <w:tr>
        <w:trPr>
          <w:cantSplit/>
        </w:trPr>
        <w:tc>
          <w:tcPr>
            <w:tcW w:type="dxa" w:w="2324"/>
            <w:vAlign w:val="center"/>
            <w:shd w:fill="F3F7FB"/>
            <w:tcMar>
              <w:top w:w="65" w:type="dxa"/>
              <w:bottom w:w="65" w:type="dxa"/>
              <w:left w:w="95" w:type="dxa"/>
              <w:right w:w="95" w:type="dxa"/>
            </w:tcMar>
          </w:tcPr>
          <w:p>
            <w:pPr>
              <w:spacing w:before="0" w:after="0" w:line="269" w:lineRule="auto"/>
              <w:jc w:val="center"/>
            </w:pPr>
            <w:r>
              <w:rPr>
                <w:rFonts w:ascii="Arial" w:hAnsi="Arial" w:eastAsia="Arial" w:cs="Arial"/>
                <w:b w:val="0"/>
                <w:color w:val="000000"/>
                <w:sz w:val="19"/>
                <w:lang w:val="en-GB"/>
                <w:lang w:val="en-GB"/>
              </w:rPr>
              <w:t>ItemKNN</w:t>
            </w:r>
          </w:p>
        </w:tc>
        <w:tc>
          <w:tcPr>
            <w:tcW w:type="dxa" w:w="7257"/>
            <w:vAlign w:val="center"/>
            <w:shd w:fill="F3F7FB"/>
            <w:tcMar>
              <w:top w:w="65" w:type="dxa"/>
              <w:bottom w:w="65" w:type="dxa"/>
              <w:left w:w="95" w:type="dxa"/>
              <w:right w:w="95" w:type="dxa"/>
            </w:tcMar>
          </w:tcPr>
          <w:p>
            <w:pPr>
              <w:spacing w:before="0" w:after="0" w:line="269" w:lineRule="auto"/>
              <w:jc w:val="left"/>
            </w:pPr>
            <w:r>
              <w:rPr>
                <w:rFonts w:ascii="Arial" w:hAnsi="Arial" w:eastAsia="Arial" w:cs="Arial"/>
                <w:b w:val="0"/>
                <w:color w:val="000000"/>
                <w:sz w:val="19"/>
                <w:lang w:val="en-GB"/>
                <w:lang w:val="en-GB"/>
              </w:rPr>
              <w:t>Use co-purchase relationships to find similar products often bought by the same customers.</w:t>
            </w:r>
          </w:p>
        </w:tc>
      </w:tr>
      <w:tr>
        <w:trPr>
          <w:cantSplit/>
        </w:trPr>
        <w:tc>
          <w:tcPr>
            <w:tcW w:type="dxa" w:w="2324"/>
            <w:vAlign w:val="center"/>
            <w:shd w:fill="FFFFFF"/>
            <w:tcMar>
              <w:top w:w="65" w:type="dxa"/>
              <w:bottom w:w="65" w:type="dxa"/>
              <w:left w:w="95" w:type="dxa"/>
              <w:right w:w="95" w:type="dxa"/>
            </w:tcMar>
          </w:tcPr>
          <w:p>
            <w:pPr>
              <w:spacing w:before="0" w:after="0" w:line="269" w:lineRule="auto"/>
              <w:jc w:val="left"/>
            </w:pPr>
            <w:r>
              <w:rPr>
                <w:rFonts w:ascii="Arial" w:hAnsi="Arial" w:eastAsia="Arial" w:cs="Arial"/>
                <w:b w:val="0"/>
                <w:color w:val="000000"/>
                <w:sz w:val="19"/>
                <w:lang w:val="en-GB"/>
                <w:lang w:val="en-GB"/>
              </w:rPr>
              <w:t>Implicit-feedback ALS</w:t>
            </w:r>
          </w:p>
        </w:tc>
        <w:tc>
          <w:tcPr>
            <w:tcW w:type="dxa" w:w="7257"/>
            <w:vAlign w:val="center"/>
            <w:shd w:fill="FFFFFF"/>
            <w:tcMar>
              <w:top w:w="65" w:type="dxa"/>
              <w:bottom w:w="65" w:type="dxa"/>
              <w:left w:w="95" w:type="dxa"/>
              <w:right w:w="95" w:type="dxa"/>
            </w:tcMar>
          </w:tcPr>
          <w:p>
            <w:pPr>
              <w:spacing w:before="0" w:after="0" w:line="269" w:lineRule="auto"/>
              <w:jc w:val="left"/>
            </w:pPr>
            <w:r>
              <w:rPr>
                <w:rFonts w:ascii="Arial" w:hAnsi="Arial" w:eastAsia="Arial" w:cs="Arial"/>
                <w:b w:val="0"/>
                <w:color w:val="000000"/>
                <w:sz w:val="19"/>
                <w:lang w:val="en-GB"/>
                <w:lang w:val="en-GB"/>
              </w:rPr>
              <w:t>Learn customer preferences and product factors from purchase behaviour without ratings.</w:t>
            </w:r>
          </w:p>
        </w:tc>
      </w:tr>
      <w:tr>
        <w:trPr>
          <w:cantSplit/>
        </w:trPr>
        <w:tc>
          <w:tcPr>
            <w:tcW w:type="dxa" w:w="2324"/>
            <w:vAlign w:val="center"/>
            <w:shd w:fill="F3F7FB"/>
            <w:tcMar>
              <w:top w:w="65" w:type="dxa"/>
              <w:bottom w:w="65" w:type="dxa"/>
              <w:left w:w="95" w:type="dxa"/>
              <w:right w:w="95" w:type="dxa"/>
            </w:tcMar>
          </w:tcPr>
          <w:p>
            <w:pPr>
              <w:spacing w:before="0" w:after="0" w:line="269" w:lineRule="auto"/>
              <w:jc w:val="center"/>
            </w:pPr>
            <w:r>
              <w:rPr>
                <w:rFonts w:ascii="Arial" w:hAnsi="Arial" w:eastAsia="Arial" w:cs="Arial"/>
                <w:b w:val="0"/>
                <w:color w:val="000000"/>
                <w:sz w:val="19"/>
                <w:lang w:val="en-GB"/>
                <w:lang w:val="en-GB"/>
              </w:rPr>
              <w:t>EASE</w:t>
            </w:r>
          </w:p>
        </w:tc>
        <w:tc>
          <w:tcPr>
            <w:tcW w:type="dxa" w:w="7257"/>
            <w:vAlign w:val="center"/>
            <w:shd w:fill="F3F7FB"/>
            <w:tcMar>
              <w:top w:w="65" w:type="dxa"/>
              <w:bottom w:w="65" w:type="dxa"/>
              <w:left w:w="95" w:type="dxa"/>
              <w:right w:w="95" w:type="dxa"/>
            </w:tcMar>
          </w:tcPr>
          <w:p>
            <w:pPr>
              <w:spacing w:before="0" w:after="0" w:line="269" w:lineRule="auto"/>
              <w:jc w:val="left"/>
            </w:pPr>
            <w:r>
              <w:rPr>
                <w:rFonts w:ascii="Arial" w:hAnsi="Arial" w:eastAsia="Arial" w:cs="Arial"/>
                <w:b w:val="0"/>
                <w:color w:val="000000"/>
                <w:sz w:val="19"/>
                <w:lang w:val="en-GB"/>
                <w:lang w:val="en-GB"/>
              </w:rPr>
              <w:t>Learn overall product associations from sparse purchase records.</w:t>
            </w:r>
          </w:p>
        </w:tc>
      </w:tr>
    </w:tbl>
    <w:p>
      <w:pPr>
        <w:spacing w:after="0" w:before="0" w:line="72" w:lineRule="auto"/>
      </w:pPr>
      <w:r>
        <w:rPr>
          <w:sz w:val="4"/>
        </w:rPr>
      </w:r>
    </w:p>
    <w:p>
      <w:pPr>
        <w:keepNext w:val="0"/>
        <w:keepLines/>
        <w:spacing w:after="140" w:line="278" w:lineRule="auto"/>
      </w:pPr>
      <w:r>
        <w:rPr>
          <w:rFonts w:ascii="Arial" w:hAnsi="Arial" w:eastAsia="Arial" w:cs="Arial"/>
          <w:b w:val="0"/>
          <w:sz w:val="22"/>
          <w:lang w:val="en-GB"/>
        </w:rPr>
        <w:t xml:space="preserve">In Round 1, </w:t>
      </w:r>
      <w:r>
        <w:rPr>
          <w:rFonts w:ascii="Arial" w:hAnsi="Arial" w:eastAsia="Arial" w:cs="Arial"/>
          <w:b/>
          <w:sz w:val="22"/>
          <w:lang w:val="en-GB"/>
        </w:rPr>
        <w:t>personal repeat purchase</w:t>
      </w:r>
      <w:r>
        <w:rPr>
          <w:rFonts w:ascii="Arial" w:hAnsi="Arial" w:eastAsia="Arial" w:cs="Arial"/>
          <w:b w:val="0"/>
          <w:sz w:val="22"/>
          <w:lang w:val="en-GB"/>
        </w:rPr>
        <w:t xml:space="preserve"> has the highest validation NDCG, Recall and Hit, so it remains the reference. </w:t>
      </w:r>
      <w:r>
        <w:rPr>
          <w:rFonts w:ascii="Arial" w:hAnsi="Arial" w:eastAsia="Arial" w:cs="Arial"/>
          <w:b/>
          <w:sz w:val="22"/>
          <w:lang w:val="en-GB"/>
        </w:rPr>
        <w:t>EASE</w:t>
      </w:r>
      <w:r>
        <w:rPr>
          <w:rFonts w:ascii="Arial" w:hAnsi="Arial" w:eastAsia="Arial" w:cs="Arial"/>
          <w:b w:val="0"/>
          <w:sz w:val="22"/>
          <w:lang w:val="en-GB"/>
        </w:rPr>
        <w:t xml:space="preserve"> has the highest NDCG among the three learned algorithms and continues to supply association scores. Round 2 combines profiles and product associations to learn rankings for replenishment and exploration.</w:t>
      </w:r>
    </w:p>
    <w:p>
      <w:pPr>
        <w:keepNext w:val="0"/>
        <w:pageBreakBefore/>
        <w:spacing w:after="140" w:line="278" w:lineRule="auto"/>
      </w:pPr>
      <w:r>
        <w:rPr>
          <w:rFonts w:ascii="Arial" w:hAnsi="Arial" w:eastAsia="Arial" w:cs="Arial"/>
          <w:b/>
          <w:sz w:val="22"/>
          <w:lang w:val="en-GB"/>
        </w:rPr>
        <w:t>Round 2 compares four feature groups and three scoring models.</w:t>
      </w:r>
      <w:r>
        <w:rPr>
          <w:rFonts w:ascii="Arial" w:hAnsi="Arial" w:eastAsia="Arial" w:cs="Arial"/>
          <w:b w:val="0"/>
          <w:sz w:val="22"/>
          <w:lang w:val="en-GB"/>
        </w:rPr>
        <w:t xml:space="preserve"> A sample is now one customer paired with one candidate product. Inputs describe that pair’s history; the label indicates whether the product appears in the next order. Rather than directly ranking by a rule or association score as in Round 1, the model learns how to combine the signals.</w:t>
      </w:r>
    </w:p>
    <w:p>
      <w:pPr>
        <w:pStyle w:val="Caption"/>
        <w:keepNext/>
        <w:spacing w:line="264" w:lineRule="auto"/>
        <w:jc w:val="center"/>
      </w:pPr>
      <w:r>
        <w:rPr>
          <w:rFonts w:ascii="Arial" w:hAnsi="Arial" w:eastAsia="Arial" w:cs="Arial"/>
          <w:b w:val="0"/>
          <w:sz w:val="18"/>
          <w:lang w:val="en-GB"/>
        </w:rPr>
        <w:t>Table 2-8 Four input groups in Round 2</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24"/>
        <w:gridCol w:w="1020"/>
        <w:gridCol w:w="6236"/>
      </w:tblGrid>
      <w:tr>
        <w:trPr>
          <w:cantSplit/>
          <w:tblHeader/>
        </w:trPr>
        <w:tc>
          <w:tcPr>
            <w:tcW w:type="dxa" w:w="2324"/>
            <w:vAlign w:val="center"/>
            <w:shd w:fill="244C78"/>
            <w:tcMar>
              <w:top w:w="90" w:type="dxa"/>
              <w:bottom w:w="90" w:type="dxa"/>
              <w:left w:w="95" w:type="dxa"/>
              <w:right w:w="95" w:type="dxa"/>
            </w:tcMar>
          </w:tcPr>
          <w:p>
            <w:pPr>
              <w:spacing w:before="0" w:after="0" w:line="269" w:lineRule="auto"/>
              <w:jc w:val="center"/>
            </w:pPr>
            <w:r>
              <w:rPr>
                <w:rFonts w:ascii="Arial" w:hAnsi="Arial" w:eastAsia="Arial" w:cs="Arial"/>
                <w:b/>
                <w:color w:val="FFFFFF"/>
                <w:sz w:val="19"/>
                <w:lang w:val="en-GB"/>
                <w:lang w:val="en-GB"/>
              </w:rPr>
              <w:t>Input group</w:t>
            </w:r>
          </w:p>
        </w:tc>
        <w:tc>
          <w:tcPr>
            <w:tcW w:type="dxa" w:w="1020"/>
            <w:vAlign w:val="center"/>
            <w:shd w:fill="244C78"/>
            <w:tcMar>
              <w:top w:w="90" w:type="dxa"/>
              <w:bottom w:w="90" w:type="dxa"/>
              <w:left w:w="95" w:type="dxa"/>
              <w:right w:w="95" w:type="dxa"/>
            </w:tcMar>
          </w:tcPr>
          <w:p>
            <w:pPr>
              <w:spacing w:before="0" w:after="0" w:line="269" w:lineRule="auto"/>
              <w:jc w:val="center"/>
            </w:pPr>
            <w:r>
              <w:rPr>
                <w:rFonts w:ascii="Arial" w:hAnsi="Arial" w:eastAsia="Arial" w:cs="Arial"/>
                <w:b/>
                <w:color w:val="FFFFFF"/>
                <w:sz w:val="19"/>
                <w:lang w:val="en-GB"/>
                <w:lang w:val="en-GB"/>
              </w:rPr>
              <w:t>Features</w:t>
            </w:r>
          </w:p>
        </w:tc>
        <w:tc>
          <w:tcPr>
            <w:tcW w:type="dxa" w:w="6236"/>
            <w:vAlign w:val="center"/>
            <w:shd w:fill="244C78"/>
            <w:tcMar>
              <w:top w:w="90" w:type="dxa"/>
              <w:bottom w:w="90" w:type="dxa"/>
              <w:left w:w="95" w:type="dxa"/>
              <w:right w:w="95" w:type="dxa"/>
            </w:tcMar>
          </w:tcPr>
          <w:p>
            <w:pPr>
              <w:spacing w:before="0" w:after="0" w:line="269" w:lineRule="auto"/>
              <w:jc w:val="center"/>
            </w:pPr>
            <w:r>
              <w:rPr>
                <w:rFonts w:ascii="Arial" w:hAnsi="Arial" w:eastAsia="Arial" w:cs="Arial"/>
                <w:b/>
                <w:color w:val="FFFFFF"/>
                <w:sz w:val="19"/>
                <w:lang w:val="en-GB"/>
                <w:lang w:val="en-GB"/>
              </w:rPr>
              <w:t>Information supplied</w:t>
            </w:r>
          </w:p>
        </w:tc>
      </w:tr>
      <w:tr>
        <w:trPr>
          <w:cantSplit/>
        </w:trPr>
        <w:tc>
          <w:tcPr>
            <w:tcW w:type="dxa" w:w="2324"/>
            <w:vAlign w:val="center"/>
            <w:shd w:fill="F3F7FB"/>
            <w:tcMar>
              <w:top w:w="90" w:type="dxa"/>
              <w:bottom w:w="90" w:type="dxa"/>
              <w:left w:w="95" w:type="dxa"/>
              <w:right w:w="95" w:type="dxa"/>
            </w:tcMar>
          </w:tcPr>
          <w:p>
            <w:pPr>
              <w:spacing w:before="0" w:after="0" w:line="269" w:lineRule="auto"/>
              <w:jc w:val="center"/>
            </w:pPr>
            <w:r>
              <w:rPr>
                <w:rFonts w:ascii="Arial" w:hAnsi="Arial" w:eastAsia="Arial" w:cs="Arial"/>
                <w:b w:val="0"/>
                <w:color w:val="000000"/>
                <w:sz w:val="19"/>
                <w:lang w:val="en-GB"/>
                <w:lang w:val="en-GB"/>
              </w:rPr>
              <w:t>A Base</w:t>
            </w:r>
          </w:p>
        </w:tc>
        <w:tc>
          <w:tcPr>
            <w:tcW w:type="dxa" w:w="1020"/>
            <w:vAlign w:val="center"/>
            <w:shd w:fill="F3F7FB"/>
            <w:tcMar>
              <w:top w:w="90" w:type="dxa"/>
              <w:bottom w:w="90" w:type="dxa"/>
              <w:left w:w="95" w:type="dxa"/>
              <w:right w:w="95" w:type="dxa"/>
            </w:tcMar>
          </w:tcPr>
          <w:p>
            <w:pPr>
              <w:spacing w:before="0" w:after="0" w:line="269" w:lineRule="auto"/>
              <w:jc w:val="center"/>
            </w:pPr>
            <w:r>
              <w:rPr>
                <w:rFonts w:ascii="Arial" w:hAnsi="Arial" w:eastAsia="Arial" w:cs="Arial"/>
                <w:b w:val="0"/>
                <w:color w:val="000000"/>
                <w:sz w:val="19"/>
                <w:lang w:val="en-GB"/>
                <w:lang w:val="en-GB"/>
              </w:rPr>
              <w:t>15</w:t>
            </w:r>
          </w:p>
        </w:tc>
        <w:tc>
          <w:tcPr>
            <w:tcW w:type="dxa" w:w="6236"/>
            <w:vAlign w:val="center"/>
            <w:shd w:fill="F3F7FB"/>
            <w:tcMar>
              <w:top w:w="90" w:type="dxa"/>
              <w:bottom w:w="90" w:type="dxa"/>
              <w:left w:w="95" w:type="dxa"/>
              <w:right w:w="95" w:type="dxa"/>
            </w:tcMar>
          </w:tcPr>
          <w:p>
            <w:pPr>
              <w:spacing w:before="0" w:after="0" w:line="269" w:lineRule="auto"/>
              <w:jc w:val="left"/>
            </w:pPr>
            <w:r>
              <w:rPr>
                <w:rFonts w:ascii="Arial" w:hAnsi="Arial" w:eastAsia="Arial" w:cs="Arial"/>
                <w:b w:val="0"/>
                <w:color w:val="000000"/>
                <w:sz w:val="19"/>
                <w:lang w:val="en-GB"/>
                <w:lang w:val="en-GB"/>
              </w:rPr>
              <w:t>Whether bought before, purchase count, recency, purchase intervals and product popularity.</w:t>
            </w:r>
          </w:p>
        </w:tc>
      </w:tr>
      <w:tr>
        <w:trPr>
          <w:cantSplit/>
        </w:trPr>
        <w:tc>
          <w:tcPr>
            <w:tcW w:type="dxa" w:w="2324"/>
            <w:vAlign w:val="center"/>
            <w:shd w:fill="FFFFFF"/>
            <w:tcMar>
              <w:top w:w="90" w:type="dxa"/>
              <w:bottom w:w="90" w:type="dxa"/>
              <w:left w:w="95" w:type="dxa"/>
              <w:right w:w="95" w:type="dxa"/>
            </w:tcMar>
          </w:tcPr>
          <w:p>
            <w:pPr>
              <w:spacing w:before="0" w:after="0" w:line="269" w:lineRule="auto"/>
              <w:jc w:val="center"/>
            </w:pPr>
            <w:r>
              <w:rPr>
                <w:rFonts w:ascii="Arial" w:hAnsi="Arial" w:eastAsia="Arial" w:cs="Arial"/>
                <w:b w:val="0"/>
                <w:color w:val="000000"/>
                <w:sz w:val="19"/>
                <w:lang w:val="en-GB"/>
                <w:lang w:val="en-GB"/>
              </w:rPr>
              <w:t>B Base + profile</w:t>
            </w:r>
          </w:p>
        </w:tc>
        <w:tc>
          <w:tcPr>
            <w:tcW w:type="dxa" w:w="1020"/>
            <w:vAlign w:val="center"/>
            <w:shd w:fill="FFFFFF"/>
            <w:tcMar>
              <w:top w:w="90" w:type="dxa"/>
              <w:bottom w:w="90" w:type="dxa"/>
              <w:left w:w="95" w:type="dxa"/>
              <w:right w:w="95" w:type="dxa"/>
            </w:tcMar>
          </w:tcPr>
          <w:p>
            <w:pPr>
              <w:spacing w:before="0" w:after="0" w:line="269" w:lineRule="auto"/>
              <w:jc w:val="center"/>
            </w:pPr>
            <w:r>
              <w:rPr>
                <w:rFonts w:ascii="Arial" w:hAnsi="Arial" w:eastAsia="Arial" w:cs="Arial"/>
                <w:b w:val="0"/>
                <w:color w:val="000000"/>
                <w:sz w:val="19"/>
                <w:lang w:val="en-GB"/>
                <w:lang w:val="en-GB"/>
              </w:rPr>
              <w:t>31</w:t>
            </w:r>
          </w:p>
        </w:tc>
        <w:tc>
          <w:tcPr>
            <w:tcW w:type="dxa" w:w="6236"/>
            <w:vAlign w:val="center"/>
            <w:shd w:fill="FFFFFF"/>
            <w:tcMar>
              <w:top w:w="90" w:type="dxa"/>
              <w:bottom w:w="90" w:type="dxa"/>
              <w:left w:w="95" w:type="dxa"/>
              <w:right w:w="95" w:type="dxa"/>
            </w:tcMar>
          </w:tcPr>
          <w:p>
            <w:pPr>
              <w:spacing w:before="0" w:after="0" w:line="269" w:lineRule="auto"/>
              <w:jc w:val="left"/>
            </w:pPr>
            <w:r>
              <w:rPr>
                <w:rFonts w:ascii="Arial" w:hAnsi="Arial" w:eastAsia="Arial" w:cs="Arial"/>
                <w:b w:val="0"/>
                <w:color w:val="000000"/>
                <w:sz w:val="19"/>
                <w:lang w:val="en-GB"/>
                <w:lang w:val="en-GB"/>
              </w:rPr>
              <w:t>A + 10 profile features + 6 interactions, such as repeat share × previously purchased flag.</w:t>
            </w:r>
          </w:p>
        </w:tc>
      </w:tr>
      <w:tr>
        <w:trPr>
          <w:cantSplit/>
        </w:trPr>
        <w:tc>
          <w:tcPr>
            <w:tcW w:type="dxa" w:w="2324"/>
            <w:vAlign w:val="center"/>
            <w:shd w:fill="F3F7FB"/>
            <w:tcMar>
              <w:top w:w="90" w:type="dxa"/>
              <w:bottom w:w="90" w:type="dxa"/>
              <w:left w:w="95" w:type="dxa"/>
              <w:right w:w="95" w:type="dxa"/>
            </w:tcMar>
          </w:tcPr>
          <w:p>
            <w:pPr>
              <w:spacing w:before="0" w:after="0" w:line="269" w:lineRule="auto"/>
              <w:jc w:val="center"/>
            </w:pPr>
            <w:r>
              <w:rPr>
                <w:rFonts w:ascii="Arial" w:hAnsi="Arial" w:eastAsia="Arial" w:cs="Arial"/>
                <w:b w:val="0"/>
                <w:color w:val="000000"/>
                <w:sz w:val="19"/>
                <w:lang w:val="en-GB"/>
                <w:lang w:val="en-GB"/>
              </w:rPr>
              <w:t>C Base + EASE</w:t>
            </w:r>
          </w:p>
        </w:tc>
        <w:tc>
          <w:tcPr>
            <w:tcW w:type="dxa" w:w="1020"/>
            <w:vAlign w:val="center"/>
            <w:shd w:fill="F3F7FB"/>
            <w:tcMar>
              <w:top w:w="90" w:type="dxa"/>
              <w:bottom w:w="90" w:type="dxa"/>
              <w:left w:w="95" w:type="dxa"/>
              <w:right w:w="95" w:type="dxa"/>
            </w:tcMar>
          </w:tcPr>
          <w:p>
            <w:pPr>
              <w:spacing w:before="0" w:after="0" w:line="269" w:lineRule="auto"/>
              <w:jc w:val="center"/>
            </w:pPr>
            <w:r>
              <w:rPr>
                <w:rFonts w:ascii="Arial" w:hAnsi="Arial" w:eastAsia="Arial" w:cs="Arial"/>
                <w:b w:val="0"/>
                <w:color w:val="000000"/>
                <w:sz w:val="19"/>
                <w:lang w:val="en-GB"/>
                <w:lang w:val="en-GB"/>
              </w:rPr>
              <w:t>17</w:t>
            </w:r>
          </w:p>
        </w:tc>
        <w:tc>
          <w:tcPr>
            <w:tcW w:type="dxa" w:w="6236"/>
            <w:vAlign w:val="center"/>
            <w:shd w:fill="F3F7FB"/>
            <w:tcMar>
              <w:top w:w="90" w:type="dxa"/>
              <w:bottom w:w="90" w:type="dxa"/>
              <w:left w:w="95" w:type="dxa"/>
              <w:right w:w="95" w:type="dxa"/>
            </w:tcMar>
          </w:tcPr>
          <w:p>
            <w:pPr>
              <w:spacing w:before="0" w:after="0" w:line="269" w:lineRule="auto"/>
              <w:jc w:val="left"/>
            </w:pPr>
            <w:r>
              <w:rPr>
                <w:rFonts w:ascii="Arial" w:hAnsi="Arial" w:eastAsia="Arial" w:cs="Arial"/>
                <w:b w:val="0"/>
                <w:color w:val="000000"/>
                <w:sz w:val="19"/>
                <w:lang w:val="en-GB"/>
                <w:lang w:val="en-GB"/>
              </w:rPr>
              <w:t>A + EASE association score + a missing-association flag.</w:t>
            </w:r>
          </w:p>
        </w:tc>
      </w:tr>
      <w:tr>
        <w:trPr>
          <w:cantSplit/>
        </w:trPr>
        <w:tc>
          <w:tcPr>
            <w:tcW w:type="dxa" w:w="2324"/>
            <w:vAlign w:val="center"/>
            <w:shd w:fill="FFFFFF"/>
            <w:tcMar>
              <w:top w:w="90" w:type="dxa"/>
              <w:bottom w:w="90" w:type="dxa"/>
              <w:left w:w="95" w:type="dxa"/>
              <w:right w:w="95" w:type="dxa"/>
            </w:tcMar>
          </w:tcPr>
          <w:p>
            <w:pPr>
              <w:spacing w:before="0" w:after="0" w:line="269" w:lineRule="auto"/>
              <w:jc w:val="center"/>
            </w:pPr>
            <w:r>
              <w:rPr>
                <w:rFonts w:ascii="Arial" w:hAnsi="Arial" w:eastAsia="Arial" w:cs="Arial"/>
                <w:b w:val="0"/>
                <w:color w:val="000000"/>
                <w:sz w:val="19"/>
                <w:lang w:val="en-GB"/>
                <w:lang w:val="en-GB"/>
              </w:rPr>
              <w:t>D Full</w:t>
            </w:r>
          </w:p>
        </w:tc>
        <w:tc>
          <w:tcPr>
            <w:tcW w:type="dxa" w:w="1020"/>
            <w:vAlign w:val="center"/>
            <w:shd w:fill="FFFFFF"/>
            <w:tcMar>
              <w:top w:w="90" w:type="dxa"/>
              <w:bottom w:w="90" w:type="dxa"/>
              <w:left w:w="95" w:type="dxa"/>
              <w:right w:w="95" w:type="dxa"/>
            </w:tcMar>
          </w:tcPr>
          <w:p>
            <w:pPr>
              <w:spacing w:before="0" w:after="0" w:line="269" w:lineRule="auto"/>
              <w:jc w:val="center"/>
            </w:pPr>
            <w:r>
              <w:rPr>
                <w:rFonts w:ascii="Arial" w:hAnsi="Arial" w:eastAsia="Arial" w:cs="Arial"/>
                <w:b w:val="0"/>
                <w:color w:val="000000"/>
                <w:sz w:val="19"/>
                <w:lang w:val="en-GB"/>
                <w:lang w:val="en-GB"/>
              </w:rPr>
              <w:t>34</w:t>
            </w:r>
          </w:p>
        </w:tc>
        <w:tc>
          <w:tcPr>
            <w:tcW w:type="dxa" w:w="6236"/>
            <w:vAlign w:val="center"/>
            <w:shd w:fill="FFFFFF"/>
            <w:tcMar>
              <w:top w:w="90" w:type="dxa"/>
              <w:bottom w:w="90" w:type="dxa"/>
              <w:left w:w="95" w:type="dxa"/>
              <w:right w:w="95" w:type="dxa"/>
            </w:tcMar>
          </w:tcPr>
          <w:p>
            <w:pPr>
              <w:spacing w:before="0" w:after="0" w:line="269" w:lineRule="auto"/>
              <w:jc w:val="left"/>
            </w:pPr>
            <w:r>
              <w:rPr>
                <w:rFonts w:ascii="Arial" w:hAnsi="Arial" w:eastAsia="Arial" w:cs="Arial"/>
                <w:b w:val="0"/>
                <w:color w:val="000000"/>
                <w:sz w:val="19"/>
                <w:lang w:val="en-GB"/>
                <w:lang w:val="en-GB"/>
              </w:rPr>
              <w:t>Combine A, B and C, plus repeat share × EASE score.</w:t>
            </w:r>
          </w:p>
        </w:tc>
      </w:tr>
    </w:tbl>
    <w:p>
      <w:pPr>
        <w:spacing w:after="0" w:before="0" w:line="72" w:lineRule="auto"/>
      </w:pPr>
      <w:r>
        <w:rPr>
          <w:sz w:val="4"/>
        </w:rPr>
      </w:r>
    </w:p>
    <w:p>
      <w:pPr>
        <w:keepNext w:val="0"/>
        <w:spacing w:after="140" w:line="278" w:lineRule="auto"/>
      </w:pPr>
      <w:r>
        <w:rPr>
          <w:rFonts w:ascii="Arial" w:hAnsi="Arial" w:eastAsia="Arial" w:cs="Arial"/>
          <w:b w:val="0"/>
          <w:sz w:val="22"/>
          <w:lang w:val="en-GB"/>
        </w:rPr>
        <w:t xml:space="preserve">Each group is tested with </w:t>
      </w:r>
      <w:r>
        <w:rPr>
          <w:rFonts w:ascii="Arial" w:hAnsi="Arial" w:eastAsia="Arial" w:cs="Arial"/>
          <w:b/>
          <w:sz w:val="22"/>
          <w:lang w:val="en-GB"/>
        </w:rPr>
        <w:t>LR, LightGBM classification and LightGBM ranking</w:t>
      </w:r>
      <w:r>
        <w:rPr>
          <w:rFonts w:ascii="Arial" w:hAnsi="Arial" w:eastAsia="Arial" w:cs="Arial"/>
          <w:b w:val="0"/>
          <w:sz w:val="22"/>
          <w:lang w:val="en-GB"/>
        </w:rPr>
        <w:t>, giving 12 combinations. LR learns weighted feature effects; LightGBM classification learns whether a product appears in the next order; LightGBM ranking learns product order within each customer. The same model type shares parameters and samples across groups. B versus A and D versus C test profiles and their interactions; C versus A and D versus B test EASE signals.</w:t>
      </w:r>
    </w:p>
    <w:p>
      <w:pPr>
        <w:keepNext w:val="0"/>
        <w:spacing w:after="140" w:line="278" w:lineRule="auto"/>
      </w:pPr>
      <w:r>
        <w:rPr>
          <w:rFonts w:ascii="Arial" w:hAnsi="Arial" w:eastAsia="Arial" w:cs="Arial"/>
          <w:b w:val="0"/>
          <w:sz w:val="22"/>
          <w:lang w:val="en-GB"/>
        </w:rPr>
        <w:t xml:space="preserve">Training retains positive products from the next order and samples a mixture of hard and random negatives from the many unpurchased products. All groups share the sampled records, and classification weights account for sampling probabilities. </w:t>
      </w:r>
      <w:r>
        <w:rPr>
          <w:rFonts w:ascii="Arial" w:hAnsi="Arial" w:eastAsia="Arial" w:cs="Arial"/>
          <w:b/>
          <w:sz w:val="22"/>
          <w:lang w:val="en-GB"/>
        </w:rPr>
        <w:t>Evaluation and app use score the full candidate catalogue without sampling</w:t>
      </w:r>
      <w:r>
        <w:rPr>
          <w:rFonts w:ascii="Arial" w:hAnsi="Arial" w:eastAsia="Arial" w:cs="Arial"/>
          <w:b w:val="0"/>
          <w:sz w:val="22"/>
          <w:lang w:val="en-GB"/>
        </w:rPr>
        <w:t>, keeping the candidate scope consistent across methods.</w:t>
      </w:r>
    </w:p>
    <w:p>
      <w:pPr>
        <w:keepNext w:val="0"/>
        <w:spacing w:after="140" w:line="278" w:lineRule="auto"/>
      </w:pPr>
      <w:r>
        <w:rPr>
          <w:rFonts w:ascii="Arial" w:hAnsi="Arial" w:eastAsia="Arial" w:cs="Arial"/>
          <w:b/>
          <w:sz w:val="22"/>
          <w:lang w:val="en-GB"/>
        </w:rPr>
        <w:t>The app uses group D with LightGBM classification</w:t>
      </w:r>
      <w:r>
        <w:rPr>
          <w:rFonts w:ascii="Arial" w:hAnsi="Arial" w:eastAsia="Arial" w:cs="Arial"/>
          <w:b w:val="0"/>
          <w:sz w:val="22"/>
          <w:lang w:val="en-GB"/>
        </w:rPr>
        <w:t>, which has the highest validation NDCG@10 in Round 2. For the selected customer and each candidate product, the system calculates 34 features and passes them to the same set of boosted trees:</w:t>
      </w:r>
    </w:p>
    <w:p>
      <w:pPr>
        <w:keepNext w:val="0"/>
        <w:spacing w:after="140" w:line="278" w:lineRule="auto"/>
      </w:pPr>
      <w:r>
        <w:rPr>
          <w:rFonts w:ascii="Arial" w:hAnsi="Arial" w:eastAsia="Arial" w:cs="Arial"/>
          <w:b/>
          <w:sz w:val="22"/>
          <w:lang w:val="en-GB"/>
        </w:rPr>
        <w:t>Product ranking score = initial value + sum of all tree adjustments</w:t>
      </w:r>
      <w:r>
        <w:rPr>
          <w:rFonts w:ascii="Arial" w:hAnsi="Arial" w:eastAsia="Arial" w:cs="Arial"/>
          <w:b w:val="0"/>
          <w:sz w:val="22"/>
          <w:lang w:val="en-GB"/>
        </w:rPr>
        <w:br/>
      </w:r>
      <w:r>
        <w:rPr>
          <w:rFonts w:ascii="Arial" w:hAnsi="Arial" w:eastAsia="Arial" w:cs="Arial"/>
          <w:b/>
          <w:sz w:val="22"/>
          <w:lang w:val="en-GB"/>
        </w:rPr>
        <w:t>Sort scores from highest to lowest and select the customer’s top ten products.</w:t>
      </w:r>
    </w:p>
    <w:p>
      <w:pPr>
        <w:keepNext w:val="0"/>
        <w:spacing w:after="140" w:line="278" w:lineRule="auto"/>
      </w:pPr>
      <w:r>
        <w:rPr>
          <w:rFonts w:ascii="Arial" w:hAnsi="Arial" w:eastAsia="Arial" w:cs="Arial"/>
          <w:b w:val="0"/>
          <w:sz w:val="22"/>
          <w:lang w:val="en-GB"/>
        </w:rPr>
        <w:t xml:space="preserve">Both rounds prioritise </w:t>
      </w:r>
      <w:r>
        <w:rPr>
          <w:rFonts w:ascii="Arial" w:hAnsi="Arial" w:eastAsia="Arial" w:cs="Arial"/>
          <w:b/>
          <w:sz w:val="22"/>
          <w:lang w:val="en-GB"/>
        </w:rPr>
        <w:t>NDCG@10</w:t>
      </w:r>
      <w:r>
        <w:rPr>
          <w:rFonts w:ascii="Arial" w:hAnsi="Arial" w:eastAsia="Arial" w:cs="Arial"/>
          <w:b w:val="0"/>
          <w:sz w:val="22"/>
          <w:lang w:val="en-GB"/>
        </w:rPr>
        <w:t>, which rewards hits near the top. Recall@10 measures how many next-order products are covered; Hit@10 measures how many customers receive at least one hit; new-product Recall@10 separately measures exploration. Methods are compared on the same customers and months. Calculation examples and results appear separately in Part 3.</w:t>
      </w:r>
    </w:p>
    <w:p>
      <w:pPr>
        <w:pStyle w:val="Heading1"/>
        <w:pageBreakBefore/>
      </w:pPr>
      <w:r>
        <w:rPr>
          <w:rFonts w:ascii="Arial" w:hAnsi="Arial" w:eastAsia="Arial" w:cs="Arial"/>
          <w:b/>
          <w:sz w:val="30"/>
          <w:lang w:val="en-GB"/>
        </w:rPr>
        <w:t>2.4 User Interface and Function Integration</w:t>
      </w:r>
    </w:p>
    <w:p>
      <w:pPr>
        <w:keepNext w:val="0"/>
        <w:spacing w:after="140" w:line="278" w:lineRule="auto"/>
      </w:pPr>
      <w:r>
        <w:rPr>
          <w:rFonts w:ascii="Arial" w:hAnsi="Arial" w:eastAsia="Arial" w:cs="Arial"/>
          <w:b w:val="0"/>
          <w:sz w:val="22"/>
          <w:lang w:val="en-GB"/>
        </w:rPr>
        <w:t xml:space="preserve">Users upload purchase records and choose a date on </w:t>
      </w:r>
      <w:r>
        <w:rPr>
          <w:rFonts w:ascii="Arial" w:hAnsi="Arial" w:eastAsia="Arial" w:cs="Arial"/>
          <w:b/>
          <w:sz w:val="22"/>
          <w:lang w:val="en-GB"/>
        </w:rPr>
        <w:t>Data import</w:t>
      </w:r>
      <w:r>
        <w:rPr>
          <w:rFonts w:ascii="Arial" w:hAnsi="Arial" w:eastAsia="Arial" w:cs="Arial"/>
          <w:b w:val="0"/>
          <w:sz w:val="22"/>
          <w:lang w:val="en-GB"/>
        </w:rPr>
        <w:t xml:space="preserve">. After validation, the system calls the trained models, and all four pages share the results. It supports </w:t>
      </w:r>
      <w:r>
        <w:rPr>
          <w:rFonts w:ascii="Arial" w:hAnsi="Arial" w:eastAsia="Arial" w:cs="Arial"/>
          <w:b/>
          <w:sz w:val="22"/>
          <w:lang w:val="en-GB"/>
        </w:rPr>
        <w:t>any date from 2011‑09‑01 to 2011‑12‑01</w:t>
      </w:r>
      <w:r>
        <w:rPr>
          <w:rFonts w:ascii="Arial" w:hAnsi="Arial" w:eastAsia="Arial" w:cs="Arial"/>
          <w:b w:val="0"/>
          <w:sz w:val="22"/>
          <w:lang w:val="en-GB"/>
        </w:rPr>
        <w:t>, with filtering and list exports.</w:t>
      </w:r>
    </w:p>
    <w:p>
      <w:pPr>
        <w:keepNext w:val="0"/>
        <w:spacing w:after="140" w:line="278" w:lineRule="auto"/>
      </w:pPr>
      <w:r>
        <w:rPr>
          <w:rFonts w:ascii="Arial" w:hAnsi="Arial" w:eastAsia="Arial" w:cs="Arial"/>
          <w:b w:val="0"/>
          <w:sz w:val="22"/>
          <w:lang w:val="en-GB"/>
        </w:rPr>
        <w:t xml:space="preserve">The following </w:t>
      </w:r>
      <w:r>
        <w:rPr>
          <w:rFonts w:ascii="Arial" w:hAnsi="Arial" w:eastAsia="Arial" w:cs="Arial"/>
          <w:b/>
          <w:sz w:val="22"/>
          <w:lang w:val="en-GB"/>
        </w:rPr>
        <w:t>2011‑12‑01</w:t>
      </w:r>
      <w:r>
        <w:rPr>
          <w:rFonts w:ascii="Arial" w:hAnsi="Arial" w:eastAsia="Arial" w:cs="Arial"/>
          <w:b w:val="0"/>
          <w:sz w:val="22"/>
          <w:lang w:val="en-GB"/>
        </w:rPr>
        <w:t xml:space="preserve"> example uses 759,615 real qualifying transactions to generate 3,444 customers, with 689 in the top 20% for spending potential. The earlier August example explains samples; this December example shows app use.</w:t>
      </w:r>
    </w:p>
    <w:p>
      <w:pPr>
        <w:pStyle w:val="Heading2"/>
        <w:keepNext/>
        <w:spacing w:line="278" w:lineRule="auto" w:after="140"/>
      </w:pPr>
      <w:r>
        <w:rPr>
          <w:rFonts w:ascii="Arial" w:hAnsi="Arial" w:eastAsia="Arial" w:cs="Arial"/>
          <w:b/>
          <w:color w:val="000000"/>
          <w:sz w:val="25"/>
        </w:rPr>
        <w:t>2.4.1 Data Import</w:t>
      </w:r>
    </w:p>
    <w:p>
      <w:pPr>
        <w:spacing w:line="278" w:lineRule="auto" w:after="140"/>
      </w:pPr>
      <w:r>
        <w:rPr>
          <w:rFonts w:ascii="Arial" w:hAnsi="Arial" w:eastAsia="Arial" w:cs="Arial"/>
          <w:b w:val="0"/>
          <w:color w:val="000000"/>
          <w:sz w:val="22"/>
        </w:rPr>
        <w:t xml:space="preserve">Upload a purchase-history CSV, choose the analysis date and click </w:t>
      </w:r>
      <w:r>
        <w:rPr>
          <w:rFonts w:ascii="Arial" w:hAnsi="Arial" w:eastAsia="Arial" w:cs="Arial"/>
          <w:b/>
          <w:color w:val="000000"/>
          <w:sz w:val="22"/>
        </w:rPr>
        <w:t>Generate analysis</w:t>
      </w:r>
      <w:r>
        <w:rPr>
          <w:rFonts w:ascii="Arial" w:hAnsi="Arial" w:eastAsia="Arial" w:cs="Arial"/>
          <w:b w:val="0"/>
          <w:color w:val="000000"/>
          <w:sz w:val="22"/>
        </w:rPr>
        <w:t xml:space="preserve">. The system prepares the shared analysis results and opens </w:t>
      </w:r>
      <w:r>
        <w:rPr>
          <w:rFonts w:ascii="Arial" w:hAnsi="Arial" w:eastAsia="Arial" w:cs="Arial"/>
          <w:b/>
          <w:color w:val="000000"/>
          <w:sz w:val="22"/>
        </w:rPr>
        <w:t>Customer segments</w:t>
      </w:r>
      <w:r>
        <w:rPr>
          <w:rFonts w:ascii="Arial" w:hAnsi="Arial" w:eastAsia="Arial" w:cs="Arial"/>
          <w:b w:val="0"/>
          <w:color w:val="000000"/>
          <w:sz w:val="22"/>
        </w:rPr>
        <w:t>.</w:t>
      </w:r>
    </w:p>
    <w:p>
      <w:pPr>
        <w:keepNext/>
        <w:spacing w:before="0" w:after="0" w:line="240" w:lineRule="auto"/>
        <w:jc w:val="center"/>
      </w:pPr>
      <w:r>
        <w:rPr>
          <w:sz w:val="2"/>
        </w:rPr>
        <w:drawing>
          <wp:inline xmlns:a="http://schemas.openxmlformats.org/drawingml/2006/main" xmlns:pic="http://schemas.openxmlformats.org/drawingml/2006/picture">
            <wp:extent cx="6083999" cy="2133625"/>
            <wp:docPr id="6" name="Picture 6" descr="Figure 2-2 Data import and analysis-date selection"/>
            <wp:cNvGraphicFramePr>
              <a:graphicFrameLocks noChangeAspect="1"/>
            </wp:cNvGraphicFramePr>
            <a:graphic>
              <a:graphicData uri="http://schemas.openxmlformats.org/drawingml/2006/picture">
                <pic:pic>
                  <pic:nvPicPr>
                    <pic:cNvPr id="0" name="data_import.png"/>
                    <pic:cNvPicPr/>
                  </pic:nvPicPr>
                  <pic:blipFill>
                    <a:blip r:embed="rId10"/>
                    <a:stretch>
                      <a:fillRect/>
                    </a:stretch>
                  </pic:blipFill>
                  <pic:spPr>
                    <a:xfrm>
                      <a:off x="0" y="0"/>
                      <a:ext cx="6083999" cy="2133625"/>
                    </a:xfrm>
                    <a:prstGeom prst="rect"/>
                  </pic:spPr>
                </pic:pic>
              </a:graphicData>
            </a:graphic>
          </wp:inline>
        </w:drawing>
      </w:r>
    </w:p>
    <w:p>
      <w:pPr>
        <w:pStyle w:val="Caption"/>
        <w:spacing w:line="264" w:lineRule="auto" w:before="80" w:after="180"/>
        <w:jc w:val="center"/>
      </w:pPr>
      <w:r>
        <w:rPr>
          <w:rFonts w:ascii="Arial" w:hAnsi="Arial" w:eastAsia="Arial" w:cs="Arial"/>
          <w:b w:val="0"/>
          <w:color w:val="555555"/>
          <w:sz w:val="18"/>
        </w:rPr>
        <w:t>Figure 2-2 Data import and analysis-date selection</w:t>
      </w:r>
    </w:p>
    <w:p>
      <w:pPr>
        <w:pStyle w:val="Heading2"/>
        <w:keepNext/>
        <w:pageBreakBefore/>
        <w:spacing w:line="278" w:lineRule="auto" w:after="140"/>
      </w:pPr>
      <w:r>
        <w:rPr>
          <w:rFonts w:ascii="Arial" w:hAnsi="Arial" w:eastAsia="Arial" w:cs="Arial"/>
          <w:b/>
          <w:color w:val="000000"/>
          <w:sz w:val="25"/>
        </w:rPr>
        <w:t>2.4.2 Customer Segments</w:t>
      </w:r>
    </w:p>
    <w:p>
      <w:pPr>
        <w:spacing w:line="278" w:lineRule="auto" w:after="140"/>
      </w:pPr>
      <w:r>
        <w:rPr>
          <w:rFonts w:ascii="Arial" w:hAnsi="Arial" w:eastAsia="Arial" w:cs="Arial"/>
          <w:b w:val="0"/>
          <w:color w:val="000000"/>
          <w:sz w:val="22"/>
        </w:rPr>
        <w:t>The page shows the four customer groups, their sizes and purchasing patterns. Users can filter by segment or customer ID and export the customer list.</w:t>
      </w:r>
    </w:p>
    <w:p>
      <w:pPr>
        <w:keepNext/>
        <w:spacing w:before="0" w:after="0" w:line="240" w:lineRule="auto"/>
        <w:jc w:val="center"/>
      </w:pPr>
      <w:r>
        <w:rPr>
          <w:sz w:val="2"/>
        </w:rPr>
        <w:drawing>
          <wp:inline xmlns:a="http://schemas.openxmlformats.org/drawingml/2006/main" xmlns:pic="http://schemas.openxmlformats.org/drawingml/2006/picture">
            <wp:extent cx="6083999" cy="4996062"/>
            <wp:docPr id="7" name="Picture 7" descr="Figure 2-3 Customer segments, purchase patterns and customer lists"/>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6083999" cy="4996062"/>
                    </a:xfrm>
                    <a:prstGeom prst="rect"/>
                  </pic:spPr>
                </pic:pic>
              </a:graphicData>
            </a:graphic>
          </wp:inline>
        </w:drawing>
      </w:r>
    </w:p>
    <w:p>
      <w:pPr>
        <w:pStyle w:val="Caption"/>
        <w:spacing w:line="264" w:lineRule="auto" w:before="80" w:after="180"/>
        <w:jc w:val="center"/>
      </w:pPr>
      <w:r>
        <w:rPr>
          <w:rFonts w:ascii="Arial" w:hAnsi="Arial" w:eastAsia="Arial" w:cs="Arial"/>
          <w:b w:val="0"/>
          <w:color w:val="555555"/>
          <w:sz w:val="18"/>
        </w:rPr>
        <w:t>Figure 2-3 Customer segments, purchase patterns and customer lists</w:t>
      </w:r>
    </w:p>
    <w:p>
      <w:pPr>
        <w:pStyle w:val="Heading2"/>
        <w:keepNext/>
        <w:pageBreakBefore/>
        <w:spacing w:line="278" w:lineRule="auto" w:after="140"/>
      </w:pPr>
      <w:r>
        <w:rPr>
          <w:rFonts w:ascii="Arial" w:hAnsi="Arial" w:eastAsia="Arial" w:cs="Arial"/>
          <w:b/>
          <w:color w:val="000000"/>
          <w:sz w:val="25"/>
        </w:rPr>
        <w:t>2.4.3 Repurchase Priorities</w:t>
      </w:r>
    </w:p>
    <w:p>
      <w:pPr>
        <w:spacing w:line="278" w:lineRule="auto" w:after="140"/>
      </w:pPr>
      <w:r>
        <w:rPr>
          <w:rFonts w:ascii="Arial" w:hAnsi="Arial" w:eastAsia="Arial" w:cs="Arial"/>
          <w:b w:val="0"/>
          <w:color w:val="000000"/>
          <w:sz w:val="22"/>
        </w:rPr>
        <w:t xml:space="preserve">The page ranks customers by the </w:t>
      </w:r>
      <w:r>
        <w:rPr>
          <w:rFonts w:ascii="Arial" w:hAnsi="Arial" w:eastAsia="Arial" w:cs="Arial"/>
          <w:b/>
          <w:color w:val="000000"/>
          <w:sz w:val="22"/>
        </w:rPr>
        <w:t>XGBoost repurchase score</w:t>
      </w:r>
      <w:r>
        <w:rPr>
          <w:rFonts w:ascii="Arial" w:hAnsi="Arial" w:eastAsia="Arial" w:cs="Arial"/>
          <w:b w:val="0"/>
          <w:color w:val="000000"/>
          <w:sz w:val="22"/>
        </w:rPr>
        <w:t>, highlighting customers with stronger repurchase tendencies. Users can filter the list and export the selected customers.</w:t>
      </w:r>
    </w:p>
    <w:p>
      <w:pPr>
        <w:keepNext/>
        <w:spacing w:before="0" w:after="0" w:line="240" w:lineRule="auto"/>
        <w:jc w:val="center"/>
      </w:pPr>
      <w:r>
        <w:rPr>
          <w:sz w:val="2"/>
        </w:rPr>
        <w:drawing>
          <wp:inline xmlns:a="http://schemas.openxmlformats.org/drawingml/2006/main" xmlns:pic="http://schemas.openxmlformats.org/drawingml/2006/picture">
            <wp:extent cx="6083999" cy="3226518"/>
            <wp:docPr id="8" name="Picture 8" descr="Figure 2-4 Repurchase priorities ranked by XGBoost score"/>
            <wp:cNvGraphicFramePr>
              <a:graphicFrameLocks noChangeAspect="1"/>
            </wp:cNvGraphicFramePr>
            <a:graphic>
              <a:graphicData uri="http://schemas.openxmlformats.org/drawingml/2006/picture">
                <pic:pic>
                  <pic:nvPicPr>
                    <pic:cNvPr id="0" name="repurchase.png"/>
                    <pic:cNvPicPr/>
                  </pic:nvPicPr>
                  <pic:blipFill>
                    <a:blip r:embed="rId11"/>
                    <a:stretch>
                      <a:fillRect/>
                    </a:stretch>
                  </pic:blipFill>
                  <pic:spPr>
                    <a:xfrm>
                      <a:off x="0" y="0"/>
                      <a:ext cx="6083999" cy="3226518"/>
                    </a:xfrm>
                    <a:prstGeom prst="rect"/>
                  </pic:spPr>
                </pic:pic>
              </a:graphicData>
            </a:graphic>
          </wp:inline>
        </w:drawing>
      </w:r>
    </w:p>
    <w:p>
      <w:pPr>
        <w:pStyle w:val="Caption"/>
        <w:spacing w:line="264" w:lineRule="auto" w:before="80" w:after="180"/>
        <w:jc w:val="center"/>
      </w:pPr>
      <w:r>
        <w:rPr>
          <w:rFonts w:ascii="Arial" w:hAnsi="Arial" w:eastAsia="Arial" w:cs="Arial"/>
          <w:b w:val="0"/>
          <w:color w:val="555555"/>
          <w:sz w:val="18"/>
        </w:rPr>
        <w:t>Figure 2-4 Repurchase priorities ranked by XGBoost score</w:t>
      </w:r>
    </w:p>
    <w:p>
      <w:pPr>
        <w:pStyle w:val="Heading2"/>
        <w:keepNext/>
        <w:spacing w:line="278" w:lineRule="auto" w:after="140"/>
      </w:pPr>
      <w:r>
        <w:rPr>
          <w:rFonts w:ascii="Arial" w:hAnsi="Arial" w:eastAsia="Arial" w:cs="Arial"/>
          <w:b/>
          <w:color w:val="000000"/>
          <w:sz w:val="25"/>
        </w:rPr>
        <w:t>2.4.4 High-Value Customers</w:t>
      </w:r>
    </w:p>
    <w:p>
      <w:pPr>
        <w:spacing w:line="278" w:lineRule="auto" w:after="140"/>
      </w:pPr>
      <w:r>
        <w:rPr>
          <w:rFonts w:ascii="Arial" w:hAnsi="Arial" w:eastAsia="Arial" w:cs="Arial"/>
          <w:b w:val="0"/>
          <w:color w:val="000000"/>
          <w:sz w:val="22"/>
        </w:rPr>
        <w:t xml:space="preserve">The page lists the </w:t>
      </w:r>
      <w:r>
        <w:rPr>
          <w:rFonts w:ascii="Arial" w:hAnsi="Arial" w:eastAsia="Arial" w:cs="Arial"/>
          <w:b/>
          <w:color w:val="000000"/>
          <w:sz w:val="22"/>
        </w:rPr>
        <w:t>top 20%</w:t>
      </w:r>
      <w:r>
        <w:rPr>
          <w:rFonts w:ascii="Arial" w:hAnsi="Arial" w:eastAsia="Arial" w:cs="Arial"/>
          <w:b w:val="0"/>
          <w:color w:val="000000"/>
          <w:sz w:val="22"/>
        </w:rPr>
        <w:t xml:space="preserve"> of customers by the two-stage LightGBM spending-potential ranking. Users can compare purchase recency and past spending, then export the priority list.</w:t>
      </w:r>
    </w:p>
    <w:p>
      <w:pPr>
        <w:keepNext/>
        <w:spacing w:before="0" w:after="0" w:line="240" w:lineRule="auto"/>
        <w:jc w:val="center"/>
      </w:pPr>
      <w:r>
        <w:rPr>
          <w:sz w:val="2"/>
        </w:rPr>
        <w:drawing>
          <wp:inline xmlns:a="http://schemas.openxmlformats.org/drawingml/2006/main" xmlns:pic="http://schemas.openxmlformats.org/drawingml/2006/picture">
            <wp:extent cx="6083999" cy="3280336"/>
            <wp:docPr id="9" name="Picture 9" descr="Figure 2-5 Top-20% spending-potential customer list"/>
            <wp:cNvGraphicFramePr>
              <a:graphicFrameLocks noChangeAspect="1"/>
            </wp:cNvGraphicFramePr>
            <a:graphic>
              <a:graphicData uri="http://schemas.openxmlformats.org/drawingml/2006/picture">
                <pic:pic>
                  <pic:nvPicPr>
                    <pic:cNvPr id="0" name="high_value.png"/>
                    <pic:cNvPicPr/>
                  </pic:nvPicPr>
                  <pic:blipFill>
                    <a:blip r:embed="rId12"/>
                    <a:stretch>
                      <a:fillRect/>
                    </a:stretch>
                  </pic:blipFill>
                  <pic:spPr>
                    <a:xfrm>
                      <a:off x="0" y="0"/>
                      <a:ext cx="6083999" cy="3280336"/>
                    </a:xfrm>
                    <a:prstGeom prst="rect"/>
                  </pic:spPr>
                </pic:pic>
              </a:graphicData>
            </a:graphic>
          </wp:inline>
        </w:drawing>
      </w:r>
    </w:p>
    <w:p>
      <w:pPr>
        <w:pStyle w:val="Caption"/>
        <w:spacing w:line="264" w:lineRule="auto" w:before="80" w:after="180"/>
        <w:jc w:val="center"/>
      </w:pPr>
      <w:r>
        <w:rPr>
          <w:rFonts w:ascii="Arial" w:hAnsi="Arial" w:eastAsia="Arial" w:cs="Arial"/>
          <w:b w:val="0"/>
          <w:color w:val="555555"/>
          <w:sz w:val="18"/>
        </w:rPr>
        <w:t>Figure 2-5 Top-20% spending-potential customer list</w:t>
      </w:r>
    </w:p>
    <w:p>
      <w:pPr>
        <w:pStyle w:val="Heading2"/>
        <w:keepNext/>
        <w:pageBreakBefore/>
        <w:spacing w:line="278" w:lineRule="auto" w:after="140"/>
      </w:pPr>
      <w:r>
        <w:rPr>
          <w:rFonts w:ascii="Arial" w:hAnsi="Arial" w:eastAsia="Arial" w:cs="Arial"/>
          <w:b/>
          <w:color w:val="000000"/>
          <w:sz w:val="25"/>
        </w:rPr>
        <w:t>2.4.5 Product Recommendations</w:t>
      </w:r>
    </w:p>
    <w:p>
      <w:pPr>
        <w:spacing w:line="278" w:lineRule="auto" w:after="140"/>
      </w:pPr>
      <w:r>
        <w:rPr>
          <w:rFonts w:ascii="Arial" w:hAnsi="Arial" w:eastAsia="Arial" w:cs="Arial"/>
          <w:b w:val="0"/>
          <w:color w:val="000000"/>
          <w:sz w:val="22"/>
        </w:rPr>
        <w:t xml:space="preserve">Select a customer to view their purchase-habit profile and </w:t>
      </w:r>
      <w:r>
        <w:rPr>
          <w:rFonts w:ascii="Arial" w:hAnsi="Arial" w:eastAsia="Arial" w:cs="Arial"/>
          <w:b/>
          <w:color w:val="000000"/>
          <w:sz w:val="22"/>
        </w:rPr>
        <w:t>Top 10 products</w:t>
      </w:r>
      <w:r>
        <w:rPr>
          <w:rFonts w:ascii="Arial" w:hAnsi="Arial" w:eastAsia="Arial" w:cs="Arial"/>
          <w:b w:val="0"/>
          <w:color w:val="000000"/>
          <w:sz w:val="22"/>
        </w:rPr>
        <w:t xml:space="preserve"> from the group-D LightGBM model. In this example, customer </w:t>
      </w:r>
      <w:r>
        <w:rPr>
          <w:rFonts w:ascii="Arial" w:hAnsi="Arial" w:eastAsia="Arial" w:cs="Arial"/>
          <w:b/>
          <w:color w:val="000000"/>
          <w:sz w:val="22"/>
        </w:rPr>
        <w:t>12347</w:t>
      </w:r>
      <w:r>
        <w:rPr>
          <w:rFonts w:ascii="Arial" w:hAnsi="Arial" w:eastAsia="Arial" w:cs="Arial"/>
          <w:b w:val="0"/>
          <w:color w:val="000000"/>
          <w:sz w:val="22"/>
        </w:rPr>
        <w:t xml:space="preserve"> made 3 purchases in 180 days, bought 61 distinct products and had a repeat-product share of 34.9%; the recommendation table shows products alongside purchase counts and recency.</w:t>
      </w:r>
    </w:p>
    <w:p>
      <w:pPr>
        <w:keepNext/>
        <w:spacing w:before="0" w:after="0" w:line="240" w:lineRule="auto"/>
        <w:jc w:val="center"/>
      </w:pPr>
      <w:r>
        <w:rPr>
          <w:sz w:val="2"/>
        </w:rPr>
        <w:drawing>
          <wp:inline xmlns:a="http://schemas.openxmlformats.org/drawingml/2006/main" xmlns:pic="http://schemas.openxmlformats.org/drawingml/2006/picture">
            <wp:extent cx="6083999" cy="1665796"/>
            <wp:docPr id="10" name="Picture 10" descr="Figure 2-6 Purchase-habit profile and Top 10 products for customer 12347"/>
            <wp:cNvGraphicFramePr>
              <a:graphicFrameLocks noChangeAspect="1"/>
            </wp:cNvGraphicFramePr>
            <a:graphic>
              <a:graphicData uri="http://schemas.openxmlformats.org/drawingml/2006/picture">
                <pic:pic>
                  <pic:nvPicPr>
                    <pic:cNvPr id="0" name="image.png"/>
                    <pic:cNvPicPr/>
                  </pic:nvPicPr>
                  <pic:blipFill>
                    <a:blip r:embed="rId15"/>
                    <a:srcRect t="0" b="70428"/>
                    <a:stretch>
                      <a:fillRect/>
                    </a:stretch>
                  </pic:blipFill>
                  <pic:spPr>
                    <a:xfrm>
                      <a:off x="0" y="0"/>
                      <a:ext cx="6083999" cy="1665796"/>
                    </a:xfrm>
                    <a:prstGeom prst="rect"/>
                  </pic:spPr>
                </pic:pic>
              </a:graphicData>
            </a:graphic>
          </wp:inline>
        </w:drawing>
      </w:r>
    </w:p>
    <w:p>
      <w:pPr>
        <w:keepNext/>
        <w:spacing w:before="0" w:after="0" w:line="240" w:lineRule="auto"/>
        <w:jc w:val="center"/>
      </w:pPr>
      <w:r>
        <w:rPr>
          <w:sz w:val="2"/>
        </w:rPr>
        <w:drawing>
          <wp:inline xmlns:a="http://schemas.openxmlformats.org/drawingml/2006/main" xmlns:pic="http://schemas.openxmlformats.org/drawingml/2006/picture">
            <wp:extent cx="6083999" cy="3762136"/>
            <wp:docPr id="11" name="Picture 11" descr="Figure 2-6 Purchase-habit profile and Top 10 products for customer 12347"/>
            <wp:cNvGraphicFramePr>
              <a:graphicFrameLocks noChangeAspect="1"/>
            </wp:cNvGraphicFramePr>
            <a:graphic>
              <a:graphicData uri="http://schemas.openxmlformats.org/drawingml/2006/picture">
                <pic:pic>
                  <pic:nvPicPr>
                    <pic:cNvPr id="0" name="image.png"/>
                    <pic:cNvPicPr/>
                  </pic:nvPicPr>
                  <pic:blipFill>
                    <a:blip r:embed="rId15"/>
                    <a:srcRect t="33212" b="0"/>
                    <a:stretch>
                      <a:fillRect/>
                    </a:stretch>
                  </pic:blipFill>
                  <pic:spPr>
                    <a:xfrm>
                      <a:off x="0" y="0"/>
                      <a:ext cx="6083999" cy="3762136"/>
                    </a:xfrm>
                    <a:prstGeom prst="rect"/>
                  </pic:spPr>
                </pic:pic>
              </a:graphicData>
            </a:graphic>
          </wp:inline>
        </w:drawing>
      </w:r>
    </w:p>
    <w:p>
      <w:pPr>
        <w:pStyle w:val="Caption"/>
        <w:spacing w:line="264" w:lineRule="auto" w:before="80" w:after="180"/>
        <w:jc w:val="center"/>
      </w:pPr>
      <w:r>
        <w:rPr>
          <w:rFonts w:ascii="Arial" w:hAnsi="Arial" w:eastAsia="Arial" w:cs="Arial"/>
          <w:b w:val="0"/>
          <w:color w:val="555555"/>
          <w:sz w:val="18"/>
        </w:rPr>
        <w:t>Figure 2-6 Purchase-habit profile and Top 10 products for customer 12347</w:t>
      </w:r>
    </w:p>
    <w:sectPr w:rsidR="00FC693F" w:rsidRPr="0006063C" w:rsidSect="00034616">
      <w:footerReference w:type="default" r:id="rId9"/>
      <w:pgSz w:w="11906" w:h="16838"/>
      <w:pgMar w:top="1077" w:right="1162" w:bottom="1077" w:left="1162" w:header="72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s="Arial"/>
        <w:b w:val="0"/>
        <w:color w:val="666666"/>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7" w:lineRule="auto" w:after="120"/>
    </w:pPr>
    <w:rPr>
      <w:rFonts w:ascii="Arial" w:hAnsi="Arial" w:eastAsia="Arial" w:cs="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Arial" w:hAnsi="Arial" w:eastAsia="Arial" w:cs="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60" w:after="140"/>
      <w:outlineLvl w:val="1"/>
    </w:pPr>
    <w:rPr>
      <w:rFonts w:ascii="Arial" w:hAnsi="Arial" w:eastAsia="Arial" w:cs="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60" w:after="140"/>
      <w:outlineLvl w:val="2"/>
    </w:pPr>
    <w:rPr>
      <w:rFonts w:ascii="Arial" w:hAnsi="Arial" w:eastAsia="Arial" w:cs="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contextualSpacing/>
    </w:pPr>
    <w:rPr>
      <w:rFonts w:ascii="Arial" w:hAnsi="Arial" w:eastAsia="Arial" w:cs="Arial"/>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4" w:lineRule="auto" w:before="80" w:after="180"/>
    </w:pPr>
    <w:rPr>
      <w:rFonts w:ascii="Arial" w:hAnsi="Arial" w:eastAsia="Arial" w:cs="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 System Design and Models</dc:title>
  <dc:subject>E-commerce Customer Analytics Final Report</dc:subject>
  <dc:creator/>
  <cp:keywords>customer segmentation, repurchase prediction, spending potential, product recommendations</cp:keywords>
  <dc:description/>
  <cp:lastModifiedBy/>
  <cp:revision>1</cp:revision>
  <dcterms:created xsi:type="dcterms:W3CDTF">2013-12-23T23:15:00Z</dcterms:created>
  <dcterms:modified xsi:type="dcterms:W3CDTF">2013-12-23T23:15:00Z</dcterms:modified>
  <cp:category/>
</cp:coreProperties>
</file>