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360" w:lineRule="auto"/>
        <w:jc w:val="center"/>
      </w:pPr>
      <w:r>
        <w:rPr>
          <w:rFonts w:ascii="Times New Roman" w:hAnsi="Times New Roman" w:eastAsia="黑体"/>
          <w:b/>
          <w:sz w:val="32"/>
        </w:rPr>
        <w:t>教师试卷检查结果报告</w:t>
      </w:r>
    </w:p>
    <w:p>
      <w:pPr>
        <w:spacing w:before="0" w:after="240"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（2025—2026学年试卷专项检查）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43"/>
        <w:gridCol w:w="6378"/>
      </w:tblGrid>
      <w:tr>
        <w:tc>
          <w:tcPr>
            <w:tcW w:type="dxa" w:w="2143"/>
            <w:vAlign w:val="center"/>
          </w:tcPr>
          <w:p>
            <w:pPr>
              <w:spacing w:before="60" w:after="60" w:line="288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任课教师</w:t>
            </w:r>
          </w:p>
        </w:tc>
        <w:tc>
          <w:tcPr>
            <w:tcW w:type="dxa" w:w="6378"/>
            <w:vAlign w:val="center"/>
          </w:tcPr>
          <w:p>
            <w:pPr>
              <w:spacing w:before="60" w:after="60" w:line="288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【教师姓名】</w:t>
            </w:r>
          </w:p>
        </w:tc>
      </w:tr>
      <w:tr>
        <w:tc>
          <w:tcPr>
            <w:tcW w:type="dxa" w:w="2143"/>
            <w:vAlign w:val="center"/>
          </w:tcPr>
          <w:p>
            <w:pPr>
              <w:spacing w:before="60" w:after="60" w:line="288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所属教研室</w:t>
            </w:r>
          </w:p>
        </w:tc>
        <w:tc>
          <w:tcPr>
            <w:tcW w:type="dxa" w:w="6378"/>
            <w:vAlign w:val="center"/>
          </w:tcPr>
          <w:p>
            <w:pPr>
              <w:spacing w:before="60" w:after="60" w:line="288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【所属系部】</w:t>
            </w:r>
          </w:p>
        </w:tc>
      </w:tr>
      <w:tr>
        <w:tc>
          <w:tcPr>
            <w:tcW w:type="dxa" w:w="2143"/>
            <w:vAlign w:val="center"/>
          </w:tcPr>
          <w:p>
            <w:pPr>
              <w:spacing w:before="60" w:after="60" w:line="288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课程名称</w:t>
            </w:r>
          </w:p>
        </w:tc>
        <w:tc>
          <w:tcPr>
            <w:tcW w:type="dxa" w:w="6378"/>
            <w:vAlign w:val="center"/>
          </w:tcPr>
          <w:p>
            <w:pPr>
              <w:spacing w:before="60" w:after="60" w:line="288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【课程名称】</w:t>
            </w:r>
          </w:p>
        </w:tc>
      </w:tr>
      <w:tr>
        <w:tc>
          <w:tcPr>
            <w:tcW w:type="dxa" w:w="2143"/>
            <w:vAlign w:val="center"/>
          </w:tcPr>
          <w:p>
            <w:pPr>
              <w:spacing w:before="60" w:after="60" w:line="288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课程类型</w:t>
            </w:r>
          </w:p>
        </w:tc>
        <w:tc>
          <w:tcPr>
            <w:tcW w:type="dxa" w:w="6378"/>
            <w:vAlign w:val="center"/>
          </w:tcPr>
          <w:p>
            <w:pPr>
              <w:spacing w:before="60" w:after="60" w:line="288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■必修课　□选修课　□课程论文　□实验（实践）课</w:t>
            </w:r>
          </w:p>
        </w:tc>
      </w:tr>
      <w:tr>
        <w:tc>
          <w:tcPr>
            <w:tcW w:type="dxa" w:w="2143"/>
            <w:vAlign w:val="center"/>
          </w:tcPr>
          <w:p>
            <w:pPr>
              <w:spacing w:before="60" w:after="60" w:line="288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学年学期</w:t>
            </w:r>
          </w:p>
        </w:tc>
        <w:tc>
          <w:tcPr>
            <w:tcW w:type="dxa" w:w="6378"/>
            <w:vAlign w:val="center"/>
          </w:tcPr>
          <w:p>
            <w:pPr>
              <w:spacing w:before="60" w:after="60" w:line="288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2025-2026-2学期</w:t>
            </w:r>
          </w:p>
        </w:tc>
      </w:tr>
      <w:tr>
        <w:tc>
          <w:tcPr>
            <w:tcW w:type="dxa" w:w="2143"/>
            <w:vAlign w:val="center"/>
          </w:tcPr>
          <w:p>
            <w:pPr>
              <w:spacing w:before="60" w:after="60" w:line="288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考核方式</w:t>
            </w:r>
          </w:p>
        </w:tc>
        <w:tc>
          <w:tcPr>
            <w:tcW w:type="dxa" w:w="6378"/>
            <w:vAlign w:val="center"/>
          </w:tcPr>
          <w:p>
            <w:pPr>
              <w:spacing w:before="60" w:after="60" w:line="288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闭卷考试，120分钟；总评=平时成绩30%+期末成绩70%</w:t>
            </w:r>
          </w:p>
        </w:tc>
      </w:tr>
      <w:tr>
        <w:tc>
          <w:tcPr>
            <w:tcW w:type="dxa" w:w="2143"/>
            <w:vAlign w:val="center"/>
          </w:tcPr>
          <w:p>
            <w:pPr>
              <w:spacing w:before="60" w:after="60" w:line="288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班级及人数</w:t>
            </w:r>
          </w:p>
        </w:tc>
        <w:tc>
          <w:tcPr>
            <w:tcW w:type="dxa" w:w="6378"/>
            <w:vAlign w:val="center"/>
          </w:tcPr>
          <w:p>
            <w:pPr>
              <w:spacing w:before="60" w:after="60" w:line="288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【班级名称】，共99人（实考96人，缺考3人）</w:t>
            </w:r>
          </w:p>
        </w:tc>
      </w:tr>
      <w:tr>
        <w:tc>
          <w:tcPr>
            <w:tcW w:type="dxa" w:w="2143"/>
            <w:vAlign w:val="center"/>
          </w:tcPr>
          <w:p>
            <w:pPr>
              <w:spacing w:before="60" w:after="60" w:line="288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试卷套数</w:t>
            </w:r>
          </w:p>
        </w:tc>
        <w:tc>
          <w:tcPr>
            <w:tcW w:type="dxa" w:w="6378"/>
            <w:vAlign w:val="center"/>
          </w:tcPr>
          <w:p>
            <w:pPr>
              <w:spacing w:before="60" w:after="60" w:line="288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A/B卷各1套</w:t>
            </w:r>
          </w:p>
        </w:tc>
      </w:tr>
    </w:tbl>
    <w:p>
      <w:pPr>
        <w:spacing w:before="280" w:after="120" w:line="360" w:lineRule="auto"/>
      </w:pPr>
      <w:r>
        <w:rPr>
          <w:rFonts w:ascii="Times New Roman" w:hAnsi="Times New Roman" w:eastAsia="黑体"/>
          <w:b/>
          <w:sz w:val="28"/>
        </w:rPr>
        <w:t>一、课程与试卷基本情况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学期受检课程为2025-2026-2学期《【课程名称】》（课程代码【课程代码】），学科基础必修课，4学分、64学时，授课班级为【班级名称】，选课99人。课程采用闭卷考试，考试时间120分钟；总评由平时成绩30%和期末卷面成绩70%构成，与成绩单“成绩评定方式”一致。课程归档编号为【归档编号】，归档材料存放于【档案室】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次收到期末考试试题A、B卷各1套，标准答案及评分标准A、B卷各1份，学生成绩单1份（含两个班级），学生平时成绩登记表2份，班级成绩分析表2份，课程试卷及成绩分析表1份，试卷审核表A、B卷各1份，以及归档目录、封装封面模板和B卷参考答案等辅助材料。归档目录第7项期末考试专用答题册96份属纸质归档环节，未随电子材料提供，本报告不核对份数与学号顺序；第9项其他材料目录为0。B卷参考答案只有结果、没有分步给分点，不能替代正式评分标准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两套试题题型、题量和分值结构一致：单选题5小题，每小题4分，共20分；填空题5小题，每小题4分，共20分；计算题8小题，每小题5分，共40分；证明题2小题，每小题10分，共20分；卷面总分100分，考试时间120分钟。A卷计算题依次为过渡矩阵与坐标、特征分解、子空间交、广义特征向量、施密特正交化、奇异值分解、正交对角化、Doolittle分解；B卷依次为特征分解、施密特正交化、过渡矩阵、子空间交、正交对角化、Doolittle分解、奇异值分解、广义特征向量。A卷证明题为子空间维数公式和旋转变换复合，B卷为标准正交基判定和子空间维数公式。</w:t>
      </w:r>
    </w:p>
    <w:p>
      <w:pPr>
        <w:spacing w:before="280" w:after="120" w:line="360" w:lineRule="auto"/>
      </w:pPr>
      <w:r>
        <w:rPr>
          <w:rFonts w:ascii="Times New Roman" w:hAnsi="Times New Roman" w:eastAsia="黑体"/>
          <w:b/>
          <w:sz w:val="28"/>
        </w:rPr>
        <w:t>二、命题规范与“两性一度”自查情况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（一）命题规范自查。两套卷题型、题量、分值与考试时间测算和审核表一致；审核表“完全涵盖”“难易适中”两项经渲染核对均为勾选状态；A、B卷卷面课程名称、课程代码、学期、考试方式、页码齐全，未发现公式标记残留或重复标点。答案与试题的对应关系存在需要立即更正的问题：B卷答案的计算题、证明题按课程内容判断仍为《【先修课程名称】》内容，与B卷试题逐题不对应，且证明题标注“2小题共20分”，实际列出12分、10分、8分三题，合计30分；B卷计算题第1题所给矩阵不可对角化，第(3)问无解；A卷答案计算题第5题正交化结果错误；A卷答案仅前两道计算题标注步骤分值，其余50分没有给分点；A卷填空题第3题答案把线性变换的矩阵写成了转置，与同页“写成转置矩阵扣2分”的备注互相矛盾。上述五项的具体位置和复核过程见第四部分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（二）高阶性自查。按题干实际考查目标逐题判断，两套卷高阶题均为35分。A卷为计算题第3题（5分，求两个子空间的交的基与维数，需设参数、解方程组并判断两空间关系）、第4题（5分，判断矩阵不可对角化并求广义特征向量）、第6题（5分，先求AᵀA的特征值再写奇异值分解），以及证明题第1题（10分，子空间维数公式）、第2题（10分，三个旋转变换的复合与交换性）。B卷为计算题第4题（5分，子空间交）、第7题（5分，奇异值分解）、第8题（5分，代数重数、几何重数与广义特征向量），以及证明题第1题（10分，标准正交基判定）、第2题（10分，子空间维数公式）。这些题目要求学生跨知识点组织推理，而不是套用单一公式，高阶性总体判断为“基本符合”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（三）创新性自查。两套卷以常规计算与证明为主，未设置情境化、开放性、探究性试题，也未引入学科前沿内容，创新性维度“有待改进”。后续可在保持证明题比重的前提下增加设问层次，例如在子空间交一题后追问“两个子空间相等时交集维数如何变化”，在Doolittle分解题后要求说明分解存在的条件，在正交对角化题后比较不同特征值排序对正交矩阵的影响，以提升开放性和思维深度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（四）挑战度自查。实考96人的期末卷面平均分58.17分，标准差21.45，及格率75.00%，90分及以上仅4人；最终成绩平均65.20分，及格率77.08%。卷面整体偏难、区分度较大，平时成绩平均81.47分在一定程度上抬高了总评。两套卷题型结构一致，但未见考场记录标明A、B卷分别由哪些班级使用，未做分卷成绩比较。挑战度总体判断为“基本符合、略偏难”，后续可通过调整计算量、增加基础题比例来平衡。</w:t>
      </w:r>
    </w:p>
    <w:p>
      <w:pPr>
        <w:spacing w:before="280" w:after="120" w:line="360" w:lineRule="auto"/>
      </w:pPr>
      <w:r>
        <w:rPr>
          <w:rFonts w:ascii="Times New Roman" w:hAnsi="Times New Roman" w:eastAsia="黑体"/>
          <w:b/>
          <w:sz w:val="28"/>
        </w:rPr>
        <w:t>三、成绩统计分析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数据来源为教务系统导出的《2025-2026-2【课程名称】成绩单》。课程选课99人，实考96人，缺考3人（均在【班级名称2】，学号【学号】、【学号】、【学号】），无缓考、作弊记录。统计按实考口径，缺考不计入平均分、及格率、优秀率和标准差的分母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全体实考学生最终成绩平均65.20分，标准差18.24，及格率77.08%，优秀率5.21%，不及格率22.92%；分数段为不及格22人、60至69分29人、70至79分28人、80至89分12人、90分及以上5人。期末卷面平均58.17分，标准差21.45，及格率75.00%，优秀率4.17%，不及格率25.00%；分数段为24人、43人、16人、9人、4人。平时成绩平均81.47分，标准差12.23，及格率100%，优秀率31.25%，分数段为0人、25人、2人、39人、30人。总评按平时30%、期末70%逐人复算，与成绩单“成绩”列一致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分班看，【班级名称1】49人全部实考，期末卷面平均59.49分、及格率75.51%、标准差21.88，最终成绩平均65.88分、及格率75.51%；【班级名称2】47人实考，期末卷面平均56.79分、及格率74.47%、标准差20.91，最终成绩平均64.49分、及格率78.72%。两班期末均值相差2.70分，最终成绩均值相差1.39分，差异不大。【班级名称1】班级分析表所列人数、比例、平均分、及格率、标准差与成绩单一致；【班级名称2】分析表所列平均分56.79分、及格率74.5%与成绩单按47名实考学生计算的结果一致。课程级分析表所列24/43/16/9/4、平均分58.17与实考96人口径一致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按实考口径，期末不及格率25.00%、优秀率4.17%，均未达到30%的异常启动线；【班级名称2】若按选课50人、缺考计0分计算，期末不及格率为30.00%，恰好达到“教研室撰写成绩异常分析报告”的启动线。报告并列两种口径的结果，不判定哪种口径正确，由学院认定。平时成绩与期末卷面差距明显：平时平均分高出期末23.30分，平时优秀率31.25%，期末优秀率仅4.17%，过程性考核给分偏高、区分度不足，一定程度上抬高了总评并掩盖了卷面不及格情况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058"/>
        <w:gridCol w:w="1058"/>
        <w:gridCol w:w="1058"/>
        <w:gridCol w:w="1058"/>
        <w:gridCol w:w="1058"/>
        <w:gridCol w:w="1058"/>
      </w:tblGrid>
      <w:tr>
        <w:tc>
          <w:tcPr>
            <w:tcW w:type="dxa" w:w="1928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统计口径</w:t>
            </w:r>
          </w:p>
        </w:tc>
        <w:tc>
          <w:tcPr>
            <w:tcW w:type="dxa" w:w="1058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有效人数</w:t>
            </w:r>
          </w:p>
        </w:tc>
        <w:tc>
          <w:tcPr>
            <w:tcW w:type="dxa" w:w="1058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平均分</w:t>
            </w:r>
          </w:p>
        </w:tc>
        <w:tc>
          <w:tcPr>
            <w:tcW w:type="dxa" w:w="1058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及格率</w:t>
            </w:r>
          </w:p>
        </w:tc>
        <w:tc>
          <w:tcPr>
            <w:tcW w:type="dxa" w:w="1058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优秀率</w:t>
            </w:r>
          </w:p>
        </w:tc>
        <w:tc>
          <w:tcPr>
            <w:tcW w:type="dxa" w:w="1058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不及格率</w:t>
            </w:r>
          </w:p>
        </w:tc>
        <w:tc>
          <w:tcPr>
            <w:tcW w:type="dxa" w:w="1058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标准差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期末卷面（全体）</w:t>
            </w:r>
          </w:p>
        </w:tc>
        <w:tc>
          <w:tcPr>
            <w:tcW w:type="dxa" w:w="105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96</w:t>
            </w:r>
          </w:p>
        </w:tc>
        <w:tc>
          <w:tcPr>
            <w:tcW w:type="dxa" w:w="105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58.17</w:t>
            </w:r>
          </w:p>
        </w:tc>
        <w:tc>
          <w:tcPr>
            <w:tcW w:type="dxa" w:w="105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75.00%</w:t>
            </w:r>
          </w:p>
        </w:tc>
        <w:tc>
          <w:tcPr>
            <w:tcW w:type="dxa" w:w="105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4.17%</w:t>
            </w:r>
          </w:p>
        </w:tc>
        <w:tc>
          <w:tcPr>
            <w:tcW w:type="dxa" w:w="105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25.00%</w:t>
            </w:r>
          </w:p>
        </w:tc>
        <w:tc>
          <w:tcPr>
            <w:tcW w:type="dxa" w:w="105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21.45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平时成绩（全体）</w:t>
            </w:r>
          </w:p>
        </w:tc>
        <w:tc>
          <w:tcPr>
            <w:tcW w:type="dxa" w:w="105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96</w:t>
            </w:r>
          </w:p>
        </w:tc>
        <w:tc>
          <w:tcPr>
            <w:tcW w:type="dxa" w:w="105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81.47</w:t>
            </w:r>
          </w:p>
        </w:tc>
        <w:tc>
          <w:tcPr>
            <w:tcW w:type="dxa" w:w="105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100.00%</w:t>
            </w:r>
          </w:p>
        </w:tc>
        <w:tc>
          <w:tcPr>
            <w:tcW w:type="dxa" w:w="105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31.25%</w:t>
            </w:r>
          </w:p>
        </w:tc>
        <w:tc>
          <w:tcPr>
            <w:tcW w:type="dxa" w:w="105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0.00%</w:t>
            </w:r>
          </w:p>
        </w:tc>
        <w:tc>
          <w:tcPr>
            <w:tcW w:type="dxa" w:w="105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12.23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最终成绩（全体）</w:t>
            </w:r>
          </w:p>
        </w:tc>
        <w:tc>
          <w:tcPr>
            <w:tcW w:type="dxa" w:w="105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96</w:t>
            </w:r>
          </w:p>
        </w:tc>
        <w:tc>
          <w:tcPr>
            <w:tcW w:type="dxa" w:w="105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65.20</w:t>
            </w:r>
          </w:p>
        </w:tc>
        <w:tc>
          <w:tcPr>
            <w:tcW w:type="dxa" w:w="105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77.08%</w:t>
            </w:r>
          </w:p>
        </w:tc>
        <w:tc>
          <w:tcPr>
            <w:tcW w:type="dxa" w:w="105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5.21%</w:t>
            </w:r>
          </w:p>
        </w:tc>
        <w:tc>
          <w:tcPr>
            <w:tcW w:type="dxa" w:w="105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22.92%</w:t>
            </w:r>
          </w:p>
        </w:tc>
        <w:tc>
          <w:tcPr>
            <w:tcW w:type="dxa" w:w="105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18.24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期末卷面（【班级名称1】）</w:t>
            </w:r>
          </w:p>
        </w:tc>
        <w:tc>
          <w:tcPr>
            <w:tcW w:type="dxa" w:w="105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49</w:t>
            </w:r>
          </w:p>
        </w:tc>
        <w:tc>
          <w:tcPr>
            <w:tcW w:type="dxa" w:w="105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59.49</w:t>
            </w:r>
          </w:p>
        </w:tc>
        <w:tc>
          <w:tcPr>
            <w:tcW w:type="dxa" w:w="105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75.51%</w:t>
            </w:r>
          </w:p>
        </w:tc>
        <w:tc>
          <w:tcPr>
            <w:tcW w:type="dxa" w:w="105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4.08%</w:t>
            </w:r>
          </w:p>
        </w:tc>
        <w:tc>
          <w:tcPr>
            <w:tcW w:type="dxa" w:w="105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24.49%</w:t>
            </w:r>
          </w:p>
        </w:tc>
        <w:tc>
          <w:tcPr>
            <w:tcW w:type="dxa" w:w="105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21.88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期末卷面（【班级名称2】）</w:t>
            </w:r>
          </w:p>
        </w:tc>
        <w:tc>
          <w:tcPr>
            <w:tcW w:type="dxa" w:w="105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47</w:t>
            </w:r>
          </w:p>
        </w:tc>
        <w:tc>
          <w:tcPr>
            <w:tcW w:type="dxa" w:w="105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56.79</w:t>
            </w:r>
          </w:p>
        </w:tc>
        <w:tc>
          <w:tcPr>
            <w:tcW w:type="dxa" w:w="105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74.47%</w:t>
            </w:r>
          </w:p>
        </w:tc>
        <w:tc>
          <w:tcPr>
            <w:tcW w:type="dxa" w:w="105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4.26%</w:t>
            </w:r>
          </w:p>
        </w:tc>
        <w:tc>
          <w:tcPr>
            <w:tcW w:type="dxa" w:w="105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25.53%</w:t>
            </w:r>
          </w:p>
        </w:tc>
        <w:tc>
          <w:tcPr>
            <w:tcW w:type="dxa" w:w="105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20.91</w:t>
            </w:r>
          </w:p>
        </w:tc>
      </w:tr>
    </w:tbl>
    <w:p>
      <w:pPr>
        <w:spacing w:before="0" w:after="0" w:line="360" w:lineRule="auto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before="280" w:after="120" w:line="360" w:lineRule="auto"/>
      </w:pPr>
      <w:r>
        <w:rPr>
          <w:rFonts w:ascii="Times New Roman" w:hAnsi="Times New Roman" w:eastAsia="黑体"/>
          <w:b/>
          <w:sz w:val="28"/>
        </w:rPr>
        <w:t>四、发现的问题与不足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1. B卷《标准答案及评分标准》的计算题、证明题与B卷试题不对应。该答案第2页起的计算题依次为四阶行列式、克拉默法则、齐次方程组基础解系、Gauss-Jordan求逆、二次型标准形、分块矩阵求逆、正定二次型、参数方程有解讨论，按课程内容判断均属《【先修课程名称】》；B卷实际考查特征分解、施密特正交化、过渡矩阵、子空间交、正交对角化、Doolittle分解、奇异值分解和广义特征向量，逐题无法对应。第1页单选、填空答案与B卷一致，说明只更新了前两页。第6页标题写“证明题2小题，共20分”，其下实际列了3题，分别标注12分、10分、8分，合计30分。B卷计算题40分、证明题20分，共60分没有对应答案和给分点，按现有答案无法阅卷或复核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2. B卷计算题第1题要求特征分解，但所给矩阵A的三行分别为（1,1,1）、（0,1,1）、（0,0,2），不可对角化。其特征值为1（二重）和2；λ=1时A−I的秩为2，几何重数为1，小于代数重数2，因此不存在可逆矩阵P和对角矩阵Λ使A=PΛP⁻¹。第(3)问按题意无解，学生无法完成，该问分值也无法正常评定。建议更换为可对角化的矩阵，或将第(3)问改为求Jordan标准形，并同步修改答案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3. A卷计算题第5题标准答案的正交化结果错误。该题α1=(1,1,0)、α2=(0,1,1)、α3=(0,0,1)，β1=α1，β2=(−1,1,2)。因为(α3,β1)=0、(α3,β2)=2、(β2,β2)=6，所以β3=α3−(2/6)β2=(1/3,−1/3,1/3)，应取(1,−1,1)。答案写成β3=(−1,1,1)，并取e3=(−1,1,1)/√3；此时e2=(−1,1,2)/√6与e3的内积为4/√18，不等于0，三个向量不构成标准正交基。答案推导中还多出“−1/2(1,1,0)”一项，而(α3,β1)=0，该项不应存在。按此答案评分会放过错误结论，也会误判学生的正确答案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4. A卷标准答案只有前两道计算题标注步骤分值，其余50分没有给分点。第2页计算题第1题标注“第1问4分，第2问1分”，第3页计算题第2题标注“第1问和第2问各2分，第3问1分”；计算题第3至8题共6题30分、证明题2题20分只有解答，没有步骤分值。两道10分证明题尤其缺少关键步骤的给分点，阅卷无统一尺度，复核时难以判断扣分是否合理。B卷答案重编后也需要同步补齐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5. A卷填空题第3题的参考答案把线性变换的矩阵写成了转置。题目为T(x₁,x₂,x₃)=(2x₁−x₂, x₂+x₃, x₁)，按列向量约定，矩阵各列应分别为T(e₁)、T(e₂)、T(e₃)，即三行为（2,−1,0）、（0,1,1）、（1,0,0）；答案写的是（2,0,1）、（−1,1,0）、（0,1,0），恰为正确矩阵的转置。另取x=(1,2,3)复算，T(x)=(0,5,1)，而答案矩阵乘该向量得(5,1,2)，两者不相等。该题答案下又注明“写成转置矩阵扣2分”，与所给矩阵自相矛盾；本卷计算题第1题注明“列向量是基向量”，计算题第2、4题的过渡矩阵也按列拼接，约定一致，不能按行向量约定解释为多解。按现有答案评分，学生按正确写法作答反而会被扣2分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6. 两班《班级成绩分析表》的证明题得分率算错，且两班数值完全相同。【班级名称1】、【班级名称2】“试卷情况”栏均写“证明题平均11.43分，满分20分，占比55.2%”；11.43÷20=57.15%，应为57.2%，不是55.2%。两班证明题平均分都写11.43，需核对【班级名称2】是否套用了【班级名称1】数据。该比例用于说明证明题得分偏低，算错会影响课程目标达成分析的可信度。</w:t>
      </w:r>
    </w:p>
    <w:p>
      <w:pPr>
        <w:spacing w:before="280" w:after="120" w:line="360" w:lineRule="auto"/>
      </w:pPr>
      <w:r>
        <w:rPr>
          <w:rFonts w:ascii="Times New Roman" w:hAnsi="Times New Roman" w:eastAsia="黑体"/>
          <w:b/>
          <w:sz w:val="28"/>
        </w:rPr>
        <w:t>五、整改措施与工作建议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1. 重编B卷《标准答案及评分标准》。保留第1页与B卷一致的单选、填空答案，按B卷第2至4页的8道计算题和2道证明题逐题编写解答；证明题按2小题、每小题10分、共20分编排；每题给出步骤分值。完成后由教研室主任复核，替换归档材料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2. 处理B卷计算题第1题。建议将矩阵换成可对角化的矩阵，或把第(3)问改为求Jordan标准形并说明不可对角化的原因；同步修改试题、答案和审核表。若该卷已使用，按第(1)(2)问实际作答情况给分，并在阅卷说明中注明第(3)问不作答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3. 更正A卷计算题第5题答案。将β3改为(1,−1,1)，e3改为(1,−1,1)/√3，删除推导中多余的“−1/2(1,1,0)”项，重新核验e1、e2、e3两两正交且模长为1后重出PDF。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4. 补齐A卷答案的步骤分值。计算题第3至8题各5分，按关键步骤分解；两道证明题各10分，按“设元、列式、推导、结论”给出给分点。B卷答案重编时一并执行。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5. 更正A卷填空题第3题答案。按列向量约定把矩阵改为三行（2,−1,0）、（0,1,1）、（1,0,0），保留“写成转置矩阵扣2分”的评分说明，并逐题核对全卷矩阵题的向量约定是否统一后重出PDF。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6. 更正两班班级成绩分析表的证明题数据。按11.43÷20=57.2%修改比例；分别核对【班级名称1】、【班级名称2】的证明题平均分，若【班级名称2】并非11.43，按【班级名称2】原始得分重算，避免两班套用同一组数据。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7. 教学层面，建议加强证明题的过程训练，特别是子空间维数公式、标准正交基判定和旋转变换复合；平时成绩与期末卷面差距较大，过程性考核可增加区分度，避免平时成绩普遍偏高掩盖卷面问题。以上整改建议宜在归档材料报送前完成，由教研室主任复核后随材料一并提交。</w:t>
      </w:r>
    </w:p>
    <w:p>
      <w:pPr>
        <w:spacing w:before="240" w:after="0" w:line="360" w:lineRule="auto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before="240" w:after="0" w:line="360" w:lineRule="auto"/>
        <w:jc w:val="right"/>
      </w:pPr>
      <w:r>
        <w:rPr>
          <w:rFonts w:ascii="Times New Roman" w:hAnsi="Times New Roman" w:eastAsia="宋体"/>
          <w:b w:val="0"/>
          <w:sz w:val="24"/>
        </w:rPr>
        <w:t>教师签名：＿＿＿＿＿＿＿＿</w:t>
      </w:r>
    </w:p>
    <w:p>
      <w:pPr>
        <w:spacing w:before="0" w:after="0" w:line="360" w:lineRule="auto"/>
        <w:jc w:val="right"/>
      </w:pPr>
      <w:r>
        <w:rPr>
          <w:rFonts w:ascii="Times New Roman" w:hAnsi="Times New Roman" w:eastAsia="宋体"/>
          <w:b w:val="0"/>
          <w:sz w:val="24"/>
        </w:rPr>
        <w:t>日期：2026年　　月　　日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