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/>
        <w:jc w:val="center"/>
        <w:rPr>
          <w:rFonts w:ascii="仿宋_GB2312;仿宋" w:hAnsi="仿宋_GB2312;仿宋" w:eastAsia="仿宋_GB2312;仿宋" w:hint="eastAsia"/>
          <w:b/>
          <w:sz w:val="30"/>
        </w:rPr>
      </w:pPr>
      <w:r>
        <w:rPr>
          <w:rFonts w:ascii="仿宋_GB2312;仿宋" w:hAnsi="仿宋_GB2312;仿宋" w:hint="eastAsia" w:eastAsia="仿宋_GB2312;仿宋"/>
          <w:b/>
          <w:bCs/>
          <w:sz w:val="30"/>
        </w:rPr>
        <w:t>广东金融学院试卷及成绩分析表</w:t>
      </w:r>
      <w:r>
        <w:rPr>
          <w:rFonts w:ascii="仿宋_GB2312;仿宋" w:hAnsi="仿宋_GB2312;仿宋" w:hint="eastAsia" w:eastAsia="仿宋_GB2312;仿宋"/>
          <w:b/>
          <w:sz w:val="30"/>
        </w:rPr>
        <w:t>（</w:t>
      </w:r>
      <w:r>
        <w:rPr>
          <w:rFonts w:ascii="仿宋_GB2312;仿宋" w:hAnsi="仿宋_GB2312;仿宋" w:cs="宋体" w:hint="eastAsia" w:eastAsia="仿宋_GB2312;仿宋"/>
          <w:b/>
          <w:sz w:val="30"/>
        </w:rPr>
        <w:t>试</w:t>
      </w:r>
      <w:r>
        <w:rPr>
          <w:rFonts w:ascii="仿宋_GB2312;仿宋" w:hAnsi="仿宋_GB2312;仿宋" w:cs="Dotum;Malgun Gothic" w:hint="eastAsia" w:eastAsia="仿宋_GB2312;仿宋"/>
          <w:b/>
          <w:sz w:val="30"/>
        </w:rPr>
        <w:t>卷</w:t>
      </w:r>
      <w:r>
        <w:rPr>
          <w:rFonts w:ascii="仿宋_GB2312;仿宋" w:hAnsi="仿宋_GB2312;仿宋" w:cs="宋体" w:hint="eastAsia" w:eastAsia="仿宋_GB2312;仿宋"/>
          <w:b/>
          <w:sz w:val="30"/>
        </w:rPr>
        <w:t>类</w:t>
      </w:r>
      <w:r>
        <w:rPr>
          <w:rFonts w:ascii="仿宋_GB2312;仿宋" w:hAnsi="仿宋_GB2312;仿宋" w:cs="Dotum;Malgun Gothic" w:hint="eastAsia" w:eastAsia="仿宋_GB2312;仿宋"/>
          <w:b/>
          <w:sz w:val="30"/>
        </w:rPr>
        <w:t>）</w:t>
      </w:r>
    </w:p>
    <w:tbl>
      <w:tblPr>
        <w:tblW w:w="936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3"/>
        <w:gridCol w:w="1657"/>
        <w:gridCol w:w="810"/>
        <w:gridCol w:w="360"/>
        <w:gridCol w:w="825"/>
        <w:gridCol w:w="255"/>
        <w:gridCol w:w="807"/>
        <w:gridCol w:w="273"/>
        <w:gridCol w:w="555"/>
        <w:gridCol w:w="705"/>
        <w:gridCol w:w="360"/>
        <w:gridCol w:w="900"/>
        <w:gridCol w:w="34"/>
        <w:gridCol w:w="1226"/>
      </w:tblGrid>
      <w:tr>
        <w:trPr>
          <w:trHeight w:val="300" w:hRule="atLeast"/>
        </w:trPr>
        <w:tc>
          <w:tcPr>
            <w:tcW w:w="30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cs="宋体"/>
                <w:b/>
                <w:u w:val="single"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  <w:t>20</w:t>
            </w:r>
            <w:r>
              <w:rPr>
                <w:rFonts w:eastAsia="仿宋_GB2312;仿宋" w:ascii="仿宋_GB2312;仿宋" w:hAnsi="仿宋_GB2312;仿宋"/>
                <w:b/>
                <w:u w:val="single"/>
              </w:rPr>
              <w:t>25</w:t>
            </w:r>
            <w:r>
              <w:rPr>
                <w:rFonts w:eastAsia="仿宋_GB2312;仿宋" w:hint="eastAsia" w:ascii="仿宋_GB2312;仿宋" w:hAnsi="仿宋_GB2312;仿宋"/>
                <w:b/>
              </w:rPr>
              <w:t>-20</w:t>
            </w:r>
            <w:r>
              <w:rPr>
                <w:rFonts w:eastAsia="仿宋_GB2312;仿宋" w:ascii="仿宋_GB2312;仿宋" w:hAnsi="仿宋_GB2312;仿宋"/>
                <w:b/>
                <w:u w:val="single"/>
              </w:rPr>
              <w:t>26</w:t>
            </w:r>
            <w:r>
              <w:rPr>
                <w:rFonts w:ascii="仿宋_GB2312;仿宋" w:hAnsi="仿宋_GB2312;仿宋" w:hint="eastAsia" w:eastAsia="仿宋_GB2312;仿宋"/>
                <w:b/>
              </w:rPr>
              <w:t>学年第</w:t>
            </w:r>
            <w:r>
              <w:rPr>
                <w:rFonts w:ascii="仿宋_GB2312;仿宋" w:hAnsi="仿宋_GB2312;仿宋" w:hint="eastAsia" w:eastAsia="仿宋_GB2312;仿宋"/>
                <w:b/>
                <w:u w:val="single"/>
              </w:rPr>
              <w:t xml:space="preserve"> 二 </w:t>
            </w:r>
            <w:r>
              <w:rPr>
                <w:rFonts w:ascii="仿宋_GB2312;仿宋" w:hAnsi="仿宋_GB2312;仿宋" w:hint="eastAsia" w:eastAsia="仿宋_GB2312;仿宋"/>
                <w:b/>
              </w:rPr>
              <w:t>学期</w:t>
            </w:r>
          </w:p>
        </w:tc>
        <w:tc>
          <w:tcPr>
            <w:tcW w:w="414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课程名称：【课程名称】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课程代码：</w:t>
            </w:r>
            <w:r>
              <w:rPr>
                <w:rFonts w:eastAsia="仿宋_GB2312;仿宋" w:hint="eastAsia" w:ascii="仿宋_GB2312;仿宋" w:hAnsi="仿宋_GB2312;仿宋"/>
                <w:b/>
              </w:rPr>
              <w:t>【课程代码】</w:t>
            </w:r>
          </w:p>
        </w:tc>
      </w:tr>
      <w:tr>
        <w:trPr>
          <w:trHeight w:val="284" w:hRule="atLeast"/>
          <w:cantSplit/>
        </w:trPr>
        <w:tc>
          <w:tcPr>
            <w:tcW w:w="5307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课程负责人：【教师姓名】</w:t>
            </w:r>
          </w:p>
        </w:tc>
        <w:tc>
          <w:tcPr>
            <w:tcW w:w="405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/>
                <w:b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</w:rPr>
              <w:t>班级：</w:t>
            </w:r>
            <w:r>
              <w:rPr>
                <w:rFonts w:eastAsia="仿宋_GB2312;仿宋" w:cs="宋体" w:hint="eastAsia" w:ascii="仿宋_GB2312;仿宋" w:hAnsi="仿宋_GB2312;仿宋"/>
                <w:b/>
              </w:rPr>
              <w:t>【班级名称】</w:t>
            </w:r>
            <w:r>
              <w:rPr>
                <w:rFonts w:ascii="仿宋_GB2312;仿宋" w:hAnsi="仿宋_GB2312;仿宋" w:cs="宋体" w:hint="eastAsia" w:eastAsia="仿宋_GB2312;仿宋"/>
                <w:b/>
              </w:rPr>
            </w:r>
            <w:r>
              <w:rPr>
                <w:rFonts w:eastAsia="仿宋_GB2312;仿宋" w:cs="宋体" w:hint="eastAsia" w:ascii="仿宋_GB2312;仿宋" w:hAnsi="仿宋_GB2312;仿宋"/>
                <w:b/>
              </w:rPr>
            </w:r>
            <w:r>
              <w:rPr>
                <w:rFonts w:ascii="仿宋_GB2312;仿宋" w:hAnsi="仿宋_GB2312;仿宋" w:cs="宋体" w:hint="eastAsia" w:eastAsia="仿宋_GB2312;仿宋"/>
                <w:b/>
              </w:rPr>
              <w:t>班</w:t>
            </w:r>
          </w:p>
        </w:tc>
      </w:tr>
      <w:tr>
        <w:trPr>
          <w:trHeight w:val="312" w:hRule="atLeast"/>
          <w:cantSplit/>
        </w:trPr>
        <w:tc>
          <w:tcPr>
            <w:tcW w:w="424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60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试卷来源：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题库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>命题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其它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卷别：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eastAsia="仿宋_GB2312;仿宋" w:hint="eastAsia" w:ascii="仿宋_GB2312;仿宋" w:hAnsi="仿宋_GB2312;仿宋"/>
              </w:rPr>
              <w:t xml:space="preserve">A  </w:t>
            </w:r>
            <w:r>
              <w:rPr>
                <w:rFonts w:cs="宋体" w:hint="eastAsia" w:ascii="宋体" w:hAnsi="宋体"/>
                <w:b/>
              </w:rPr>
              <w:t>◇</w:t>
            </w:r>
            <w:r>
              <w:rPr>
                <w:rFonts w:eastAsia="仿宋_GB2312;仿宋" w:hint="eastAsia" w:ascii="仿宋_GB2312;仿宋" w:hAnsi="仿宋_GB2312;仿宋"/>
              </w:rPr>
              <w:t>B</w:t>
            </w:r>
          </w:p>
        </w:tc>
        <w:tc>
          <w:tcPr>
            <w:tcW w:w="32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考核方式：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开卷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>闭卷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其它</w:t>
            </w:r>
          </w:p>
        </w:tc>
      </w:tr>
      <w:tr>
        <w:trPr>
          <w:trHeight w:val="417" w:hRule="atLeast"/>
          <w:cantSplit/>
        </w:trPr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2750" w:startChars="0" w:start="0" w:endChars="0" w:end="0"/>
              <w:jc w:val="center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命命题分析</w:t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题型</w:t>
            </w:r>
          </w:p>
        </w:tc>
        <w:tc>
          <w:tcPr>
            <w:tcW w:w="19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</w:rPr>
            </w:pPr>
            <w:r>
              <w:rPr>
                <w:rFonts w:ascii="仿宋_GB2312;仿宋" w:hAnsi="仿宋_GB2312;仿宋" w:hint="eastAsia" w:eastAsia="仿宋_GB2312;仿宋"/>
              </w:rPr>
              <w:t>基本知识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</w:rPr>
              <w:t>理解分析</w:t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</w:rPr>
            </w:pPr>
            <w:r>
              <w:rPr>
                <w:rFonts w:ascii="仿宋_GB2312;仿宋" w:hAnsi="仿宋_GB2312;仿宋" w:hint="eastAsia" w:eastAsia="仿宋_GB2312;仿宋"/>
              </w:rPr>
              <w:t>综合运用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</w:rPr>
              <w:t>合计</w:t>
            </w:r>
          </w:p>
        </w:tc>
      </w:tr>
      <w:tr>
        <w:trPr>
          <w:trHeight w:val="411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分值</w:t>
            </w:r>
          </w:p>
        </w:tc>
        <w:tc>
          <w:tcPr>
            <w:tcW w:w="19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</w:rPr>
              <w:t>20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</w:rPr>
              <w:t>20</w:t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</w:rPr>
              <w:t>60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</w:rPr>
              <w:t>100</w:t>
            </w:r>
          </w:p>
        </w:tc>
      </w:tr>
      <w:tr>
        <w:trPr>
          <w:trHeight w:val="345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eastAsia="仿宋_GB2312;仿宋" w:hint="eastAsia" w:ascii="仿宋_GB2312;仿宋" w:hAnsi="仿宋_GB2312;仿宋"/>
              </w:rPr>
              <w:t>1</w:t>
            </w:r>
            <w:r>
              <w:rPr>
                <w:rFonts w:ascii="仿宋_GB2312;仿宋" w:hAnsi="仿宋_GB2312;仿宋" w:hint="eastAsia" w:eastAsia="仿宋_GB2312;仿宋"/>
              </w:rPr>
              <w:t>、试卷出错：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>无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有：原理性错误（图表、数据等）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   </w:t>
            </w:r>
            <w:r>
              <w:rPr>
                <w:rFonts w:ascii="仿宋_GB2312;仿宋" w:hAnsi="仿宋_GB2312;仿宋" w:hint="eastAsia" w:eastAsia="仿宋_GB2312;仿宋"/>
              </w:rPr>
              <w:t>处，一般性错误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 w:eastAsia="仿宋_GB2312;仿宋"/>
              </w:rPr>
              <w:t>处。</w:t>
            </w:r>
          </w:p>
        </w:tc>
      </w:tr>
      <w:tr>
        <w:trPr>
          <w:trHeight w:val="345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eastAsia="仿宋_GB2312;仿宋" w:hint="eastAsia" w:ascii="仿宋_GB2312;仿宋" w:hAnsi="仿宋_GB2312;仿宋"/>
              </w:rPr>
              <w:t>2</w:t>
            </w:r>
            <w:r>
              <w:rPr>
                <w:rFonts w:ascii="仿宋_GB2312;仿宋" w:hAnsi="仿宋_GB2312;仿宋" w:hint="eastAsia" w:eastAsia="仿宋_GB2312;仿宋"/>
              </w:rPr>
              <w:t>、考试内容涵盖教学大纲：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 xml:space="preserve">完全涵盖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基本涵盖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遗漏核心内容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遗漏主要内容。</w:t>
            </w:r>
          </w:p>
        </w:tc>
      </w:tr>
      <w:tr>
        <w:trPr>
          <w:trHeight w:val="345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eastAsia="仿宋_GB2312;仿宋" w:hint="eastAsia" w:ascii="仿宋_GB2312;仿宋" w:hAnsi="仿宋_GB2312;仿宋"/>
              </w:rPr>
              <w:t>3</w:t>
            </w:r>
            <w:r>
              <w:rPr>
                <w:rFonts w:ascii="仿宋_GB2312;仿宋" w:hAnsi="仿宋_GB2312;仿宋" w:hint="eastAsia" w:eastAsia="仿宋_GB2312;仿宋"/>
              </w:rPr>
              <w:t>、题目难易程度：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 xml:space="preserve">难易适中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难易基本适中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偏难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偏易。</w:t>
            </w:r>
          </w:p>
        </w:tc>
      </w:tr>
      <w:tr>
        <w:trPr>
          <w:trHeight w:val="345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eastAsia="仿宋_GB2312;仿宋" w:hint="eastAsia" w:ascii="仿宋_GB2312;仿宋" w:hAnsi="仿宋_GB2312;仿宋"/>
              </w:rPr>
              <w:t>4</w:t>
            </w:r>
            <w:r>
              <w:rPr>
                <w:rFonts w:ascii="仿宋_GB2312;仿宋" w:hAnsi="仿宋_GB2312;仿宋" w:hint="eastAsia" w:eastAsia="仿宋_GB2312;仿宋"/>
              </w:rPr>
              <w:t>、对试卷质量评价：</w:t>
            </w:r>
            <w:r>
              <w:rPr>
                <w:rFonts w:ascii="宋体" w:hAnsi="宋体" w:cs="宋体" w:hint="eastAsia"/>
                <w:b/>
              </w:rPr>
              <w:t>◆</w:t>
            </w:r>
            <w:r>
              <w:rPr>
                <w:rFonts w:ascii="仿宋_GB2312;仿宋" w:hAnsi="仿宋_GB2312;仿宋" w:hint="eastAsia" w:eastAsia="仿宋_GB2312;仿宋"/>
              </w:rPr>
              <w:t xml:space="preserve">很高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较高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 xml:space="preserve">一般 </w:t>
            </w:r>
            <w:r>
              <w:rPr>
                <w:rFonts w:ascii="宋体" w:hAnsi="宋体" w:cs="宋体" w:hint="eastAsia"/>
                <w:b/>
              </w:rPr>
              <w:t>◇</w:t>
            </w:r>
            <w:r>
              <w:rPr>
                <w:rFonts w:ascii="仿宋_GB2312;仿宋" w:hAnsi="仿宋_GB2312;仿宋" w:hint="eastAsia" w:eastAsia="仿宋_GB2312;仿宋"/>
              </w:rPr>
              <w:t>较差。</w:t>
            </w:r>
          </w:p>
        </w:tc>
      </w:tr>
      <w:tr>
        <w:trPr>
          <w:trHeight w:val="351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eastAsia="仿宋_GB2312;仿宋" w:hint="eastAsia" w:ascii="仿宋_GB2312;仿宋" w:hAnsi="仿宋_GB2312;仿宋"/>
              </w:rPr>
              <w:t>5</w:t>
            </w:r>
            <w:r>
              <w:rPr>
                <w:rFonts w:ascii="仿宋_GB2312;仿宋" w:hAnsi="仿宋_GB2312;仿宋" w:hint="eastAsia" w:eastAsia="仿宋_GB2312;仿宋"/>
              </w:rPr>
              <w:t>、其他方面</w:t>
            </w:r>
            <w:r>
              <w:rPr>
                <w:rFonts w:ascii="仿宋_GB2312;仿宋" w:hAnsi="仿宋_GB2312;仿宋" w:hint="eastAsia" w:eastAsia="仿宋_GB2312;仿宋"/>
                <w:color w:val="FF0000"/>
              </w:rPr>
              <w:t>（可加附页）</w:t>
            </w:r>
            <w:r>
              <w:rPr>
                <w:rFonts w:ascii="仿宋_GB2312;仿宋" w:hAnsi="仿宋_GB2312;仿宋" w:hint="eastAsia" w:eastAsia="仿宋_GB2312;仿宋"/>
              </w:rPr>
              <w:t>：无</w:t>
            </w:r>
          </w:p>
        </w:tc>
      </w:tr>
      <w:tr>
        <w:trPr>
          <w:trHeight w:val="345" w:hRule="atLeast"/>
          <w:cantSplit/>
        </w:trPr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学生考试结果分析</w:t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ascii="仿宋_GB2312;仿宋" w:hAnsi="仿宋_GB2312;仿宋" w:hint="eastAsia" w:eastAsia="仿宋_GB2312;仿宋"/>
                <w:sz w:val="18"/>
              </w:rPr>
              <w:t>成绩分数段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0</w:t>
            </w:r>
            <w:r>
              <w:rPr>
                <w:rFonts w:ascii="仿宋_GB2312;仿宋" w:hAnsi="仿宋_GB2312;仿宋" w:hint="eastAsia" w:eastAsia="仿宋_GB2312;仿宋"/>
                <w:sz w:val="18"/>
              </w:rPr>
              <w:t>～</w:t>
            </w:r>
            <w:r>
              <w:rPr>
                <w:rFonts w:eastAsia="仿宋_GB2312;仿宋" w:hint="eastAsia" w:ascii="仿宋_GB2312;仿宋" w:hAnsi="仿宋_GB2312;仿宋"/>
                <w:sz w:val="18"/>
              </w:rPr>
              <w:t>59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60</w:t>
            </w:r>
            <w:r>
              <w:rPr>
                <w:rFonts w:ascii="仿宋_GB2312;仿宋" w:hAnsi="仿宋_GB2312;仿宋" w:hint="eastAsia" w:eastAsia="仿宋_GB2312;仿宋"/>
                <w:sz w:val="18"/>
              </w:rPr>
              <w:t>～</w:t>
            </w:r>
            <w:r>
              <w:rPr>
                <w:rFonts w:eastAsia="仿宋_GB2312;仿宋" w:hint="eastAsia" w:ascii="仿宋_GB2312;仿宋" w:hAnsi="仿宋_GB2312;仿宋"/>
                <w:sz w:val="18"/>
              </w:rPr>
              <w:t>69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70</w:t>
            </w:r>
            <w:r>
              <w:rPr>
                <w:rFonts w:ascii="仿宋_GB2312;仿宋" w:hAnsi="仿宋_GB2312;仿宋" w:hint="eastAsia" w:eastAsia="仿宋_GB2312;仿宋"/>
                <w:sz w:val="18"/>
              </w:rPr>
              <w:t>～</w:t>
            </w:r>
            <w:r>
              <w:rPr>
                <w:rFonts w:eastAsia="仿宋_GB2312;仿宋" w:hint="eastAsia" w:ascii="仿宋_GB2312;仿宋" w:hAnsi="仿宋_GB2312;仿宋"/>
                <w:sz w:val="18"/>
              </w:rPr>
              <w:t>79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80</w:t>
            </w:r>
            <w:r>
              <w:rPr>
                <w:rFonts w:ascii="仿宋_GB2312;仿宋" w:hAnsi="仿宋_GB2312;仿宋" w:hint="eastAsia" w:eastAsia="仿宋_GB2312;仿宋"/>
                <w:sz w:val="18"/>
              </w:rPr>
              <w:t>～</w:t>
            </w:r>
            <w:r>
              <w:rPr>
                <w:rFonts w:eastAsia="仿宋_GB2312;仿宋" w:hint="eastAsia" w:ascii="仿宋_GB2312;仿宋" w:hAnsi="仿宋_GB2312;仿宋"/>
                <w:sz w:val="18"/>
              </w:rPr>
              <w:t>89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90</w:t>
            </w:r>
            <w:r>
              <w:rPr>
                <w:rFonts w:ascii="仿宋_GB2312;仿宋" w:hAnsi="仿宋_GB2312;仿宋" w:hint="eastAsia" w:eastAsia="仿宋_GB2312;仿宋"/>
                <w:sz w:val="18"/>
              </w:rPr>
              <w:t>～</w:t>
            </w:r>
            <w:r>
              <w:rPr>
                <w:rFonts w:eastAsia="仿宋_GB2312;仿宋" w:hint="eastAsia" w:ascii="仿宋_GB2312;仿宋" w:hAnsi="仿宋_GB2312;仿宋"/>
                <w:sz w:val="18"/>
              </w:rPr>
              <w:t>100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ascii="仿宋_GB2312;仿宋" w:hAnsi="仿宋_GB2312;仿宋" w:hint="eastAsia" w:eastAsia="仿宋_GB2312;仿宋"/>
                <w:sz w:val="18"/>
              </w:rPr>
              <w:t>平均分</w:t>
            </w:r>
          </w:p>
        </w:tc>
      </w:tr>
      <w:tr>
        <w:trPr>
          <w:trHeight w:val="270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  <w:sz w:val="18"/>
              </w:rPr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18"/>
              </w:rPr>
            </w:pPr>
            <w:r>
              <w:rPr>
                <w:rFonts w:ascii="仿宋_GB2312;仿宋" w:hAnsi="仿宋_GB2312;仿宋" w:hint="eastAsia" w:eastAsia="仿宋_GB2312;仿宋"/>
                <w:sz w:val="18"/>
              </w:rPr>
              <w:t>人数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24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43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16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9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/>
                <w:sz w:val="18"/>
              </w:rPr>
            </w:pPr>
            <w:r>
              <w:rPr>
                <w:rFonts w:eastAsia="仿宋_GB2312;仿宋" w:hint="eastAsia" w:ascii="仿宋_GB2312;仿宋" w:hAnsi="仿宋_GB2312;仿宋"/>
                <w:sz w:val="18"/>
              </w:rPr>
              <w:t>58.17</w:t>
            </w:r>
          </w:p>
        </w:tc>
      </w:tr>
      <w:tr>
        <w:trPr>
          <w:trHeight w:val="624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  <w:sz w:val="18"/>
              </w:rPr>
            </w:r>
          </w:p>
        </w:tc>
        <w:tc>
          <w:tcPr>
            <w:tcW w:w="8767" w:type="dxa"/>
            <w:gridSpan w:val="1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eastAsia="仿宋_GB2312;仿宋"/>
              </w:rPr>
              <w:t xml:space="preserve"> </w:t>
            </w:r>
            <w:r>
              <w:rPr>
                <w:rFonts w:ascii="仿宋_GB2312;仿宋" w:hAnsi="仿宋_GB2312;仿宋" w:eastAsia="仿宋_GB2312;仿宋"/>
              </w:rPr>
              <w:object w:dxaOrig="14323" w:dyaOrig="4654">
                <v:shapetype id="_x0000_tole_rId2" coordsize="21600,21600" o:spt="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716.3pt;height:232.85pt" filled="f" o:ole="">
                  <v:imagedata r:id="rId3" o:title=""/>
                </v:shape>
                <o:OLEObject Type="Embed" ProgID="" ShapeID="ole_rId2" DrawAspect="Content" ObjectID="_188657941" r:id="rId2"/>
              </w:objec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color w:val="FF0000"/>
                <w:sz w:val="18"/>
              </w:rPr>
            </w:pPr>
            <w:r>
              <w:rPr>
                <w:rFonts w:ascii="仿宋_GB2312;仿宋" w:hAnsi="仿宋_GB2312;仿宋" w:hint="eastAsia" w:eastAsia="仿宋_GB2312;仿宋"/>
                <w:color w:val="FF0000"/>
                <w:sz w:val="18"/>
              </w:rPr>
              <w:t>说明：对图表点右键选择</w:t>
            </w:r>
            <w:r>
              <w:rPr>
                <w:rFonts w:eastAsia="仿宋_GB2312;仿宋" w:hint="eastAsia" w:ascii="仿宋_GB2312;仿宋" w:hAnsi="仿宋_GB2312;仿宋"/>
                <w:color w:val="FF0000"/>
                <w:sz w:val="18"/>
              </w:rPr>
              <w:t>[</w:t>
            </w:r>
            <w:r>
              <w:rPr>
                <w:rFonts w:ascii="仿宋_GB2312;仿宋" w:hAnsi="仿宋_GB2312;仿宋" w:hint="eastAsia" w:eastAsia="仿宋_GB2312;仿宋"/>
                <w:color w:val="FF0000"/>
                <w:sz w:val="18"/>
              </w:rPr>
              <w:t>图表对象</w:t>
            </w:r>
            <w:r>
              <w:rPr>
                <w:rFonts w:eastAsia="仿宋_GB2312;仿宋" w:hint="eastAsia" w:ascii="仿宋_GB2312;仿宋" w:hAnsi="仿宋_GB2312;仿宋"/>
                <w:color w:val="FF0000"/>
                <w:sz w:val="18"/>
              </w:rPr>
              <w:t>]/[</w:t>
            </w:r>
            <w:r>
              <w:rPr>
                <w:rFonts w:ascii="仿宋_GB2312;仿宋" w:hAnsi="仿宋_GB2312;仿宋" w:hint="eastAsia" w:eastAsia="仿宋_GB2312;仿宋"/>
                <w:color w:val="FF0000"/>
                <w:sz w:val="18"/>
              </w:rPr>
              <w:t>打开</w:t>
            </w:r>
            <w:r>
              <w:rPr>
                <w:rFonts w:eastAsia="仿宋_GB2312;仿宋" w:hint="eastAsia" w:ascii="仿宋_GB2312;仿宋" w:hAnsi="仿宋_GB2312;仿宋"/>
                <w:color w:val="FF0000"/>
                <w:sz w:val="18"/>
              </w:rPr>
              <w:t>]</w:t>
            </w:r>
            <w:r>
              <w:rPr>
                <w:rFonts w:ascii="仿宋_GB2312;仿宋" w:hAnsi="仿宋_GB2312;仿宋" w:hint="eastAsia" w:eastAsia="仿宋_GB2312;仿宋"/>
                <w:color w:val="FF0000"/>
                <w:sz w:val="18"/>
              </w:rPr>
              <w:t>，打开后在弹出的数据表中修改相应的数值，不要修改图表格式。</w:t>
            </w: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-1315085</wp:posOffset>
                      </wp:positionV>
                      <wp:extent cx="271780" cy="899795"/>
                      <wp:effectExtent l="0" t="0" r="0" b="0"/>
                      <wp:wrapSquare wrapText="bothSides"/>
                      <wp:docPr id="1" name="框架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780" cy="89979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仿宋_GB2312;仿宋" w:hAnsi="仿宋_GB2312;仿宋" w:hint="eastAsia" w:eastAsia="仿宋_GB2312;仿宋"/>
                                      <w:sz w:val="24"/>
                                    </w:rPr>
                                    <w:t>成绩统计表</w:t>
                                  </w:r>
                                </w:p>
                              </w:txbxContent>
                            </wps:txbx>
                            <wps:bodyPr anchor="t" lIns="635" tIns="635" rIns="635" bIns="635" vert="eaVer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1.4pt;height:70.85pt;mso-wrap-distance-left:9.05pt;mso-wrap-distance-right:9.05pt;mso-wrap-distance-top:0pt;mso-wrap-distance-bottom:0pt;margin-top:-103.55pt;mso-position-vertical-relative:text;margin-left:19.6pt;mso-position-horizontal-relative:text">
                      <v:fill opacity="0f"/>
                      <v:textbox inset="0.000694444444444445in,0.000694444444444445in,0.000694444444444445in,0.000694444444444445in"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仿宋_GB2312;仿宋" w:hAnsi="仿宋_GB2312;仿宋" w:hint="eastAsia" w:eastAsia="仿宋_GB2312;仿宋"/>
                                <w:sz w:val="24"/>
                              </w:rPr>
                              <w:t>成绩统计表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>
        <w:trPr>
          <w:trHeight w:val="624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  <w:color w:val="FF0000"/>
                <w:sz w:val="18"/>
              </w:rPr>
            </w:r>
          </w:p>
        </w:tc>
        <w:tc>
          <w:tcPr>
            <w:tcW w:w="8767" w:type="dxa"/>
            <w:gridSpan w:val="1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</w:tr>
      <w:tr>
        <w:trPr>
          <w:trHeight w:val="1529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</w:tr>
      <w:tr>
        <w:trPr>
          <w:trHeight w:val="1369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eastAsia="仿宋_GB2312;仿宋" w:hint="eastAsia" w:ascii="仿宋_GB2312;仿宋" w:hAnsi="仿宋_GB2312;仿宋"/>
                <w:b/>
              </w:rPr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color w:val="FF0000"/>
              </w:rPr>
            </w:pPr>
            <w:r>
              <w:rPr>
                <w:rFonts w:ascii="仿宋_GB2312;仿宋" w:hAnsi="仿宋_GB2312;仿宋" w:hint="eastAsia" w:eastAsia="仿宋_GB2312;仿宋"/>
                <w:color w:val="000000"/>
              </w:rPr>
              <w:t>试卷符合教学大纲要求，基本覆盖了课程的知识点，题目数量和难度适中，从学生整体答题情况来说，证明题的得分相对较弱，部分班级的证明题平均得分率低于</w:t>
            </w:r>
            <w:r>
              <w:rPr>
                <w:rFonts w:eastAsia="仿宋_GB2312;仿宋" w:hint="eastAsia" w:ascii="仿宋_GB2312;仿宋" w:hAnsi="仿宋_GB2312;仿宋"/>
                <w:color w:val="000000"/>
              </w:rPr>
              <w:t>50%</w:t>
            </w:r>
            <w:r>
              <w:rPr>
                <w:rFonts w:ascii="仿宋_GB2312;仿宋" w:hAnsi="仿宋_GB2312;仿宋" w:hint="eastAsia" w:eastAsia="仿宋_GB2312;仿宋"/>
                <w:color w:val="000000"/>
              </w:rPr>
              <w:t>，这意味着在课堂教学中一些基础知识掌握得不够牢固，以及对知识灵活运用的能力不够好。不同班级在同一题型的平均得分率也有差异。</w:t>
            </w:r>
          </w:p>
        </w:tc>
      </w:tr>
      <w:tr>
        <w:trPr>
          <w:trHeight w:val="2651" w:hRule="atLeast"/>
          <w:cantSplit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;仿宋" w:hAnsi="仿宋_GB2312;仿宋" w:eastAsia="仿宋_GB2312;仿宋" w:hint="eastAsia"/>
                <w:b/>
              </w:rPr>
            </w:pPr>
            <w:r>
              <w:rPr>
                <w:rFonts w:ascii="仿宋_GB2312;仿宋" w:hAnsi="仿宋_GB2312;仿宋" w:hint="eastAsia" w:eastAsia="仿宋_GB2312;仿宋"/>
                <w:b/>
              </w:rPr>
              <w:t>改进教学的建议</w:t>
            </w:r>
          </w:p>
        </w:tc>
        <w:tc>
          <w:tcPr>
            <w:tcW w:w="876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仿宋_GB2312;仿宋" w:hAnsi="仿宋_GB2312;仿宋" w:eastAsia="仿宋_GB2312;仿宋" w:hint="eastAsia"/>
                <w:color w:val="000000"/>
              </w:rPr>
            </w:pPr>
            <w:r>
              <w:rPr>
                <w:rFonts w:ascii="仿宋_GB2312;仿宋" w:hAnsi="仿宋_GB2312;仿宋" w:hint="eastAsia" w:eastAsia="仿宋_GB2312;仿宋"/>
                <w:color w:val="000000"/>
              </w:rPr>
              <w:t>进一步加强基础概念的讲解和训练，在课堂上多补充增加例子的讲解，争取提高学生的课堂学习效率。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仿宋_GB2312;仿宋" w:hAnsi="仿宋_GB2312;仿宋" w:eastAsia="仿宋_GB2312;仿宋" w:hint="eastAsia"/>
                <w:color w:val="000000"/>
              </w:rPr>
            </w:pPr>
            <w:r>
              <w:rPr>
                <w:rFonts w:ascii="仿宋_GB2312;仿宋" w:hAnsi="仿宋_GB2312;仿宋" w:hint="eastAsia" w:eastAsia="仿宋_GB2312;仿宋"/>
                <w:color w:val="000000"/>
              </w:rPr>
              <w:t>注意提升学生的知识迁移能力，提出更多的应用场景，让学生有更多的运用知识的机会，以及理论联系实际的机会。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仿宋_GB2312;仿宋" w:hAnsi="仿宋_GB2312;仿宋" w:eastAsia="仿宋_GB2312;仿宋" w:hint="eastAsia"/>
                <w:color w:val="000000"/>
              </w:rPr>
            </w:pPr>
            <w:r>
              <w:rPr>
                <w:rFonts w:ascii="仿宋_GB2312;仿宋" w:hAnsi="仿宋_GB2312;仿宋" w:hint="eastAsia" w:eastAsia="仿宋_GB2312;仿宋"/>
                <w:color w:val="000000"/>
              </w:rPr>
              <w:t>多做练习，以及多做一些模拟测试。多做课后练习可以提升学生解题的熟练程度，而做模拟测试可以提高学生应试的能力，从而提升成绩。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color w:val="FF0000"/>
              </w:rPr>
            </w:pPr>
            <w:r>
              <w:rPr>
                <w:rFonts w:ascii="仿宋_GB2312;仿宋" w:hAnsi="仿宋_GB2312;仿宋" w:hint="eastAsia" w:eastAsia="仿宋_GB2312;仿宋"/>
                <w:color w:val="000000"/>
              </w:rPr>
              <w:t>注重班级之间的成绩平衡，通过作业和模拟测试来发现某些班级整体水平低于其他班级的时候，可以对该班级给与更多的指导。</w:t>
            </w:r>
          </w:p>
        </w:tc>
      </w:tr>
      <w:tr>
        <w:trPr>
          <w:trHeight w:val="605" w:hRule="atLeast"/>
          <w:cantSplit/>
        </w:trPr>
        <w:tc>
          <w:tcPr>
            <w:tcW w:w="9360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仿宋_GB2312;仿宋" w:hAnsi="仿宋_GB2312;仿宋" w:eastAsia="仿宋_GB2312;仿宋" w:hint="eastAsia"/>
              </w:rPr>
            </w:pPr>
            <w:r>
              <w:rPr>
                <w:rFonts w:ascii="仿宋_GB2312;仿宋" w:hAnsi="仿宋_GB2312;仿宋" w:hint="eastAsia" w:eastAsia="仿宋_GB2312;仿宋"/>
              </w:rPr>
              <w:t>课程负责人（签字）：</w:t>
            </w:r>
            <w:r>
              <w:rPr>
                <w:rFonts w:ascii="仿宋_GB2312;仿宋" w:hAnsi="仿宋_GB2312;仿宋" w:hint="eastAsia" w:eastAsia="仿宋_GB2312;仿宋"/>
                <w:b/>
                <w:u w:val="single"/>
              </w:rPr>
              <w:t xml:space="preserve">          </w:t>
            </w:r>
            <w:r>
              <w:rPr>
                <w:rFonts w:hint="eastAsia"/>
                <w:sz w:val="18"/>
                <w:u w:val="single"/>
              </w:rPr>
              <w:t xml:space="preserve"> </w:t>
            </w:r>
            <w:r>
              <w:rPr>
                <w:rFonts w:ascii="仿宋_GB2312;仿宋" w:hAnsi="仿宋_GB2312;仿宋" w:hint="eastAsia" w:eastAsia="仿宋_GB2312;仿宋"/>
              </w:rPr>
              <w:t xml:space="preserve"> 教研室主任（签字）：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           </w:t>
            </w:r>
            <w:r>
              <w:rPr>
                <w:rFonts w:ascii="仿宋_GB2312;仿宋" w:hAnsi="仿宋_GB2312;仿宋" w:hint="eastAsia" w:eastAsia="仿宋_GB2312;仿宋"/>
              </w:rPr>
              <w:t xml:space="preserve">  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        </w:t>
            </w:r>
            <w:r>
              <w:rPr>
                <w:rFonts w:ascii="仿宋_GB2312;仿宋" w:hAnsi="仿宋_GB2312;仿宋" w:hint="eastAsia" w:eastAsia="仿宋_GB2312;仿宋"/>
              </w:rPr>
              <w:t>年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 </w:t>
            </w:r>
            <w:r>
              <w:rPr>
                <w:rFonts w:ascii="仿宋_GB2312;仿宋" w:hAnsi="仿宋_GB2312;仿宋" w:hint="eastAsia" w:eastAsia="仿宋_GB2312;仿宋"/>
              </w:rPr>
              <w:t>月</w:t>
            </w:r>
            <w:r>
              <w:rPr>
                <w:rFonts w:ascii="仿宋_GB2312;仿宋" w:hAnsi="仿宋_GB2312;仿宋" w:hint="eastAsia" w:eastAsia="仿宋_GB2312;仿宋"/>
                <w:u w:val="single"/>
              </w:rPr>
              <w:t xml:space="preserve">  </w:t>
            </w:r>
            <w:r>
              <w:rPr>
                <w:rFonts w:ascii="仿宋_GB2312;仿宋" w:hAnsi="仿宋_GB2312;仿宋" w:hint="eastAsia" w:eastAsia="仿宋_GB2312;仿宋"/>
              </w:rPr>
              <w:t>日</w:t>
            </w:r>
          </w:p>
        </w:tc>
      </w:tr>
    </w:tbl>
    <w:p>
      <w:pPr>
        <w:pStyle w:val="Normal"/>
        <w:ind w:firstLineChars="0" w:firstLine="0" w:startChars="-171" w:endChars="-159"/>
        <w:rPr>
          <w:rFonts w:hint="eastAsia"/>
        </w:rPr>
      </w:pPr>
      <w:r>
        <w:rPr>
          <w:rFonts w:ascii="仿宋_GB2312;仿宋" w:hAnsi="仿宋_GB2312;仿宋" w:hint="eastAsia" w:eastAsia="仿宋_GB2312;仿宋"/>
          <w:sz w:val="18"/>
        </w:rPr>
        <w:t>注：表中使用的字符</w:t>
      </w:r>
      <w:r>
        <w:rPr>
          <w:rFonts w:ascii="宋体" w:hAnsi="宋体" w:cs="宋体" w:hint="eastAsia"/>
          <w:sz w:val="18"/>
        </w:rPr>
        <w:t>◆◇</w:t>
      </w:r>
      <w:r>
        <w:rPr>
          <w:rFonts w:ascii="仿宋_GB2312;仿宋" w:hAnsi="仿宋_GB2312;仿宋" w:hint="eastAsia" w:eastAsia="仿宋_GB2312;仿宋"/>
          <w:sz w:val="18"/>
        </w:rPr>
        <w:t>，选中的用</w:t>
      </w:r>
      <w:r>
        <w:rPr>
          <w:rFonts w:ascii="宋体" w:hAnsi="宋体" w:cs="宋体" w:hint="eastAsia"/>
          <w:sz w:val="18"/>
        </w:rPr>
        <w:t>◆</w:t>
      </w:r>
      <w:r>
        <w:rPr>
          <w:rFonts w:ascii="仿宋_GB2312;仿宋" w:hAnsi="仿宋_GB2312;仿宋" w:hint="eastAsia" w:eastAsia="仿宋_GB2312;仿宋"/>
          <w:sz w:val="18"/>
        </w:rPr>
        <w:t>，未选中的用</w:t>
      </w:r>
      <w:r>
        <w:rPr>
          <w:rFonts w:ascii="宋体" w:hAnsi="宋体" w:cs="宋体" w:hint="eastAsia"/>
          <w:sz w:val="18"/>
        </w:rPr>
        <w:t>◇，此表一式两份，一份报教务处，一份本部门留存。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type w:val="nextPage"/>
      <w:pgSz w:w="11906" w:h="16838"/>
      <w:pgMar w:left="1797" w:right="1797" w:gutter="0" w:header="0" w:top="680" w:footer="0" w:bottom="62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altName w:val="仿宋"/>
    <w:charset w:val="86"/>
    <w:family w:val="modern"/>
    <w:pitch w:val="default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Strong">
    <w:name w:val="Strong"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rFonts w:ascii="仿宋_GB2312;仿宋" w:hAnsi="仿宋_GB2312;仿宋" w:eastAsia="仿宋_GB2312;仿宋"/>
      <w:sz w:val="24"/>
    </w:rPr>
  </w:style>
  <w:style w:type="paragraph" w:styleId="Style17">
    <w:name w:val="日期"/>
    <w:basedOn w:val="Normal"/>
    <w:next w:val="Normal"/>
    <w:pPr>
      <w:ind w:firstLineChars="0" w:firstLine="0" w:startChars="2500" w:endChars="0" w:end="0"/>
    </w:pPr>
    <w:rPr/>
  </w:style>
  <w:style w:type="paragraph" w:styleId="Style18">
    <w:name w:val="批注框文本"/>
    <w:basedOn w:val="Normal"/>
    <w:pPr/>
    <w:rPr>
      <w:sz w:val="18"/>
      <w:szCs w:val="18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Style20">
    <w:name w:val="表格内容"/>
    <w:basedOn w:val="Normal"/>
    <w:pPr>
      <w:widowControl w:val="false"/>
      <w:suppressLineNumbers/>
    </w:pPr>
    <w:rPr/>
  </w:style>
  <w:style w:type="paragraph" w:styleId="Style21">
    <w:name w:val="表格标题"/>
    <w:basedOn w:val="Style20"/>
    <w:pPr>
      <w:suppressLineNumbers/>
      <w:jc w:val="center"/>
    </w:pPr>
    <w:rPr>
      <w:b/>
      <w:bCs/>
    </w:rPr>
  </w:style>
  <w:style w:type="paragraph" w:styleId="Style22">
    <w:name w:val="框架内容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2011-05-30T08:26:00Z</dcterms:created>
  <dc:creator>微软用户</dc:creator>
  <dc:description/>
  <dc:language>zh-CN</dc:language>
  <cp:lastModifiedBy>Leonard Xu</cp:lastModifiedBy>
  <cp:lastPrinted>2010-12-27T08:37:00Z</cp:lastPrinted>
  <dcterms:modified xsi:type="dcterms:W3CDTF">2026-07-06T11:14:03Z</dcterms:modified>
  <cp:revision>2</cp:revision>
  <dc:subject/>
  <dc:title>关于重申加强期末考试监考、阅卷、成绩评定和试卷管理的通知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C568C0DFEEF144B98ECB2F4D0A19A02A_13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