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37C4A7">
      <w:pPr>
        <w:pStyle w:val="5"/>
        <w:keepNext w:val="0"/>
        <w:keepLines w:val="0"/>
        <w:pageBreakBefore w:val="0"/>
        <w:widowControl/>
        <w:kinsoku/>
        <w:wordWrap/>
        <w:overflowPunct/>
        <w:topLinePunct w:val="0"/>
        <w:autoSpaceDE/>
        <w:autoSpaceDN/>
        <w:bidi w:val="0"/>
        <w:adjustRightInd/>
        <w:snapToGrid/>
        <w:spacing w:after="0"/>
        <w:textAlignment w:val="auto"/>
        <w:rPr>
          <w:rFonts w:ascii="Times New Roman" w:hAnsi="Times New Roman" w:eastAsia="黑体"/>
          <w:b/>
          <w:color w:val="000000"/>
          <w:sz w:val="36"/>
        </w:rPr>
      </w:pPr>
      <w:r>
        <w:rPr>
          <w:rFonts w:hint="eastAsia" w:ascii="Times New Roman" w:hAnsi="Times New Roman" w:eastAsia="黑体"/>
          <w:b/>
          <w:color w:val="000000"/>
          <w:sz w:val="36"/>
          <w:lang w:val="en-US" w:eastAsia="zh-CN"/>
        </w:rPr>
        <w:t>大数据与人工智能学院</w:t>
      </w:r>
      <w:r>
        <w:rPr>
          <w:rFonts w:ascii="Times New Roman" w:hAnsi="Times New Roman" w:eastAsia="黑体"/>
          <w:b/>
          <w:color w:val="000000"/>
          <w:sz w:val="36"/>
        </w:rPr>
        <w:t>学院</w:t>
      </w:r>
    </w:p>
    <w:p w14:paraId="731BF73E">
      <w:pPr>
        <w:pStyle w:val="5"/>
        <w:keepNext w:val="0"/>
        <w:keepLines w:val="0"/>
        <w:pageBreakBefore w:val="0"/>
        <w:widowControl/>
        <w:kinsoku/>
        <w:wordWrap/>
        <w:overflowPunct/>
        <w:topLinePunct w:val="0"/>
        <w:autoSpaceDE/>
        <w:autoSpaceDN/>
        <w:bidi w:val="0"/>
        <w:adjustRightInd/>
        <w:snapToGrid/>
        <w:spacing w:after="0"/>
        <w:textAlignment w:val="auto"/>
        <w:rPr>
          <w:rFonts w:hint="eastAsia" w:ascii="Times New Roman" w:hAnsi="Times New Roman" w:eastAsia="黑体"/>
          <w:b/>
          <w:color w:val="000000"/>
          <w:sz w:val="36"/>
          <w:lang w:val="en-US" w:eastAsia="zh-CN"/>
        </w:rPr>
      </w:pPr>
      <w:r>
        <w:rPr>
          <w:rFonts w:hint="eastAsia" w:ascii="Times New Roman" w:hAnsi="Times New Roman" w:eastAsia="黑体"/>
          <w:b/>
          <w:color w:val="000000"/>
          <w:sz w:val="36"/>
          <w:lang w:val="en-US" w:eastAsia="zh-CN"/>
        </w:rPr>
        <w:t>2024-2026学年</w:t>
      </w:r>
      <w:r>
        <w:rPr>
          <w:rFonts w:ascii="Times New Roman" w:hAnsi="Times New Roman" w:eastAsia="黑体"/>
          <w:b/>
          <w:color w:val="000000"/>
          <w:sz w:val="36"/>
        </w:rPr>
        <w:t>试卷专项检查工作方案</w:t>
      </w:r>
      <w:r>
        <w:rPr>
          <w:rFonts w:hint="eastAsia" w:ascii="Times New Roman" w:hAnsi="Times New Roman" w:eastAsia="黑体"/>
          <w:b/>
          <w:color w:val="000000"/>
          <w:sz w:val="36"/>
          <w:lang w:eastAsia="zh-CN"/>
        </w:rPr>
        <w:t>—</w:t>
      </w:r>
      <w:r>
        <w:rPr>
          <w:rFonts w:hint="eastAsia" w:ascii="Times New Roman" w:hAnsi="Times New Roman" w:eastAsia="黑体"/>
          <w:b/>
          <w:color w:val="000000"/>
          <w:sz w:val="36"/>
          <w:lang w:val="en-US" w:eastAsia="zh-CN"/>
        </w:rPr>
        <w:t>任课教师</w:t>
      </w:r>
    </w:p>
    <w:p w14:paraId="13175D52">
      <w:pPr>
        <w:rPr>
          <w:rFonts w:hint="eastAsia"/>
          <w:lang w:val="en-US" w:eastAsia="zh-CN"/>
        </w:rPr>
      </w:pPr>
    </w:p>
    <w:p w14:paraId="440ABBFC">
      <w:pPr>
        <w:keepNext w:val="0"/>
        <w:keepLines w:val="0"/>
        <w:pageBreakBefore w:val="0"/>
        <w:widowControl/>
        <w:numPr>
          <w:ilvl w:val="0"/>
          <w:numId w:val="1"/>
        </w:numPr>
        <w:kinsoku/>
        <w:wordWrap/>
        <w:overflowPunct/>
        <w:topLinePunct w:val="0"/>
        <w:autoSpaceDE/>
        <w:autoSpaceDN/>
        <w:bidi w:val="0"/>
        <w:adjustRightInd/>
        <w:snapToGrid/>
        <w:ind w:firstLine="643" w:firstLineChars="200"/>
        <w:textAlignment w:val="auto"/>
        <w:rPr>
          <w:rFonts w:hint="eastAsia" w:eastAsia="黑体"/>
          <w:b/>
          <w:color w:val="000000"/>
          <w:sz w:val="32"/>
          <w:szCs w:val="32"/>
          <w:lang w:val="en-US" w:eastAsia="zh-CN"/>
        </w:rPr>
      </w:pPr>
      <w:r>
        <w:rPr>
          <w:rFonts w:hint="eastAsia" w:eastAsia="黑体"/>
          <w:b/>
          <w:color w:val="000000"/>
          <w:sz w:val="32"/>
          <w:szCs w:val="32"/>
          <w:lang w:val="en-US" w:eastAsia="zh-CN"/>
        </w:rPr>
        <w:t>教师自查</w:t>
      </w:r>
    </w:p>
    <w:p w14:paraId="27B2C93C">
      <w:pPr>
        <w:keepNext w:val="0"/>
        <w:keepLines w:val="0"/>
        <w:pageBreakBefore w:val="0"/>
        <w:widowControl/>
        <w:kinsoku/>
        <w:wordWrap/>
        <w:overflowPunct/>
        <w:topLinePunct w:val="0"/>
        <w:autoSpaceDE/>
        <w:autoSpaceDN/>
        <w:bidi w:val="0"/>
        <w:adjustRightInd/>
        <w:snapToGrid/>
        <w:ind w:firstLine="480" w:firstLineChars="200"/>
        <w:textAlignment w:val="auto"/>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rPr>
        <w:t>2026年</w:t>
      </w:r>
      <w:r>
        <w:rPr>
          <w:rFonts w:hint="eastAsia" w:asciiTheme="minorEastAsia" w:hAnsiTheme="minorEastAsia" w:eastAsiaTheme="minorEastAsia" w:cstheme="minorEastAsia"/>
          <w:lang w:val="en-US" w:eastAsia="zh-CN"/>
        </w:rPr>
        <w:t>11月4日前，</w:t>
      </w:r>
      <w:r>
        <w:rPr>
          <w:rFonts w:hint="eastAsia" w:asciiTheme="minorEastAsia" w:hAnsiTheme="minorEastAsia" w:eastAsiaTheme="minorEastAsia" w:cstheme="minorEastAsia"/>
        </w:rPr>
        <w:t>任课教师对照检查标准逐卷自查，填写《试卷自查登记表》，形成问题清单</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lang w:val="en-US" w:eastAsia="zh-CN"/>
        </w:rPr>
        <w:t>根据授课课程专业班级交给相应的系（教研室）主任，通过企业微信/微信。</w:t>
      </w:r>
    </w:p>
    <w:p w14:paraId="06E584A3">
      <w:pPr>
        <w:keepNext w:val="0"/>
        <w:keepLines w:val="0"/>
        <w:pageBreakBefore w:val="0"/>
        <w:widowControl/>
        <w:kinsoku/>
        <w:wordWrap/>
        <w:overflowPunct/>
        <w:topLinePunct w:val="0"/>
        <w:autoSpaceDE/>
        <w:autoSpaceDN/>
        <w:bidi w:val="0"/>
        <w:adjustRightInd/>
        <w:snapToGrid/>
        <w:ind w:firstLine="480" w:firstLineChars="200"/>
        <w:textAlignment w:val="auto"/>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计算机与科学系主任：梁耀坤，计算机科学与技术专业、软件工程专业。</w:t>
      </w:r>
    </w:p>
    <w:p w14:paraId="4F5AB1ED">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数据科学与大数据技术系主任：徐鹏程，数据科学与大数据技术专业和应用统计学专业。</w:t>
      </w:r>
    </w:p>
    <w:p w14:paraId="1882B47E">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人工智能系主任：吴振清，人工智能专业。</w:t>
      </w:r>
    </w:p>
    <w:p w14:paraId="0CE3EBDF">
      <w:pPr>
        <w:keepNext w:val="0"/>
        <w:keepLines w:val="0"/>
        <w:pageBreakBefore w:val="0"/>
        <w:widowControl/>
        <w:kinsoku/>
        <w:wordWrap/>
        <w:overflowPunct/>
        <w:topLinePunct w:val="0"/>
        <w:autoSpaceDE/>
        <w:autoSpaceDN/>
        <w:bidi w:val="0"/>
        <w:adjustRightInd/>
        <w:snapToGrid/>
        <w:ind w:firstLine="480" w:firstLineChars="200"/>
        <w:textAlignment w:val="auto"/>
        <w:rPr>
          <w:rFonts w:hint="default" w:asciiTheme="minorEastAsia" w:hAnsiTheme="minorEastAsia" w:eastAsiaTheme="minorEastAsia" w:cstheme="minorEastAsia"/>
          <w:lang w:val="en-US" w:eastAsia="zh-CN"/>
        </w:rPr>
      </w:pPr>
    </w:p>
    <w:p w14:paraId="3C38C803">
      <w:pPr>
        <w:keepNext w:val="0"/>
        <w:keepLines w:val="0"/>
        <w:pageBreakBefore w:val="0"/>
        <w:widowControl/>
        <w:numPr>
          <w:ilvl w:val="0"/>
          <w:numId w:val="1"/>
        </w:numPr>
        <w:kinsoku/>
        <w:wordWrap/>
        <w:overflowPunct/>
        <w:topLinePunct w:val="0"/>
        <w:autoSpaceDE/>
        <w:autoSpaceDN/>
        <w:bidi w:val="0"/>
        <w:adjustRightInd/>
        <w:snapToGrid/>
        <w:spacing w:before="0" w:after="0"/>
        <w:ind w:firstLine="643" w:firstLineChars="200"/>
        <w:textAlignment w:val="auto"/>
        <w:rPr>
          <w:rFonts w:hint="eastAsia" w:eastAsia="黑体"/>
          <w:b/>
          <w:color w:val="000000"/>
          <w:sz w:val="32"/>
          <w:szCs w:val="32"/>
          <w:lang w:val="en-US" w:eastAsia="zh-CN"/>
        </w:rPr>
      </w:pPr>
      <w:r>
        <w:rPr>
          <w:rFonts w:hint="eastAsia" w:eastAsia="黑体"/>
          <w:b/>
          <w:color w:val="000000"/>
          <w:sz w:val="32"/>
          <w:szCs w:val="32"/>
          <w:lang w:val="en-US" w:eastAsia="zh-CN"/>
        </w:rPr>
        <w:t>核对任课课程</w:t>
      </w:r>
    </w:p>
    <w:p w14:paraId="36FAF981">
      <w:pPr>
        <w:pStyle w:val="3"/>
        <w:pageBreakBefore w:val="0"/>
        <w:widowControl/>
        <w:kinsoku/>
        <w:wordWrap/>
        <w:overflowPunct/>
        <w:topLinePunct w:val="0"/>
        <w:autoSpaceDE/>
        <w:autoSpaceDN/>
        <w:bidi w:val="0"/>
        <w:adjustRightInd/>
        <w:snapToGrid/>
        <w:spacing w:before="0" w:after="0"/>
        <w:ind w:firstLine="480" w:firstLineChars="200"/>
        <w:textAlignment w:val="auto"/>
        <w:rPr>
          <w:rFonts w:hint="eastAsia" w:asciiTheme="minorEastAsia" w:hAnsiTheme="minorEastAsia" w:eastAsiaTheme="minorEastAsia" w:cstheme="minorEastAsia"/>
          <w:b w:val="0"/>
          <w:bCs/>
          <w:color w:val="auto"/>
          <w:sz w:val="24"/>
          <w:szCs w:val="24"/>
          <w:lang w:val="en-US" w:eastAsia="zh-CN"/>
        </w:rPr>
      </w:pPr>
      <w:r>
        <w:rPr>
          <w:rFonts w:hint="eastAsia" w:asciiTheme="minorEastAsia" w:hAnsiTheme="minorEastAsia" w:eastAsiaTheme="minorEastAsia" w:cstheme="minorEastAsia"/>
          <w:b w:val="0"/>
          <w:bCs/>
          <w:color w:val="auto"/>
          <w:sz w:val="24"/>
          <w:szCs w:val="24"/>
          <w:lang w:val="en-US" w:eastAsia="zh-CN"/>
        </w:rPr>
        <w:t>各位任课教师请根据每学期的《课程归属表》核对自己的授课课程和授课班级。</w:t>
      </w:r>
    </w:p>
    <w:p w14:paraId="3710DACD">
      <w:pPr>
        <w:rPr>
          <w:rFonts w:hint="eastAsia"/>
          <w:lang w:val="en-US" w:eastAsia="zh-CN"/>
        </w:rPr>
      </w:pPr>
    </w:p>
    <w:p w14:paraId="7EDD6D52">
      <w:pPr>
        <w:keepNext w:val="0"/>
        <w:keepLines w:val="0"/>
        <w:pageBreakBefore w:val="0"/>
        <w:widowControl/>
        <w:numPr>
          <w:ilvl w:val="0"/>
          <w:numId w:val="1"/>
        </w:numPr>
        <w:kinsoku/>
        <w:wordWrap/>
        <w:overflowPunct/>
        <w:topLinePunct w:val="0"/>
        <w:autoSpaceDE/>
        <w:autoSpaceDN/>
        <w:bidi w:val="0"/>
        <w:adjustRightInd/>
        <w:snapToGrid/>
        <w:spacing w:before="0" w:after="0"/>
        <w:ind w:firstLine="643" w:firstLineChars="200"/>
        <w:textAlignment w:val="auto"/>
        <w:rPr>
          <w:rFonts w:hint="default" w:eastAsia="黑体"/>
          <w:b/>
          <w:color w:val="000000"/>
          <w:sz w:val="32"/>
          <w:szCs w:val="32"/>
          <w:lang w:val="en-US" w:eastAsia="zh-CN"/>
        </w:rPr>
      </w:pPr>
      <w:r>
        <w:rPr>
          <w:rFonts w:hint="eastAsia" w:eastAsia="黑体"/>
          <w:b/>
          <w:color w:val="000000"/>
          <w:sz w:val="32"/>
          <w:szCs w:val="32"/>
          <w:lang w:val="en-US" w:eastAsia="zh-CN"/>
        </w:rPr>
        <w:t>确定试卷材料存放位置</w:t>
      </w:r>
    </w:p>
    <w:p w14:paraId="5753E005">
      <w:pPr>
        <w:keepNext w:val="0"/>
        <w:keepLines w:val="0"/>
        <w:pageBreakBefore w:val="0"/>
        <w:widowControl/>
        <w:numPr>
          <w:ilvl w:val="0"/>
          <w:numId w:val="0"/>
        </w:numPr>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b w:val="0"/>
          <w:bCs/>
          <w:color w:val="auto"/>
          <w:sz w:val="24"/>
          <w:szCs w:val="24"/>
          <w:lang w:val="en-US" w:eastAsia="zh-CN"/>
        </w:rPr>
      </w:pPr>
      <w:r>
        <w:rPr>
          <w:rFonts w:hint="eastAsia" w:asciiTheme="minorEastAsia" w:hAnsiTheme="minorEastAsia" w:eastAsiaTheme="minorEastAsia" w:cstheme="minorEastAsia"/>
          <w:b w:val="0"/>
          <w:bCs/>
          <w:color w:val="auto"/>
          <w:sz w:val="24"/>
          <w:szCs w:val="24"/>
          <w:lang w:val="en-US" w:eastAsia="zh-CN"/>
        </w:rPr>
        <w:t>请各位任课教师查看每学期的《课程归属表》与《试卷归档清单》，确认课程试卷材料存放位置。</w:t>
      </w:r>
    </w:p>
    <w:p w14:paraId="06B0ED24">
      <w:pPr>
        <w:keepNext w:val="0"/>
        <w:keepLines w:val="0"/>
        <w:pageBreakBefore w:val="0"/>
        <w:widowControl/>
        <w:numPr>
          <w:ilvl w:val="0"/>
          <w:numId w:val="0"/>
        </w:numPr>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b w:val="0"/>
          <w:bCs/>
          <w:color w:val="auto"/>
          <w:sz w:val="24"/>
          <w:szCs w:val="24"/>
          <w:lang w:val="en-US" w:eastAsia="zh-CN"/>
        </w:rPr>
      </w:pPr>
      <w:r>
        <w:rPr>
          <w:rFonts w:hint="eastAsia" w:asciiTheme="minorEastAsia" w:hAnsiTheme="minorEastAsia" w:eastAsiaTheme="minorEastAsia" w:cstheme="minorEastAsia"/>
          <w:b w:val="0"/>
          <w:bCs/>
          <w:color w:val="auto"/>
          <w:sz w:val="24"/>
          <w:szCs w:val="24"/>
          <w:lang w:val="en-US" w:eastAsia="zh-CN"/>
        </w:rPr>
        <w:t>若课程在《课程归属表》标识为‘是否归档三校区试卷库-是’，在《试卷归档清单》中会有相应的归档编号，通过归档编号可以在清远校区行政楼202试卷档案室找到对应的试卷档案。</w:t>
      </w:r>
    </w:p>
    <w:p w14:paraId="1D224676">
      <w:pPr>
        <w:keepNext w:val="0"/>
        <w:keepLines w:val="0"/>
        <w:pageBreakBefore w:val="0"/>
        <w:widowControl/>
        <w:numPr>
          <w:ilvl w:val="0"/>
          <w:numId w:val="0"/>
        </w:numPr>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b w:val="0"/>
          <w:bCs/>
          <w:color w:val="auto"/>
          <w:sz w:val="24"/>
          <w:szCs w:val="24"/>
          <w:lang w:val="en-US" w:eastAsia="zh-CN"/>
        </w:rPr>
      </w:pPr>
      <w:r>
        <w:rPr>
          <w:rFonts w:hint="eastAsia" w:asciiTheme="minorEastAsia" w:hAnsiTheme="minorEastAsia" w:eastAsiaTheme="minorEastAsia" w:cstheme="minorEastAsia"/>
          <w:b w:val="0"/>
          <w:bCs/>
          <w:color w:val="auto"/>
          <w:sz w:val="24"/>
          <w:szCs w:val="24"/>
          <w:lang w:val="en-US" w:eastAsia="zh-CN"/>
        </w:rPr>
        <w:t>若课程在《课程归属表》标识为‘是否归档三校区试卷库-否’且是试卷类考试请到敏学楼514检查试卷材料。</w:t>
      </w:r>
    </w:p>
    <w:p w14:paraId="54A14E00">
      <w:pPr>
        <w:keepNext w:val="0"/>
        <w:keepLines w:val="0"/>
        <w:pageBreakBefore w:val="0"/>
        <w:widowControl/>
        <w:numPr>
          <w:ilvl w:val="0"/>
          <w:numId w:val="0"/>
        </w:numPr>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b w:val="0"/>
          <w:bCs/>
          <w:color w:val="auto"/>
          <w:sz w:val="24"/>
          <w:szCs w:val="24"/>
          <w:lang w:val="en-US" w:eastAsia="zh-CN"/>
        </w:rPr>
      </w:pPr>
      <w:r>
        <w:rPr>
          <w:rFonts w:hint="eastAsia" w:asciiTheme="minorEastAsia" w:hAnsiTheme="minorEastAsia" w:eastAsiaTheme="minorEastAsia" w:cstheme="minorEastAsia"/>
          <w:b w:val="0"/>
          <w:bCs/>
          <w:color w:val="auto"/>
          <w:sz w:val="24"/>
          <w:szCs w:val="24"/>
          <w:lang w:val="en-US" w:eastAsia="zh-CN"/>
        </w:rPr>
        <w:t>若课程考核类型为考查，请自行核查考查的电子版材料，请将核查后的考查材料发给教研室与学院教学秘书进行备份。</w:t>
      </w:r>
    </w:p>
    <w:p w14:paraId="43CBE71D">
      <w:pPr>
        <w:keepNext w:val="0"/>
        <w:keepLines w:val="0"/>
        <w:pageBreakBefore w:val="0"/>
        <w:widowControl/>
        <w:numPr>
          <w:ilvl w:val="0"/>
          <w:numId w:val="0"/>
        </w:numPr>
        <w:kinsoku/>
        <w:wordWrap/>
        <w:overflowPunct/>
        <w:topLinePunct w:val="0"/>
        <w:autoSpaceDE/>
        <w:autoSpaceDN/>
        <w:bidi w:val="0"/>
        <w:adjustRightInd/>
        <w:snapToGrid/>
        <w:ind w:firstLine="480" w:firstLineChars="200"/>
        <w:textAlignment w:val="auto"/>
        <w:rPr>
          <w:rFonts w:hint="default" w:asciiTheme="minorEastAsia" w:hAnsiTheme="minorEastAsia" w:eastAsiaTheme="minorEastAsia" w:cstheme="minorEastAsia"/>
          <w:b w:val="0"/>
          <w:bCs/>
          <w:color w:val="auto"/>
          <w:sz w:val="24"/>
          <w:szCs w:val="24"/>
          <w:lang w:val="en-US" w:eastAsia="zh-CN"/>
        </w:rPr>
      </w:pPr>
    </w:p>
    <w:p w14:paraId="7E49FA25">
      <w:pPr>
        <w:keepNext w:val="0"/>
        <w:keepLines w:val="0"/>
        <w:pageBreakBefore w:val="0"/>
        <w:widowControl/>
        <w:numPr>
          <w:ilvl w:val="0"/>
          <w:numId w:val="0"/>
        </w:numPr>
        <w:kinsoku/>
        <w:wordWrap/>
        <w:overflowPunct/>
        <w:topLinePunct w:val="0"/>
        <w:autoSpaceDE/>
        <w:autoSpaceDN/>
        <w:bidi w:val="0"/>
        <w:adjustRightInd/>
        <w:snapToGrid/>
        <w:ind w:firstLine="480" w:firstLineChars="200"/>
        <w:textAlignment w:val="auto"/>
        <w:rPr>
          <w:rFonts w:hint="default" w:asciiTheme="minorEastAsia" w:hAnsiTheme="minorEastAsia" w:eastAsiaTheme="minorEastAsia" w:cstheme="minorEastAsia"/>
          <w:b w:val="0"/>
          <w:bCs/>
          <w:color w:val="auto"/>
          <w:sz w:val="24"/>
          <w:szCs w:val="24"/>
          <w:lang w:val="en-US" w:eastAsia="zh-CN"/>
        </w:rPr>
      </w:pPr>
    </w:p>
    <w:p w14:paraId="1C0F095B">
      <w:pPr>
        <w:keepNext w:val="0"/>
        <w:keepLines w:val="0"/>
        <w:pageBreakBefore w:val="0"/>
        <w:widowControl/>
        <w:numPr>
          <w:ilvl w:val="0"/>
          <w:numId w:val="1"/>
        </w:numPr>
        <w:kinsoku/>
        <w:wordWrap/>
        <w:overflowPunct/>
        <w:topLinePunct w:val="0"/>
        <w:autoSpaceDE/>
        <w:autoSpaceDN/>
        <w:bidi w:val="0"/>
        <w:adjustRightInd/>
        <w:snapToGrid/>
        <w:ind w:firstLine="643" w:firstLineChars="200"/>
        <w:textAlignment w:val="auto"/>
        <w:rPr>
          <w:rFonts w:hint="default" w:eastAsia="黑体"/>
          <w:b/>
          <w:color w:val="000000"/>
          <w:sz w:val="32"/>
          <w:szCs w:val="32"/>
          <w:lang w:val="en-US" w:eastAsia="zh-CN"/>
        </w:rPr>
      </w:pPr>
      <w:r>
        <w:rPr>
          <w:rFonts w:hint="eastAsia" w:eastAsia="黑体"/>
          <w:b/>
          <w:color w:val="000000"/>
          <w:sz w:val="32"/>
          <w:szCs w:val="32"/>
          <w:lang w:val="en-US" w:eastAsia="zh-CN"/>
        </w:rPr>
        <w:t>试卷材料检查</w:t>
      </w:r>
    </w:p>
    <w:p w14:paraId="15262626">
      <w:pPr>
        <w:keepNext w:val="0"/>
        <w:keepLines w:val="0"/>
        <w:pageBreakBefore w:val="0"/>
        <w:widowControl/>
        <w:numPr>
          <w:ilvl w:val="0"/>
          <w:numId w:val="0"/>
        </w:numPr>
        <w:kinsoku/>
        <w:wordWrap/>
        <w:overflowPunct/>
        <w:topLinePunct w:val="0"/>
        <w:autoSpaceDE/>
        <w:autoSpaceDN/>
        <w:bidi w:val="0"/>
        <w:adjustRightInd/>
        <w:snapToGrid/>
        <w:ind w:firstLine="480" w:firstLineChars="200"/>
        <w:textAlignment w:val="auto"/>
        <w:rPr>
          <w:rFonts w:ascii="Segoe UI" w:hAnsi="Segoe UI" w:eastAsia="Segoe UI" w:cs="Segoe UI"/>
          <w:i w:val="0"/>
          <w:iCs w:val="0"/>
          <w:caps w:val="0"/>
          <w:color w:val="0F1115"/>
          <w:spacing w:val="0"/>
          <w:sz w:val="24"/>
          <w:szCs w:val="24"/>
          <w:shd w:val="clear" w:fill="FFFFFF"/>
        </w:rPr>
      </w:pPr>
      <w:r>
        <w:rPr>
          <w:rFonts w:ascii="Segoe UI" w:hAnsi="Segoe UI" w:eastAsia="Segoe UI" w:cs="Segoe UI"/>
          <w:i w:val="0"/>
          <w:iCs w:val="0"/>
          <w:caps w:val="0"/>
          <w:color w:val="0F1115"/>
          <w:spacing w:val="0"/>
          <w:sz w:val="24"/>
          <w:szCs w:val="24"/>
          <w:shd w:val="clear" w:fill="FFFFFF"/>
        </w:rPr>
        <w:t>各任课教师需对照《本科课程考试试卷档案归档目录》逐项核查本人所授课程试卷材料。</w:t>
      </w:r>
    </w:p>
    <w:p w14:paraId="4E3B0ACD">
      <w:pPr>
        <w:keepNext w:val="0"/>
        <w:keepLines w:val="0"/>
        <w:pageBreakBefore w:val="0"/>
        <w:widowControl/>
        <w:numPr>
          <w:ilvl w:val="0"/>
          <w:numId w:val="0"/>
        </w:numPr>
        <w:kinsoku/>
        <w:wordWrap/>
        <w:overflowPunct/>
        <w:topLinePunct w:val="0"/>
        <w:autoSpaceDE/>
        <w:autoSpaceDN/>
        <w:bidi w:val="0"/>
        <w:adjustRightInd/>
        <w:snapToGrid/>
        <w:ind w:firstLine="482" w:firstLineChars="200"/>
        <w:textAlignment w:val="auto"/>
        <w:rPr>
          <w:rFonts w:hint="eastAsia" w:asciiTheme="minorEastAsia" w:hAnsiTheme="minorEastAsia" w:eastAsiaTheme="minorEastAsia" w:cstheme="minorEastAsia"/>
          <w:b w:val="0"/>
          <w:bCs w:val="0"/>
          <w:i w:val="0"/>
          <w:iCs w:val="0"/>
          <w:caps w:val="0"/>
          <w:color w:val="0F1115"/>
          <w:spacing w:val="0"/>
          <w:sz w:val="24"/>
          <w:szCs w:val="24"/>
          <w:shd w:val="clear" w:fill="FFFFFF"/>
          <w:lang w:eastAsia="zh-CN"/>
        </w:rPr>
      </w:pPr>
      <w:r>
        <w:rPr>
          <w:rFonts w:hint="eastAsia" w:asciiTheme="minorEastAsia" w:hAnsiTheme="minorEastAsia" w:eastAsiaTheme="minorEastAsia" w:cstheme="minorEastAsia"/>
          <w:b/>
          <w:bCs/>
          <w:i w:val="0"/>
          <w:iCs w:val="0"/>
          <w:caps w:val="0"/>
          <w:color w:val="0F1115"/>
          <w:spacing w:val="0"/>
          <w:sz w:val="24"/>
          <w:szCs w:val="24"/>
          <w:shd w:val="clear" w:fill="FFFFFF"/>
          <w:lang w:val="en-US" w:eastAsia="zh-CN"/>
        </w:rPr>
        <w:t>（一）考试类</w:t>
      </w:r>
      <w:r>
        <w:rPr>
          <w:rFonts w:hint="eastAsia" w:asciiTheme="minorEastAsia" w:hAnsiTheme="minorEastAsia" w:eastAsiaTheme="minorEastAsia" w:cstheme="minorEastAsia"/>
          <w:b/>
          <w:bCs/>
          <w:i w:val="0"/>
          <w:iCs w:val="0"/>
          <w:caps w:val="0"/>
          <w:color w:val="0F1115"/>
          <w:spacing w:val="0"/>
          <w:sz w:val="24"/>
          <w:szCs w:val="24"/>
          <w:shd w:val="clear" w:fill="FFFFFF"/>
        </w:rPr>
        <w:t>课程：</w:t>
      </w:r>
      <w:r>
        <w:rPr>
          <w:rFonts w:hint="eastAsia" w:asciiTheme="minorEastAsia" w:hAnsiTheme="minorEastAsia" w:eastAsiaTheme="minorEastAsia" w:cstheme="minorEastAsia"/>
          <w:b w:val="0"/>
          <w:bCs w:val="0"/>
          <w:i w:val="0"/>
          <w:iCs w:val="0"/>
          <w:caps w:val="0"/>
          <w:color w:val="0F1115"/>
          <w:spacing w:val="0"/>
          <w:sz w:val="24"/>
          <w:szCs w:val="24"/>
          <w:shd w:val="clear" w:fill="FFFFFF"/>
        </w:rPr>
        <w:t>严格按照《本科课程考试试卷档案归档目录》（纸质版）检查，确保包含：期末试题、标准答案及评分标准、学生成绩单、平时成绩登记表、班级成绩分析表、课程试卷及成绩分析表（试卷类）、答题册、试卷审核表等全套材料</w:t>
      </w:r>
      <w:r>
        <w:rPr>
          <w:rFonts w:hint="eastAsia" w:asciiTheme="minorEastAsia" w:hAnsiTheme="minorEastAsia" w:eastAsiaTheme="minorEastAsia" w:cstheme="minorEastAsia"/>
          <w:b w:val="0"/>
          <w:bCs w:val="0"/>
          <w:i w:val="0"/>
          <w:iCs w:val="0"/>
          <w:caps w:val="0"/>
          <w:color w:val="0F1115"/>
          <w:spacing w:val="0"/>
          <w:sz w:val="24"/>
          <w:szCs w:val="24"/>
          <w:shd w:val="clear" w:fill="FFFFFF"/>
          <w:lang w:eastAsia="zh-CN"/>
        </w:rPr>
        <w:t>。</w:t>
      </w:r>
    </w:p>
    <w:p w14:paraId="4071D32A">
      <w:pPr>
        <w:keepNext w:val="0"/>
        <w:keepLines w:val="0"/>
        <w:pageBreakBefore w:val="0"/>
        <w:widowControl/>
        <w:numPr>
          <w:ilvl w:val="0"/>
          <w:numId w:val="0"/>
        </w:numPr>
        <w:kinsoku/>
        <w:wordWrap/>
        <w:overflowPunct/>
        <w:topLinePunct w:val="0"/>
        <w:autoSpaceDE/>
        <w:autoSpaceDN/>
        <w:bidi w:val="0"/>
        <w:adjustRightInd/>
        <w:snapToGrid/>
        <w:ind w:firstLine="482" w:firstLineChars="200"/>
        <w:textAlignment w:val="auto"/>
        <w:rPr>
          <w:rFonts w:hint="eastAsia" w:asciiTheme="minorEastAsia" w:hAnsiTheme="minorEastAsia" w:eastAsiaTheme="minorEastAsia" w:cstheme="minorEastAsia"/>
          <w:i w:val="0"/>
          <w:iCs w:val="0"/>
          <w:caps w:val="0"/>
          <w:color w:val="0F1115"/>
          <w:spacing w:val="0"/>
          <w:sz w:val="24"/>
          <w:szCs w:val="24"/>
          <w:shd w:val="clear" w:fill="FFFFFF"/>
          <w:lang w:eastAsia="zh-CN"/>
        </w:rPr>
      </w:pPr>
      <w:r>
        <w:rPr>
          <w:rFonts w:hint="eastAsia" w:asciiTheme="minorEastAsia" w:hAnsiTheme="minorEastAsia" w:eastAsiaTheme="minorEastAsia" w:cstheme="minorEastAsia"/>
          <w:b/>
          <w:bCs/>
          <w:i w:val="0"/>
          <w:iCs w:val="0"/>
          <w:caps w:val="0"/>
          <w:color w:val="0F1115"/>
          <w:spacing w:val="0"/>
          <w:sz w:val="24"/>
          <w:szCs w:val="24"/>
          <w:shd w:val="clear" w:fill="FFFFFF"/>
          <w:lang w:val="en-US" w:eastAsia="zh-CN"/>
        </w:rPr>
        <w:t>（二）</w:t>
      </w:r>
      <w:r>
        <w:rPr>
          <w:rFonts w:hint="eastAsia" w:asciiTheme="minorEastAsia" w:hAnsiTheme="minorEastAsia" w:eastAsiaTheme="minorEastAsia" w:cstheme="minorEastAsia"/>
          <w:b/>
          <w:bCs/>
          <w:i w:val="0"/>
          <w:iCs w:val="0"/>
          <w:caps w:val="0"/>
          <w:color w:val="0F1115"/>
          <w:spacing w:val="0"/>
          <w:sz w:val="24"/>
          <w:szCs w:val="24"/>
          <w:shd w:val="clear" w:fill="FFFFFF"/>
        </w:rPr>
        <w:t>机考及考查课程</w:t>
      </w:r>
      <w:r>
        <w:rPr>
          <w:rFonts w:hint="eastAsia" w:asciiTheme="minorEastAsia" w:hAnsiTheme="minorEastAsia" w:eastAsiaTheme="minorEastAsia" w:cstheme="minorEastAsia"/>
          <w:i w:val="0"/>
          <w:iCs w:val="0"/>
          <w:caps w:val="0"/>
          <w:color w:val="0F1115"/>
          <w:spacing w:val="0"/>
          <w:sz w:val="24"/>
          <w:szCs w:val="24"/>
          <w:shd w:val="clear" w:fill="FFFFFF"/>
        </w:rPr>
        <w:t>：严格按照《本科课程考试试卷档案归档目录（机考）》检查。注意：成绩单、分析表签名处均需电子签章或签字盖章后扫描；</w:t>
      </w:r>
      <w:r>
        <w:rPr>
          <w:rFonts w:hint="eastAsia" w:asciiTheme="minorEastAsia" w:hAnsiTheme="minorEastAsia" w:eastAsiaTheme="minorEastAsia" w:cstheme="minorEastAsia"/>
          <w:sz w:val="24"/>
          <w:szCs w:val="24"/>
        </w:rPr>
        <w:t>课程考核成绩分析表（非试卷类）</w:t>
      </w:r>
      <w:r>
        <w:rPr>
          <w:rFonts w:hint="eastAsia" w:asciiTheme="minorEastAsia" w:hAnsiTheme="minorEastAsia" w:eastAsiaTheme="minorEastAsia" w:cstheme="minorEastAsia"/>
          <w:sz w:val="24"/>
          <w:szCs w:val="24"/>
          <w:lang w:val="en-US" w:eastAsia="zh-CN"/>
        </w:rPr>
        <w:t>需要任课教师自行计算数据进行填写</w:t>
      </w:r>
      <w:r>
        <w:rPr>
          <w:rFonts w:hint="eastAsia" w:asciiTheme="minorEastAsia" w:hAnsiTheme="minorEastAsia" w:eastAsiaTheme="minorEastAsia" w:cstheme="minorEastAsia"/>
          <w:i w:val="0"/>
          <w:iCs w:val="0"/>
          <w:caps w:val="0"/>
          <w:color w:val="0F1115"/>
          <w:spacing w:val="0"/>
          <w:sz w:val="24"/>
          <w:szCs w:val="24"/>
          <w:shd w:val="clear" w:fill="FFFFFF"/>
        </w:rPr>
        <w:t>；需</w:t>
      </w:r>
      <w:r>
        <w:rPr>
          <w:rFonts w:hint="eastAsia" w:asciiTheme="minorEastAsia" w:hAnsiTheme="minorEastAsia" w:eastAsiaTheme="minorEastAsia" w:cstheme="minorEastAsia"/>
          <w:i w:val="0"/>
          <w:iCs w:val="0"/>
          <w:caps w:val="0"/>
          <w:color w:val="0F1115"/>
          <w:spacing w:val="0"/>
          <w:sz w:val="24"/>
          <w:szCs w:val="24"/>
          <w:shd w:val="clear" w:fill="FFFFFF"/>
          <w:lang w:val="en-US" w:eastAsia="zh-CN"/>
        </w:rPr>
        <w:t>每个班级写一份</w:t>
      </w:r>
      <w:r>
        <w:rPr>
          <w:rFonts w:hint="eastAsia" w:asciiTheme="minorEastAsia" w:hAnsiTheme="minorEastAsia" w:eastAsiaTheme="minorEastAsia" w:cstheme="minorEastAsia"/>
          <w:i w:val="0"/>
          <w:iCs w:val="0"/>
          <w:caps w:val="0"/>
          <w:color w:val="0F1115"/>
          <w:spacing w:val="0"/>
          <w:sz w:val="24"/>
          <w:szCs w:val="24"/>
          <w:shd w:val="clear" w:fill="FFFFFF"/>
        </w:rPr>
        <w:t>做复核说明</w:t>
      </w:r>
      <w:r>
        <w:rPr>
          <w:rFonts w:hint="eastAsia" w:asciiTheme="minorEastAsia" w:hAnsiTheme="minorEastAsia" w:eastAsiaTheme="minorEastAsia" w:cstheme="minorEastAsia"/>
          <w:i w:val="0"/>
          <w:iCs w:val="0"/>
          <w:caps w:val="0"/>
          <w:color w:val="0F1115"/>
          <w:spacing w:val="0"/>
          <w:sz w:val="24"/>
          <w:szCs w:val="24"/>
          <w:shd w:val="clear" w:fill="FFFFFF"/>
          <w:lang w:eastAsia="zh-CN"/>
        </w:rPr>
        <w:t>。</w:t>
      </w:r>
    </w:p>
    <w:p w14:paraId="0F77ADBC">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82" w:firstLineChars="200"/>
        <w:jc w:val="left"/>
        <w:textAlignment w:val="auto"/>
        <w:rPr>
          <w:rFonts w:hint="eastAsia" w:asciiTheme="minorEastAsia" w:hAnsiTheme="minorEastAsia" w:eastAsiaTheme="minorEastAsia" w:cstheme="minorEastAsia"/>
          <w:b/>
          <w:bCs/>
          <w:i w:val="0"/>
          <w:iCs w:val="0"/>
          <w:caps w:val="0"/>
          <w:color w:val="000000"/>
          <w:spacing w:val="0"/>
          <w:sz w:val="24"/>
          <w:szCs w:val="24"/>
          <w:shd w:val="clear" w:fill="FFFFFF"/>
          <w:lang w:val="en-US" w:eastAsia="zh-CN"/>
        </w:rPr>
      </w:pPr>
      <w:r>
        <w:rPr>
          <w:rFonts w:hint="eastAsia" w:asciiTheme="minorEastAsia" w:hAnsiTheme="minorEastAsia" w:eastAsiaTheme="minorEastAsia" w:cstheme="minorEastAsia"/>
          <w:b/>
          <w:bCs/>
          <w:i w:val="0"/>
          <w:iCs w:val="0"/>
          <w:caps w:val="0"/>
          <w:color w:val="0F1115"/>
          <w:spacing w:val="0"/>
          <w:sz w:val="24"/>
          <w:szCs w:val="24"/>
          <w:shd w:val="clear" w:fill="FFFFFF"/>
          <w:lang w:val="en-US" w:eastAsia="zh-CN"/>
        </w:rPr>
        <w:t>（三）</w:t>
      </w:r>
      <w:r>
        <w:rPr>
          <w:rFonts w:hint="eastAsia" w:asciiTheme="minorEastAsia" w:hAnsiTheme="minorEastAsia" w:eastAsiaTheme="minorEastAsia" w:cstheme="minorEastAsia"/>
          <w:b/>
          <w:bCs/>
          <w:i w:val="0"/>
          <w:iCs w:val="0"/>
          <w:caps w:val="0"/>
          <w:color w:val="000000"/>
          <w:spacing w:val="0"/>
          <w:sz w:val="24"/>
          <w:szCs w:val="24"/>
          <w:shd w:val="clear" w:fill="FFFFFF"/>
          <w:lang w:val="en-US" w:eastAsia="zh-CN"/>
        </w:rPr>
        <w:t>各项材料说明</w:t>
      </w:r>
    </w:p>
    <w:p w14:paraId="7C463269">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80" w:firstLineChars="200"/>
        <w:jc w:val="left"/>
        <w:textAlignment w:val="auto"/>
        <w:rPr>
          <w:rFonts w:hint="eastAsia" w:asciiTheme="minorEastAsia" w:hAnsiTheme="minorEastAsia" w:eastAsiaTheme="minorEastAsia" w:cstheme="minorEastAsia"/>
          <w:i w:val="0"/>
          <w:iCs w:val="0"/>
          <w:caps w:val="0"/>
          <w:color w:val="000000"/>
          <w:spacing w:val="0"/>
          <w:sz w:val="24"/>
          <w:szCs w:val="24"/>
        </w:rPr>
      </w:pPr>
      <w:r>
        <w:rPr>
          <w:rFonts w:hint="eastAsia" w:asciiTheme="minorEastAsia" w:hAnsiTheme="minorEastAsia" w:eastAsiaTheme="minorEastAsia" w:cstheme="minorEastAsia"/>
          <w:i w:val="0"/>
          <w:iCs w:val="0"/>
          <w:caps w:val="0"/>
          <w:color w:val="000000"/>
          <w:spacing w:val="0"/>
          <w:sz w:val="24"/>
          <w:szCs w:val="24"/>
          <w:shd w:val="clear" w:fill="FFFFFF"/>
          <w:lang w:val="en-US" w:eastAsia="zh-CN"/>
        </w:rPr>
        <w:t xml:space="preserve">3.1 </w:t>
      </w:r>
      <w:r>
        <w:rPr>
          <w:rFonts w:hint="eastAsia" w:asciiTheme="minorEastAsia" w:hAnsiTheme="minorEastAsia" w:eastAsiaTheme="minorEastAsia" w:cstheme="minorEastAsia"/>
          <w:i w:val="0"/>
          <w:iCs w:val="0"/>
          <w:caps w:val="0"/>
          <w:color w:val="000000"/>
          <w:spacing w:val="0"/>
          <w:sz w:val="24"/>
          <w:szCs w:val="24"/>
          <w:shd w:val="clear" w:fill="FFFFFF"/>
        </w:rPr>
        <w:t>材料1《期末考试试题》和材料2《标准答案及评分标准》：需要提供A4版本原稿（A或B卷一套）。</w:t>
      </w:r>
    </w:p>
    <w:p w14:paraId="6609E913">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80" w:firstLineChars="200"/>
        <w:jc w:val="left"/>
        <w:textAlignment w:val="auto"/>
        <w:rPr>
          <w:rFonts w:hint="eastAsia" w:asciiTheme="minorEastAsia" w:hAnsiTheme="minorEastAsia" w:eastAsiaTheme="minorEastAsia" w:cstheme="minorEastAsia"/>
          <w:i w:val="0"/>
          <w:iCs w:val="0"/>
          <w:caps w:val="0"/>
          <w:color w:val="000000"/>
          <w:spacing w:val="0"/>
          <w:sz w:val="24"/>
          <w:szCs w:val="24"/>
        </w:rPr>
      </w:pPr>
      <w:r>
        <w:rPr>
          <w:rFonts w:hint="eastAsia" w:asciiTheme="minorEastAsia" w:hAnsiTheme="minorEastAsia" w:eastAsiaTheme="minorEastAsia" w:cstheme="minorEastAsia"/>
          <w:i w:val="0"/>
          <w:iCs w:val="0"/>
          <w:caps w:val="0"/>
          <w:color w:val="000000"/>
          <w:spacing w:val="0"/>
          <w:sz w:val="24"/>
          <w:szCs w:val="24"/>
          <w:shd w:val="clear" w:fill="FFFFFF"/>
          <w:lang w:val="en-US" w:eastAsia="zh-CN"/>
        </w:rPr>
        <w:t xml:space="preserve">3.2 </w:t>
      </w:r>
      <w:r>
        <w:rPr>
          <w:rFonts w:hint="eastAsia" w:asciiTheme="minorEastAsia" w:hAnsiTheme="minorEastAsia" w:eastAsiaTheme="minorEastAsia" w:cstheme="minorEastAsia"/>
          <w:i w:val="0"/>
          <w:iCs w:val="0"/>
          <w:caps w:val="0"/>
          <w:color w:val="000000"/>
          <w:spacing w:val="0"/>
          <w:sz w:val="24"/>
          <w:szCs w:val="24"/>
          <w:shd w:val="clear" w:fill="FFFFFF"/>
        </w:rPr>
        <w:t>材料3《学生成绩单》和材料4《学生平时成绩登记表》：需核对人数，即平时成绩登记表人数应与成绩单人数一致；在成绩单“考试简况”实到人数应与答题册数一致。若人数与归档答题册不符，需填写《归档材料补充说明》记录并说明相关情况，例如：“实到人数47人，缺考人数2人，答题册只有46份，答题册数量与实到人数不一致的原因在于有一名考生因考试作弊被上缴答题册。”</w:t>
      </w:r>
    </w:p>
    <w:p w14:paraId="4849F328">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80" w:firstLineChars="200"/>
        <w:jc w:val="left"/>
        <w:textAlignment w:val="auto"/>
        <w:rPr>
          <w:rFonts w:hint="eastAsia" w:asciiTheme="minorEastAsia" w:hAnsiTheme="minorEastAsia" w:eastAsiaTheme="minorEastAsia" w:cstheme="minorEastAsia"/>
          <w:i w:val="0"/>
          <w:iCs w:val="0"/>
          <w:caps w:val="0"/>
          <w:color w:val="000000"/>
          <w:spacing w:val="0"/>
          <w:sz w:val="24"/>
          <w:szCs w:val="24"/>
        </w:rPr>
      </w:pPr>
      <w:r>
        <w:rPr>
          <w:rFonts w:hint="eastAsia" w:asciiTheme="minorEastAsia" w:hAnsiTheme="minorEastAsia" w:eastAsiaTheme="minorEastAsia" w:cstheme="minorEastAsia"/>
          <w:i w:val="0"/>
          <w:iCs w:val="0"/>
          <w:caps w:val="0"/>
          <w:color w:val="000000"/>
          <w:spacing w:val="0"/>
          <w:sz w:val="24"/>
          <w:szCs w:val="24"/>
          <w:shd w:val="clear" w:fill="FFFFFF"/>
          <w:lang w:val="en-US" w:eastAsia="zh-CN"/>
        </w:rPr>
        <w:t xml:space="preserve">3.3 </w:t>
      </w:r>
      <w:r>
        <w:rPr>
          <w:rFonts w:hint="eastAsia" w:asciiTheme="minorEastAsia" w:hAnsiTheme="minorEastAsia" w:eastAsiaTheme="minorEastAsia" w:cstheme="minorEastAsia"/>
          <w:i w:val="0"/>
          <w:iCs w:val="0"/>
          <w:caps w:val="0"/>
          <w:color w:val="000000"/>
          <w:spacing w:val="0"/>
          <w:sz w:val="24"/>
          <w:szCs w:val="24"/>
          <w:shd w:val="clear" w:fill="FFFFFF"/>
        </w:rPr>
        <w:t>材料4《学生平时成绩登记表》：统一使用广东金融学院学生平时成绩登记表word版，记录分数时需详细注明分数来源，例如：签到、答题、课程论文、小组讨论、作业1、作业2等。</w:t>
      </w:r>
    </w:p>
    <w:p w14:paraId="1F8E5F31">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80" w:firstLineChars="200"/>
        <w:jc w:val="left"/>
        <w:textAlignment w:val="auto"/>
        <w:rPr>
          <w:rFonts w:hint="eastAsia" w:asciiTheme="minorEastAsia" w:hAnsiTheme="minorEastAsia" w:eastAsiaTheme="minorEastAsia" w:cstheme="minorEastAsia"/>
          <w:i w:val="0"/>
          <w:iCs w:val="0"/>
          <w:caps w:val="0"/>
          <w:color w:val="000000"/>
          <w:spacing w:val="0"/>
          <w:sz w:val="24"/>
          <w:szCs w:val="24"/>
        </w:rPr>
      </w:pPr>
      <w:r>
        <w:rPr>
          <w:rFonts w:hint="eastAsia" w:asciiTheme="minorEastAsia" w:hAnsiTheme="minorEastAsia" w:eastAsiaTheme="minorEastAsia" w:cstheme="minorEastAsia"/>
          <w:i w:val="0"/>
          <w:iCs w:val="0"/>
          <w:caps w:val="0"/>
          <w:color w:val="000000"/>
          <w:spacing w:val="0"/>
          <w:sz w:val="24"/>
          <w:szCs w:val="24"/>
          <w:shd w:val="clear" w:fill="FFFFFF"/>
          <w:lang w:val="en-US" w:eastAsia="zh-CN"/>
        </w:rPr>
        <w:t xml:space="preserve">3.4 </w:t>
      </w:r>
      <w:r>
        <w:rPr>
          <w:rFonts w:hint="eastAsia" w:asciiTheme="minorEastAsia" w:hAnsiTheme="minorEastAsia" w:eastAsiaTheme="minorEastAsia" w:cstheme="minorEastAsia"/>
          <w:i w:val="0"/>
          <w:iCs w:val="0"/>
          <w:caps w:val="0"/>
          <w:color w:val="000000"/>
          <w:spacing w:val="0"/>
          <w:sz w:val="24"/>
          <w:szCs w:val="24"/>
          <w:shd w:val="clear" w:fill="FFFFFF"/>
        </w:rPr>
        <w:t>材料6《课程试卷及成绩分析表》：表中的试卷情况、改进措施、考试结果分析、改进教学建议的字数一般要求在200字左右。</w:t>
      </w:r>
    </w:p>
    <w:p w14:paraId="33FA9CBD">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80" w:firstLineChars="200"/>
        <w:jc w:val="left"/>
        <w:textAlignment w:val="auto"/>
        <w:rPr>
          <w:rFonts w:hint="eastAsia" w:asciiTheme="minorEastAsia" w:hAnsiTheme="minorEastAsia" w:eastAsiaTheme="minorEastAsia" w:cstheme="minorEastAsia"/>
          <w:i w:val="0"/>
          <w:iCs w:val="0"/>
          <w:caps w:val="0"/>
          <w:color w:val="000000"/>
          <w:spacing w:val="0"/>
          <w:sz w:val="24"/>
          <w:szCs w:val="24"/>
        </w:rPr>
      </w:pPr>
      <w:r>
        <w:rPr>
          <w:rFonts w:hint="eastAsia" w:asciiTheme="minorEastAsia" w:hAnsiTheme="minorEastAsia" w:eastAsiaTheme="minorEastAsia" w:cstheme="minorEastAsia"/>
          <w:i w:val="0"/>
          <w:iCs w:val="0"/>
          <w:caps w:val="0"/>
          <w:color w:val="000000"/>
          <w:spacing w:val="0"/>
          <w:sz w:val="24"/>
          <w:szCs w:val="24"/>
          <w:shd w:val="clear" w:fill="FFFFFF"/>
        </w:rPr>
        <w:t>针对同一个课程代码但拆分多份不同试卷的情况，成绩统计数据以各教学单位实际核算的数据为准。若课程不及格率或优秀率达到30%（含）且低于40%，由教研室撰写成绩异常分析报告；若课程不及格率或优秀率达到40%（含）以上，由二级教学单位撰写课程考核整改意见。</w:t>
      </w:r>
    </w:p>
    <w:p w14:paraId="6ACE5722">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80" w:firstLineChars="200"/>
        <w:jc w:val="left"/>
        <w:textAlignment w:val="auto"/>
        <w:rPr>
          <w:rFonts w:hint="eastAsia" w:asciiTheme="minorEastAsia" w:hAnsiTheme="minorEastAsia" w:eastAsiaTheme="minorEastAsia" w:cstheme="minorEastAsia"/>
          <w:i w:val="0"/>
          <w:iCs w:val="0"/>
          <w:caps w:val="0"/>
          <w:color w:val="000000"/>
          <w:spacing w:val="0"/>
          <w:sz w:val="24"/>
          <w:szCs w:val="24"/>
        </w:rPr>
      </w:pPr>
      <w:r>
        <w:rPr>
          <w:rFonts w:hint="eastAsia" w:asciiTheme="minorEastAsia" w:hAnsiTheme="minorEastAsia" w:eastAsiaTheme="minorEastAsia" w:cstheme="minorEastAsia"/>
          <w:i w:val="0"/>
          <w:iCs w:val="0"/>
          <w:caps w:val="0"/>
          <w:color w:val="000000"/>
          <w:spacing w:val="0"/>
          <w:sz w:val="24"/>
          <w:szCs w:val="24"/>
          <w:shd w:val="clear" w:fill="FFFFFF"/>
          <w:lang w:val="en-US" w:eastAsia="zh-CN"/>
        </w:rPr>
        <w:t xml:space="preserve">3.5 </w:t>
      </w:r>
      <w:r>
        <w:rPr>
          <w:rFonts w:hint="eastAsia" w:asciiTheme="minorEastAsia" w:hAnsiTheme="minorEastAsia" w:eastAsiaTheme="minorEastAsia" w:cstheme="minorEastAsia"/>
          <w:i w:val="0"/>
          <w:iCs w:val="0"/>
          <w:caps w:val="0"/>
          <w:color w:val="000000"/>
          <w:spacing w:val="0"/>
          <w:sz w:val="24"/>
          <w:szCs w:val="24"/>
          <w:shd w:val="clear" w:fill="FFFFFF"/>
        </w:rPr>
        <w:t>材料7《期末考试专用答题册》：按照学号顺序由小到大排列叠放。</w:t>
      </w:r>
    </w:p>
    <w:p w14:paraId="62C8C4E4">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80" w:firstLineChars="200"/>
        <w:jc w:val="left"/>
        <w:textAlignment w:val="auto"/>
        <w:rPr>
          <w:rFonts w:hint="eastAsia" w:asciiTheme="minorEastAsia" w:hAnsiTheme="minorEastAsia" w:eastAsiaTheme="minorEastAsia" w:cstheme="minorEastAsia"/>
          <w:i w:val="0"/>
          <w:iCs w:val="0"/>
          <w:caps w:val="0"/>
          <w:color w:val="000000"/>
          <w:spacing w:val="0"/>
          <w:sz w:val="24"/>
          <w:szCs w:val="24"/>
          <w:shd w:val="clear" w:fill="FFFFFF"/>
        </w:rPr>
      </w:pPr>
      <w:r>
        <w:rPr>
          <w:rFonts w:hint="eastAsia" w:asciiTheme="minorEastAsia" w:hAnsiTheme="minorEastAsia" w:eastAsiaTheme="minorEastAsia" w:cstheme="minorEastAsia"/>
          <w:i w:val="0"/>
          <w:iCs w:val="0"/>
          <w:caps w:val="0"/>
          <w:color w:val="000000"/>
          <w:spacing w:val="0"/>
          <w:sz w:val="24"/>
          <w:szCs w:val="24"/>
          <w:shd w:val="clear" w:fill="FFFFFF"/>
          <w:lang w:val="en-US" w:eastAsia="zh-CN"/>
        </w:rPr>
        <w:t xml:space="preserve">3.6 </w:t>
      </w:r>
      <w:r>
        <w:rPr>
          <w:rFonts w:hint="eastAsia" w:asciiTheme="minorEastAsia" w:hAnsiTheme="minorEastAsia" w:eastAsiaTheme="minorEastAsia" w:cstheme="minorEastAsia"/>
          <w:i w:val="0"/>
          <w:iCs w:val="0"/>
          <w:caps w:val="0"/>
          <w:color w:val="000000"/>
          <w:spacing w:val="0"/>
          <w:sz w:val="24"/>
          <w:szCs w:val="24"/>
          <w:shd w:val="clear" w:fill="FFFFFF"/>
        </w:rPr>
        <w:t>机考科目试卷归档材料统一采用电子版本保存，归档内容包含7项基础材料及1项试卷审核表，具体归档明细详见附件 2《本科课程考试试卷档案归档目录（机考）》。</w:t>
      </w:r>
    </w:p>
    <w:p w14:paraId="722DA2EF">
      <w:pPr>
        <w:spacing w:before="0" w:after="0" w:line="360" w:lineRule="auto"/>
        <w:ind w:firstLine="482" w:firstLineChars="200"/>
        <w:rPr>
          <w:rFonts w:hint="eastAsia" w:asciiTheme="minorEastAsia" w:hAnsiTheme="minorEastAsia" w:eastAsiaTheme="minorEastAsia" w:cstheme="minorEastAsia"/>
          <w:b/>
          <w:bCs/>
          <w:i w:val="0"/>
          <w:iCs w:val="0"/>
          <w:caps w:val="0"/>
          <w:color w:val="000000"/>
          <w:spacing w:val="0"/>
          <w:sz w:val="24"/>
          <w:szCs w:val="24"/>
          <w:shd w:val="clear" w:fill="FFFFFF"/>
          <w:lang w:val="en-US" w:eastAsia="zh-CN"/>
        </w:rPr>
      </w:pPr>
      <w:r>
        <w:rPr>
          <w:rFonts w:hint="eastAsia" w:asciiTheme="minorEastAsia" w:hAnsiTheme="minorEastAsia" w:eastAsiaTheme="minorEastAsia" w:cstheme="minorEastAsia"/>
          <w:b/>
          <w:bCs/>
          <w:i w:val="0"/>
          <w:iCs w:val="0"/>
          <w:caps w:val="0"/>
          <w:color w:val="000000"/>
          <w:spacing w:val="0"/>
          <w:sz w:val="24"/>
          <w:szCs w:val="24"/>
          <w:shd w:val="clear" w:fill="FFFFFF"/>
          <w:lang w:eastAsia="zh-CN"/>
        </w:rPr>
        <w:t>（</w:t>
      </w:r>
      <w:r>
        <w:rPr>
          <w:rFonts w:hint="eastAsia" w:asciiTheme="minorEastAsia" w:hAnsiTheme="minorEastAsia" w:eastAsiaTheme="minorEastAsia" w:cstheme="minorEastAsia"/>
          <w:b/>
          <w:bCs/>
          <w:i w:val="0"/>
          <w:iCs w:val="0"/>
          <w:caps w:val="0"/>
          <w:color w:val="000000"/>
          <w:spacing w:val="0"/>
          <w:sz w:val="24"/>
          <w:szCs w:val="24"/>
          <w:shd w:val="clear" w:fill="FFFFFF"/>
          <w:lang w:val="en-US" w:eastAsia="zh-CN"/>
        </w:rPr>
        <w:t>四</w:t>
      </w:r>
      <w:r>
        <w:rPr>
          <w:rFonts w:hint="eastAsia" w:asciiTheme="minorEastAsia" w:hAnsiTheme="minorEastAsia" w:eastAsiaTheme="minorEastAsia" w:cstheme="minorEastAsia"/>
          <w:b/>
          <w:bCs/>
          <w:i w:val="0"/>
          <w:iCs w:val="0"/>
          <w:caps w:val="0"/>
          <w:color w:val="000000"/>
          <w:spacing w:val="0"/>
          <w:sz w:val="24"/>
          <w:szCs w:val="24"/>
          <w:shd w:val="clear" w:fill="FFFFFF"/>
          <w:lang w:eastAsia="zh-CN"/>
        </w:rPr>
        <w:t>）</w:t>
      </w:r>
      <w:r>
        <w:rPr>
          <w:rFonts w:hint="eastAsia" w:asciiTheme="minorEastAsia" w:hAnsiTheme="minorEastAsia" w:eastAsiaTheme="minorEastAsia" w:cstheme="minorEastAsia"/>
          <w:b/>
          <w:bCs/>
          <w:i w:val="0"/>
          <w:iCs w:val="0"/>
          <w:caps w:val="0"/>
          <w:color w:val="000000"/>
          <w:spacing w:val="0"/>
          <w:sz w:val="24"/>
          <w:szCs w:val="24"/>
          <w:shd w:val="clear" w:fill="FFFFFF"/>
          <w:lang w:val="en-US" w:eastAsia="zh-CN"/>
        </w:rPr>
        <w:t>自查工作：</w:t>
      </w:r>
    </w:p>
    <w:p w14:paraId="7847E299">
      <w:pPr>
        <w:spacing w:before="0" w:after="0" w:line="360" w:lineRule="auto"/>
        <w:ind w:firstLine="480" w:firstLineChars="200"/>
        <w:rPr>
          <w:rFonts w:hint="default" w:eastAsia="宋体"/>
          <w:lang w:val="en-US" w:eastAsia="zh-CN"/>
        </w:rPr>
      </w:pPr>
      <w:r>
        <w:rPr>
          <w:rFonts w:ascii="Times New Roman" w:hAnsi="Times New Roman" w:eastAsia="宋体"/>
          <w:b w:val="0"/>
          <w:color w:val="000000"/>
          <w:sz w:val="24"/>
        </w:rPr>
        <w:t>每位任课教师须在自查基础上提交不少于1000字的《试卷检查结果报告》，报告包括五个模块：一</w:t>
      </w:r>
      <w:r>
        <w:rPr>
          <w:rFonts w:hint="eastAsia"/>
          <w:b w:val="0"/>
          <w:color w:val="000000"/>
          <w:sz w:val="24"/>
          <w:lang w:eastAsia="zh-CN"/>
        </w:rPr>
        <w:t>、</w:t>
      </w:r>
      <w:r>
        <w:rPr>
          <w:rFonts w:ascii="Times New Roman" w:hAnsi="Times New Roman" w:eastAsia="宋体"/>
          <w:b w:val="0"/>
          <w:color w:val="000000"/>
          <w:sz w:val="24"/>
        </w:rPr>
        <w:t>课程与试卷基本情况（课程名称、课程类型、学年学期、考核方式、班级及人数、试卷套数等）；二</w:t>
      </w:r>
      <w:r>
        <w:rPr>
          <w:rFonts w:hint="eastAsia"/>
          <w:b w:val="0"/>
          <w:color w:val="000000"/>
          <w:sz w:val="24"/>
          <w:lang w:eastAsia="zh-CN"/>
        </w:rPr>
        <w:t>、</w:t>
      </w:r>
      <w:r>
        <w:rPr>
          <w:rFonts w:ascii="Times New Roman" w:hAnsi="Times New Roman" w:eastAsia="宋体"/>
          <w:b w:val="0"/>
          <w:color w:val="000000"/>
          <w:sz w:val="24"/>
        </w:rPr>
        <w:t>命题规范与“两性一度”自查情况（命题与教学大纲符合度、卷面规范，高阶性、创新性、挑战度逐项自查结论）；三</w:t>
      </w:r>
      <w:r>
        <w:rPr>
          <w:rFonts w:hint="eastAsia"/>
          <w:b w:val="0"/>
          <w:color w:val="000000"/>
          <w:sz w:val="24"/>
          <w:lang w:eastAsia="zh-CN"/>
        </w:rPr>
        <w:t>、</w:t>
      </w:r>
      <w:r>
        <w:rPr>
          <w:rFonts w:ascii="Times New Roman" w:hAnsi="Times New Roman" w:eastAsia="宋体"/>
          <w:b w:val="0"/>
          <w:color w:val="000000"/>
          <w:sz w:val="24"/>
        </w:rPr>
        <w:t>成绩统计分析（对最终成绩、平时成绩、试卷成绩分别统计分析，并作出是否符合“两性一度”要求的判断）；四</w:t>
      </w:r>
      <w:r>
        <w:rPr>
          <w:rFonts w:hint="eastAsia"/>
          <w:b w:val="0"/>
          <w:color w:val="000000"/>
          <w:sz w:val="24"/>
          <w:lang w:eastAsia="zh-CN"/>
        </w:rPr>
        <w:t>、</w:t>
      </w:r>
      <w:r>
        <w:rPr>
          <w:rFonts w:ascii="Times New Roman" w:hAnsi="Times New Roman" w:eastAsia="宋体"/>
          <w:b w:val="0"/>
          <w:color w:val="000000"/>
          <w:sz w:val="24"/>
        </w:rPr>
        <w:t>发现的问题与不足；五</w:t>
      </w:r>
      <w:r>
        <w:rPr>
          <w:rFonts w:hint="eastAsia"/>
          <w:b w:val="0"/>
          <w:color w:val="000000"/>
          <w:sz w:val="24"/>
          <w:lang w:eastAsia="zh-CN"/>
        </w:rPr>
        <w:t>、</w:t>
      </w:r>
      <w:r>
        <w:rPr>
          <w:rFonts w:hint="eastAsia"/>
          <w:b w:val="0"/>
          <w:color w:val="000000"/>
          <w:sz w:val="24"/>
          <w:lang w:val="en-US" w:eastAsia="zh-CN"/>
        </w:rPr>
        <w:t>进行整改与汇报。</w:t>
      </w:r>
    </w:p>
    <w:p w14:paraId="7932A1D1">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80" w:firstLineChars="200"/>
        <w:jc w:val="left"/>
        <w:textAlignment w:val="auto"/>
        <w:rPr>
          <w:rFonts w:hint="eastAsia" w:asciiTheme="minorEastAsia" w:hAnsiTheme="minorEastAsia" w:eastAsiaTheme="minorEastAsia" w:cstheme="minorEastAsia"/>
          <w:i w:val="0"/>
          <w:iCs w:val="0"/>
          <w:caps w:val="0"/>
          <w:color w:val="000000"/>
          <w:spacing w:val="0"/>
          <w:sz w:val="24"/>
          <w:szCs w:val="24"/>
          <w:shd w:val="clear" w:fill="FFFFFF"/>
          <w:lang w:eastAsia="zh-CN"/>
        </w:rPr>
      </w:pPr>
    </w:p>
    <w:p w14:paraId="3F48673C">
      <w:pPr>
        <w:pStyle w:val="2"/>
        <w:pageBreakBefore w:val="0"/>
        <w:widowControl w:val="0"/>
        <w:kinsoku/>
        <w:wordWrap/>
        <w:overflowPunct/>
        <w:topLinePunct w:val="0"/>
        <w:autoSpaceDE/>
        <w:autoSpaceDN/>
        <w:bidi w:val="0"/>
        <w:adjustRightInd/>
        <w:snapToGrid/>
        <w:spacing w:before="0" w:beforeAutospacing="0" w:after="0" w:afterAutospacing="0" w:line="360" w:lineRule="auto"/>
        <w:ind w:firstLine="643" w:firstLineChars="200"/>
        <w:textAlignment w:val="auto"/>
      </w:pPr>
      <w:r>
        <w:rPr>
          <w:rFonts w:hint="eastAsia" w:ascii="Times New Roman" w:hAnsi="Times New Roman" w:eastAsia="黑体"/>
          <w:b/>
          <w:color w:val="000000"/>
          <w:sz w:val="32"/>
          <w:lang w:val="en-US" w:eastAsia="zh-CN"/>
        </w:rPr>
        <w:t>四</w:t>
      </w:r>
      <w:r>
        <w:rPr>
          <w:rFonts w:ascii="Times New Roman" w:hAnsi="Times New Roman" w:eastAsia="黑体"/>
          <w:b/>
          <w:color w:val="000000"/>
          <w:sz w:val="32"/>
        </w:rPr>
        <w:t>、检查内容与标准</w:t>
      </w:r>
    </w:p>
    <w:p w14:paraId="4A5F6636">
      <w:pPr>
        <w:pStyle w:val="3"/>
        <w:pageBreakBefore w:val="0"/>
        <w:widowControl w:val="0"/>
        <w:kinsoku/>
        <w:wordWrap/>
        <w:overflowPunct/>
        <w:topLinePunct w:val="0"/>
        <w:autoSpaceDE/>
        <w:autoSpaceDN/>
        <w:bidi w:val="0"/>
        <w:adjustRightInd/>
        <w:snapToGrid/>
        <w:spacing w:before="0" w:beforeAutospacing="0" w:after="0" w:afterAutospacing="0" w:line="360" w:lineRule="auto"/>
        <w:ind w:firstLine="562" w:firstLineChars="200"/>
        <w:textAlignment w:val="auto"/>
      </w:pPr>
      <w:r>
        <w:rPr>
          <w:rFonts w:ascii="Times New Roman" w:hAnsi="Times New Roman" w:eastAsia="黑体"/>
          <w:b/>
          <w:color w:val="000000"/>
          <w:sz w:val="28"/>
        </w:rPr>
        <w:t>（一）共性检查内容</w:t>
      </w:r>
    </w:p>
    <w:p w14:paraId="29C3A1FA">
      <w:pPr>
        <w:pageBreakBefore w:val="0"/>
        <w:widowControl w:val="0"/>
        <w:kinsoku/>
        <w:wordWrap/>
        <w:overflowPunct/>
        <w:topLinePunct w:val="0"/>
        <w:autoSpaceDE/>
        <w:autoSpaceDN/>
        <w:bidi w:val="0"/>
        <w:adjustRightInd/>
        <w:snapToGrid/>
        <w:spacing w:beforeAutospacing="0" w:afterAutospacing="0" w:line="360" w:lineRule="auto"/>
        <w:ind w:firstLine="480" w:firstLineChars="200"/>
        <w:textAlignment w:val="auto"/>
      </w:pPr>
      <w:r>
        <w:rPr>
          <w:rFonts w:ascii="Times New Roman" w:hAnsi="Times New Roman" w:eastAsia="宋体"/>
          <w:b w:val="0"/>
          <w:color w:val="000000"/>
          <w:sz w:val="24"/>
        </w:rPr>
        <w:t>1.命题与卷面规范。A/B卷是否齐全且不雷同；卷面要素（课程名称、学年学期、专业班级、考试时间、分值标注、答题要求等）是否完整；命题内容与教学大纲是否相符；题量与分值设置是否合理；参考答案与评分标准是否完整规范。</w:t>
      </w:r>
    </w:p>
    <w:p w14:paraId="571EB715">
      <w:pPr>
        <w:pageBreakBefore w:val="0"/>
        <w:widowControl w:val="0"/>
        <w:kinsoku/>
        <w:wordWrap/>
        <w:overflowPunct/>
        <w:topLinePunct w:val="0"/>
        <w:autoSpaceDE/>
        <w:autoSpaceDN/>
        <w:bidi w:val="0"/>
        <w:adjustRightInd/>
        <w:snapToGrid/>
        <w:spacing w:beforeAutospacing="0" w:afterAutospacing="0" w:line="360" w:lineRule="auto"/>
        <w:ind w:firstLine="480" w:firstLineChars="200"/>
        <w:textAlignment w:val="auto"/>
      </w:pPr>
      <w:r>
        <w:rPr>
          <w:rFonts w:ascii="Times New Roman" w:hAnsi="Times New Roman" w:eastAsia="宋体"/>
          <w:b w:val="0"/>
          <w:color w:val="000000"/>
          <w:sz w:val="24"/>
        </w:rPr>
        <w:t>2.阅卷与成绩管理。是否严格按评分标准评阅，统分核分是否准确；成绩登记是否规范完整；成绩分布是否合理（优秀率、不及格率等是否处于合理区间）；平时成绩、过程性考核材料是否齐全并留痕。</w:t>
      </w:r>
    </w:p>
    <w:p w14:paraId="2EE91E7D">
      <w:pPr>
        <w:pageBreakBefore w:val="0"/>
        <w:widowControl w:val="0"/>
        <w:kinsoku/>
        <w:wordWrap/>
        <w:overflowPunct/>
        <w:topLinePunct w:val="0"/>
        <w:autoSpaceDE/>
        <w:autoSpaceDN/>
        <w:bidi w:val="0"/>
        <w:adjustRightInd/>
        <w:snapToGrid/>
        <w:spacing w:beforeAutospacing="0" w:afterAutospacing="0" w:line="360" w:lineRule="auto"/>
        <w:ind w:firstLine="480" w:firstLineChars="200"/>
        <w:textAlignment w:val="auto"/>
        <w:rPr>
          <w:rFonts w:ascii="Times New Roman" w:hAnsi="Times New Roman" w:eastAsia="宋体"/>
          <w:b w:val="0"/>
          <w:color w:val="000000"/>
          <w:sz w:val="24"/>
        </w:rPr>
      </w:pPr>
      <w:r>
        <w:rPr>
          <w:rFonts w:ascii="Times New Roman" w:hAnsi="Times New Roman" w:eastAsia="宋体"/>
          <w:b w:val="0"/>
          <w:color w:val="000000"/>
          <w:sz w:val="24"/>
        </w:rPr>
        <w:t>3.“两性一度”总体要求。高阶性方面，试题结构是否体现知识、能力、素质有机融合，重点考查学生综合运用知识分析解决复杂问题的能力和高级思维，识记再现类题目占比是否过高；创新性方面，试题内容是否反映学科前沿与信用管理行业实际，是否注重设置开放性、探究性、情境化题目，是否有利于考查和激发学生创新思维；挑战度方面，试题难度是否具有合理梯度，是否设置一定比例的综合性、研究性提高题，区分度是否良好，能否让学生“跳一跳够得着”。</w:t>
      </w:r>
    </w:p>
    <w:p w14:paraId="145C54B3">
      <w:pPr>
        <w:pageBreakBefore w:val="0"/>
        <w:widowControl w:val="0"/>
        <w:kinsoku/>
        <w:wordWrap/>
        <w:overflowPunct/>
        <w:topLinePunct w:val="0"/>
        <w:autoSpaceDE/>
        <w:autoSpaceDN/>
        <w:bidi w:val="0"/>
        <w:adjustRightInd/>
        <w:snapToGrid/>
        <w:spacing w:beforeAutospacing="0" w:afterAutospacing="0" w:line="360" w:lineRule="auto"/>
        <w:ind w:firstLine="480" w:firstLineChars="200"/>
        <w:textAlignment w:val="auto"/>
        <w:rPr>
          <w:rFonts w:ascii="Times New Roman" w:hAnsi="Times New Roman" w:eastAsia="宋体"/>
          <w:b w:val="0"/>
          <w:color w:val="000000"/>
          <w:sz w:val="24"/>
        </w:rPr>
      </w:pPr>
    </w:p>
    <w:p w14:paraId="57B3EE54">
      <w:pPr>
        <w:pStyle w:val="3"/>
        <w:pageBreakBefore w:val="0"/>
        <w:widowControl w:val="0"/>
        <w:kinsoku/>
        <w:wordWrap/>
        <w:overflowPunct/>
        <w:topLinePunct w:val="0"/>
        <w:autoSpaceDE/>
        <w:autoSpaceDN/>
        <w:bidi w:val="0"/>
        <w:adjustRightInd/>
        <w:snapToGrid/>
        <w:spacing w:before="0" w:beforeAutospacing="0" w:after="0" w:afterAutospacing="0" w:line="360" w:lineRule="auto"/>
        <w:ind w:firstLine="562" w:firstLineChars="200"/>
        <w:textAlignment w:val="auto"/>
      </w:pPr>
      <w:r>
        <w:rPr>
          <w:rFonts w:ascii="Times New Roman" w:hAnsi="Times New Roman" w:eastAsia="黑体"/>
          <w:b/>
          <w:color w:val="000000"/>
          <w:sz w:val="28"/>
        </w:rPr>
        <w:t>（二）分课程类型检查重点</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6"/>
        <w:gridCol w:w="1910"/>
        <w:gridCol w:w="1910"/>
        <w:gridCol w:w="1756"/>
        <w:gridCol w:w="1910"/>
      </w:tblGrid>
      <w:tr w14:paraId="286BE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077" w:type="dxa"/>
            <w:shd w:val="clear" w:color="auto" w:fill="D9D9D9"/>
            <w:vAlign w:val="center"/>
          </w:tcPr>
          <w:p w14:paraId="69822E3A">
            <w:pPr>
              <w:spacing w:before="20" w:after="20" w:line="240" w:lineRule="auto"/>
              <w:ind w:firstLine="0" w:firstLineChars="0"/>
              <w:jc w:val="center"/>
            </w:pPr>
            <w:r>
              <w:rPr>
                <w:rFonts w:ascii="Times New Roman" w:hAnsi="Times New Roman" w:eastAsia="宋体"/>
                <w:b/>
                <w:color w:val="000000"/>
                <w:sz w:val="21"/>
              </w:rPr>
              <w:t>课程类型</w:t>
            </w:r>
          </w:p>
        </w:tc>
        <w:tc>
          <w:tcPr>
            <w:tcW w:w="2041" w:type="dxa"/>
            <w:shd w:val="clear" w:color="auto" w:fill="D9D9D9"/>
            <w:vAlign w:val="center"/>
          </w:tcPr>
          <w:p w14:paraId="064043EA">
            <w:pPr>
              <w:spacing w:before="20" w:after="20" w:line="240" w:lineRule="auto"/>
              <w:ind w:firstLine="0" w:firstLineChars="0"/>
              <w:jc w:val="center"/>
            </w:pPr>
            <w:r>
              <w:rPr>
                <w:rFonts w:ascii="Times New Roman" w:hAnsi="Times New Roman" w:eastAsia="宋体"/>
                <w:b/>
                <w:color w:val="000000"/>
                <w:sz w:val="21"/>
              </w:rPr>
              <w:t>高阶性检查重点</w:t>
            </w:r>
          </w:p>
        </w:tc>
        <w:tc>
          <w:tcPr>
            <w:tcW w:w="2041" w:type="dxa"/>
            <w:shd w:val="clear" w:color="auto" w:fill="D9D9D9"/>
            <w:vAlign w:val="center"/>
          </w:tcPr>
          <w:p w14:paraId="551240CE">
            <w:pPr>
              <w:spacing w:before="20" w:after="20" w:line="240" w:lineRule="auto"/>
              <w:ind w:firstLine="0" w:firstLineChars="0"/>
              <w:jc w:val="center"/>
            </w:pPr>
            <w:r>
              <w:rPr>
                <w:rFonts w:ascii="Times New Roman" w:hAnsi="Times New Roman" w:eastAsia="宋体"/>
                <w:b/>
                <w:color w:val="000000"/>
                <w:sz w:val="21"/>
              </w:rPr>
              <w:t>创新性检查重点</w:t>
            </w:r>
          </w:p>
        </w:tc>
        <w:tc>
          <w:tcPr>
            <w:tcW w:w="1871" w:type="dxa"/>
            <w:shd w:val="clear" w:color="auto" w:fill="D9D9D9"/>
            <w:vAlign w:val="center"/>
          </w:tcPr>
          <w:p w14:paraId="4BA1F7D7">
            <w:pPr>
              <w:spacing w:before="20" w:after="20" w:line="240" w:lineRule="auto"/>
              <w:ind w:firstLine="0" w:firstLineChars="0"/>
              <w:jc w:val="center"/>
            </w:pPr>
            <w:r>
              <w:rPr>
                <w:rFonts w:ascii="Times New Roman" w:hAnsi="Times New Roman" w:eastAsia="宋体"/>
                <w:b/>
                <w:color w:val="000000"/>
                <w:sz w:val="21"/>
              </w:rPr>
              <w:t>挑战度检查重点</w:t>
            </w:r>
          </w:p>
        </w:tc>
        <w:tc>
          <w:tcPr>
            <w:tcW w:w="2041" w:type="dxa"/>
            <w:shd w:val="clear" w:color="auto" w:fill="D9D9D9"/>
            <w:vAlign w:val="center"/>
          </w:tcPr>
          <w:p w14:paraId="59D3DD43">
            <w:pPr>
              <w:spacing w:before="20" w:after="20" w:line="240" w:lineRule="auto"/>
              <w:ind w:firstLine="0" w:firstLineChars="0"/>
              <w:jc w:val="center"/>
            </w:pPr>
            <w:r>
              <w:rPr>
                <w:rFonts w:ascii="Times New Roman" w:hAnsi="Times New Roman" w:eastAsia="宋体"/>
                <w:b/>
                <w:color w:val="000000"/>
                <w:sz w:val="21"/>
              </w:rPr>
              <w:t>专项核查内容</w:t>
            </w:r>
          </w:p>
        </w:tc>
      </w:tr>
      <w:tr w14:paraId="5582D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77" w:type="dxa"/>
            <w:vAlign w:val="center"/>
          </w:tcPr>
          <w:p w14:paraId="22BB6AC2">
            <w:pPr>
              <w:spacing w:before="20" w:after="20" w:line="240" w:lineRule="auto"/>
              <w:ind w:firstLine="0" w:firstLineChars="0"/>
              <w:jc w:val="center"/>
            </w:pPr>
            <w:r>
              <w:rPr>
                <w:rFonts w:ascii="Times New Roman" w:hAnsi="Times New Roman" w:eastAsia="宋体"/>
                <w:b/>
                <w:color w:val="000000"/>
                <w:sz w:val="21"/>
              </w:rPr>
              <w:t>必修课</w:t>
            </w:r>
          </w:p>
        </w:tc>
        <w:tc>
          <w:tcPr>
            <w:tcW w:w="2041" w:type="dxa"/>
            <w:vAlign w:val="center"/>
          </w:tcPr>
          <w:p w14:paraId="1D8232C6">
            <w:pPr>
              <w:spacing w:before="20" w:after="20" w:line="240" w:lineRule="auto"/>
              <w:ind w:firstLine="0" w:firstLineChars="0"/>
              <w:jc w:val="left"/>
            </w:pPr>
            <w:r>
              <w:rPr>
                <w:rFonts w:ascii="Times New Roman" w:hAnsi="Times New Roman" w:eastAsia="宋体"/>
                <w:b w:val="0"/>
                <w:color w:val="000000"/>
                <w:sz w:val="21"/>
              </w:rPr>
              <w:t>综合应用、案例分析类题目占比合理，覆盖教学大纲全部知识模块，考查学生解决复杂问题的综合能力</w:t>
            </w:r>
          </w:p>
        </w:tc>
        <w:tc>
          <w:tcPr>
            <w:tcW w:w="2041" w:type="dxa"/>
            <w:vAlign w:val="center"/>
          </w:tcPr>
          <w:p w14:paraId="526FBD84">
            <w:pPr>
              <w:spacing w:before="20" w:after="20" w:line="240" w:lineRule="auto"/>
              <w:ind w:firstLine="0" w:firstLineChars="0"/>
              <w:jc w:val="left"/>
            </w:pPr>
            <w:r>
              <w:rPr>
                <w:rFonts w:ascii="Times New Roman" w:hAnsi="Times New Roman" w:eastAsia="宋体"/>
                <w:b w:val="0"/>
                <w:color w:val="000000"/>
                <w:sz w:val="21"/>
              </w:rPr>
              <w:t>试题情境贴合</w:t>
            </w:r>
            <w:r>
              <w:rPr>
                <w:rFonts w:hint="eastAsia"/>
                <w:b w:val="0"/>
                <w:color w:val="000000"/>
                <w:sz w:val="21"/>
                <w:lang w:val="en-US" w:eastAsia="zh-CN"/>
              </w:rPr>
              <w:t>专业</w:t>
            </w:r>
            <w:r>
              <w:rPr>
                <w:rFonts w:ascii="Times New Roman" w:hAnsi="Times New Roman" w:eastAsia="宋体"/>
                <w:b w:val="0"/>
                <w:color w:val="000000"/>
                <w:sz w:val="21"/>
              </w:rPr>
              <w:t>领域现实问题与行业案例，体现时代性</w:t>
            </w:r>
          </w:p>
        </w:tc>
        <w:tc>
          <w:tcPr>
            <w:tcW w:w="1871" w:type="dxa"/>
            <w:vAlign w:val="center"/>
          </w:tcPr>
          <w:p w14:paraId="4B48B1CC">
            <w:pPr>
              <w:spacing w:before="20" w:after="20" w:line="240" w:lineRule="auto"/>
              <w:ind w:firstLine="0" w:firstLineChars="0"/>
              <w:jc w:val="left"/>
            </w:pPr>
            <w:r>
              <w:rPr>
                <w:rFonts w:ascii="Times New Roman" w:hAnsi="Times New Roman" w:eastAsia="宋体"/>
                <w:b w:val="0"/>
                <w:color w:val="000000"/>
                <w:sz w:val="21"/>
              </w:rPr>
              <w:t>难度梯度清晰，设置一定比例提高题，区分度良好</w:t>
            </w:r>
          </w:p>
        </w:tc>
        <w:tc>
          <w:tcPr>
            <w:tcW w:w="2041" w:type="dxa"/>
            <w:vAlign w:val="center"/>
          </w:tcPr>
          <w:p w14:paraId="261521E6">
            <w:pPr>
              <w:spacing w:before="20" w:after="20" w:line="240" w:lineRule="auto"/>
              <w:ind w:firstLine="0" w:firstLineChars="0"/>
              <w:jc w:val="left"/>
            </w:pPr>
            <w:r>
              <w:rPr>
                <w:rFonts w:ascii="Times New Roman" w:hAnsi="Times New Roman" w:eastAsia="宋体"/>
                <w:b w:val="0"/>
                <w:color w:val="000000"/>
                <w:sz w:val="21"/>
              </w:rPr>
              <w:t>A/B卷及命题审核、参考答案与评分标准、成绩分布</w:t>
            </w:r>
          </w:p>
        </w:tc>
      </w:tr>
      <w:tr w14:paraId="07E32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77" w:type="dxa"/>
            <w:vAlign w:val="center"/>
          </w:tcPr>
          <w:p w14:paraId="199FD664">
            <w:pPr>
              <w:spacing w:before="20" w:after="20" w:line="240" w:lineRule="auto"/>
              <w:ind w:firstLine="0" w:firstLineChars="0"/>
              <w:jc w:val="center"/>
            </w:pPr>
            <w:r>
              <w:rPr>
                <w:rFonts w:ascii="Times New Roman" w:hAnsi="Times New Roman" w:eastAsia="宋体"/>
                <w:b/>
                <w:color w:val="000000"/>
                <w:sz w:val="21"/>
              </w:rPr>
              <w:t>选修课</w:t>
            </w:r>
          </w:p>
        </w:tc>
        <w:tc>
          <w:tcPr>
            <w:tcW w:w="2041" w:type="dxa"/>
            <w:vAlign w:val="center"/>
          </w:tcPr>
          <w:p w14:paraId="2CF8A491">
            <w:pPr>
              <w:spacing w:before="20" w:after="20" w:line="240" w:lineRule="auto"/>
              <w:ind w:firstLine="0" w:firstLineChars="0"/>
              <w:jc w:val="left"/>
            </w:pPr>
            <w:r>
              <w:rPr>
                <w:rFonts w:ascii="Times New Roman" w:hAnsi="Times New Roman" w:eastAsia="宋体"/>
                <w:b w:val="0"/>
                <w:color w:val="000000"/>
                <w:sz w:val="21"/>
              </w:rPr>
              <w:t>注重知识拓展与思维训练，考查综合分析、比较评价能力</w:t>
            </w:r>
          </w:p>
        </w:tc>
        <w:tc>
          <w:tcPr>
            <w:tcW w:w="2041" w:type="dxa"/>
            <w:vAlign w:val="center"/>
          </w:tcPr>
          <w:p w14:paraId="36F02775">
            <w:pPr>
              <w:spacing w:before="20" w:after="20" w:line="240" w:lineRule="auto"/>
              <w:ind w:firstLine="0" w:firstLineChars="0"/>
              <w:jc w:val="left"/>
            </w:pPr>
            <w:r>
              <w:rPr>
                <w:rFonts w:ascii="Times New Roman" w:hAnsi="Times New Roman" w:eastAsia="宋体"/>
                <w:b w:val="0"/>
                <w:color w:val="000000"/>
                <w:sz w:val="21"/>
              </w:rPr>
              <w:t>体现学科前沿与热点，开放性题目占比相对较高，鼓励个性化作答</w:t>
            </w:r>
          </w:p>
        </w:tc>
        <w:tc>
          <w:tcPr>
            <w:tcW w:w="1871" w:type="dxa"/>
            <w:vAlign w:val="center"/>
          </w:tcPr>
          <w:p w14:paraId="1624F78F">
            <w:pPr>
              <w:spacing w:before="20" w:after="20" w:line="240" w:lineRule="auto"/>
              <w:ind w:firstLine="0" w:firstLineChars="0"/>
              <w:jc w:val="left"/>
            </w:pPr>
            <w:r>
              <w:rPr>
                <w:rFonts w:ascii="Times New Roman" w:hAnsi="Times New Roman" w:eastAsia="宋体"/>
                <w:b w:val="0"/>
                <w:color w:val="000000"/>
                <w:sz w:val="21"/>
              </w:rPr>
              <w:t>难度适中而保持必要挑战，防止降格“放水”</w:t>
            </w:r>
          </w:p>
        </w:tc>
        <w:tc>
          <w:tcPr>
            <w:tcW w:w="2041" w:type="dxa"/>
            <w:vAlign w:val="center"/>
          </w:tcPr>
          <w:p w14:paraId="4153F885">
            <w:pPr>
              <w:spacing w:before="20" w:after="20" w:line="240" w:lineRule="auto"/>
              <w:ind w:firstLine="0" w:firstLineChars="0"/>
              <w:jc w:val="left"/>
            </w:pPr>
            <w:r>
              <w:rPr>
                <w:rFonts w:ascii="Times New Roman" w:hAnsi="Times New Roman" w:eastAsia="宋体"/>
                <w:b w:val="0"/>
                <w:color w:val="000000"/>
                <w:sz w:val="21"/>
              </w:rPr>
              <w:t>考核形式多样性、评分标准明确性、过程性考核记录</w:t>
            </w:r>
          </w:p>
        </w:tc>
      </w:tr>
      <w:tr w14:paraId="1B483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77" w:type="dxa"/>
            <w:vAlign w:val="center"/>
          </w:tcPr>
          <w:p w14:paraId="109A7CB1">
            <w:pPr>
              <w:spacing w:before="20" w:after="20" w:line="240" w:lineRule="auto"/>
              <w:ind w:firstLine="0" w:firstLineChars="0"/>
              <w:jc w:val="center"/>
            </w:pPr>
            <w:r>
              <w:rPr>
                <w:rFonts w:ascii="Times New Roman" w:hAnsi="Times New Roman" w:eastAsia="宋体"/>
                <w:b/>
                <w:color w:val="000000"/>
                <w:sz w:val="21"/>
              </w:rPr>
              <w:t>课程论文</w:t>
            </w:r>
          </w:p>
        </w:tc>
        <w:tc>
          <w:tcPr>
            <w:tcW w:w="2041" w:type="dxa"/>
            <w:vAlign w:val="center"/>
          </w:tcPr>
          <w:p w14:paraId="55D8044B">
            <w:pPr>
              <w:spacing w:before="20" w:after="20" w:line="240" w:lineRule="auto"/>
              <w:ind w:firstLine="0" w:firstLineChars="0"/>
              <w:jc w:val="left"/>
            </w:pPr>
            <w:r>
              <w:rPr>
                <w:rFonts w:ascii="Times New Roman" w:hAnsi="Times New Roman" w:eastAsia="宋体"/>
                <w:b w:val="0"/>
                <w:color w:val="000000"/>
                <w:sz w:val="21"/>
              </w:rPr>
              <w:t>要求文献综述、问题分析、论证与综合研究能力</w:t>
            </w:r>
          </w:p>
        </w:tc>
        <w:tc>
          <w:tcPr>
            <w:tcW w:w="2041" w:type="dxa"/>
            <w:vAlign w:val="center"/>
          </w:tcPr>
          <w:p w14:paraId="3F288158">
            <w:pPr>
              <w:spacing w:before="20" w:after="20" w:line="240" w:lineRule="auto"/>
              <w:ind w:firstLine="0" w:firstLineChars="0"/>
              <w:jc w:val="left"/>
            </w:pPr>
            <w:r>
              <w:rPr>
                <w:rFonts w:ascii="Times New Roman" w:hAnsi="Times New Roman" w:eastAsia="宋体"/>
                <w:b w:val="0"/>
                <w:color w:val="000000"/>
                <w:sz w:val="21"/>
              </w:rPr>
              <w:t>选题具有问题意识，反映学科前沿或行业实际，杜绝简单重复</w:t>
            </w:r>
          </w:p>
        </w:tc>
        <w:tc>
          <w:tcPr>
            <w:tcW w:w="1871" w:type="dxa"/>
            <w:vAlign w:val="center"/>
          </w:tcPr>
          <w:p w14:paraId="3232B469">
            <w:pPr>
              <w:spacing w:before="20" w:after="20" w:line="240" w:lineRule="auto"/>
              <w:ind w:firstLine="0" w:firstLineChars="0"/>
              <w:jc w:val="left"/>
            </w:pPr>
            <w:r>
              <w:rPr>
                <w:rFonts w:ascii="Times New Roman" w:hAnsi="Times New Roman" w:eastAsia="宋体"/>
                <w:b w:val="0"/>
                <w:color w:val="000000"/>
                <w:sz w:val="21"/>
              </w:rPr>
              <w:t>工作量与写作深度有明确要求，防止拼凑抄袭</w:t>
            </w:r>
          </w:p>
        </w:tc>
        <w:tc>
          <w:tcPr>
            <w:tcW w:w="2041" w:type="dxa"/>
            <w:vAlign w:val="center"/>
          </w:tcPr>
          <w:p w14:paraId="1EAB0D19">
            <w:pPr>
              <w:spacing w:before="20" w:after="20" w:line="240" w:lineRule="auto"/>
              <w:ind w:firstLine="0" w:firstLineChars="0"/>
              <w:jc w:val="left"/>
            </w:pPr>
            <w:r>
              <w:rPr>
                <w:rFonts w:ascii="Times New Roman" w:hAnsi="Times New Roman" w:eastAsia="宋体"/>
                <w:b w:val="0"/>
                <w:color w:val="000000"/>
                <w:sz w:val="21"/>
              </w:rPr>
              <w:t>选题审核记录、查重报告、评分细则、评语具体性</w:t>
            </w:r>
          </w:p>
        </w:tc>
      </w:tr>
      <w:tr w14:paraId="15D05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77" w:type="dxa"/>
            <w:vAlign w:val="center"/>
          </w:tcPr>
          <w:p w14:paraId="56F85D09">
            <w:pPr>
              <w:spacing w:before="20" w:after="20" w:line="240" w:lineRule="auto"/>
              <w:ind w:firstLine="0" w:firstLineChars="0"/>
              <w:jc w:val="center"/>
            </w:pPr>
            <w:r>
              <w:rPr>
                <w:rFonts w:ascii="Times New Roman" w:hAnsi="Times New Roman" w:eastAsia="宋体"/>
                <w:b/>
                <w:color w:val="000000"/>
                <w:sz w:val="21"/>
              </w:rPr>
              <w:t>实验（实践）课</w:t>
            </w:r>
          </w:p>
        </w:tc>
        <w:tc>
          <w:tcPr>
            <w:tcW w:w="2041" w:type="dxa"/>
            <w:vAlign w:val="center"/>
          </w:tcPr>
          <w:p w14:paraId="045045F8">
            <w:pPr>
              <w:spacing w:before="20" w:after="20" w:line="240" w:lineRule="auto"/>
              <w:ind w:firstLine="0" w:firstLineChars="0"/>
              <w:jc w:val="left"/>
            </w:pPr>
            <w:r>
              <w:rPr>
                <w:rFonts w:ascii="Times New Roman" w:hAnsi="Times New Roman" w:eastAsia="宋体"/>
                <w:b w:val="0"/>
                <w:color w:val="000000"/>
                <w:sz w:val="21"/>
              </w:rPr>
              <w:t>考查实验（项目）设计、数据采集整理、分析与结果解释能力</w:t>
            </w:r>
          </w:p>
        </w:tc>
        <w:tc>
          <w:tcPr>
            <w:tcW w:w="2041" w:type="dxa"/>
            <w:vAlign w:val="center"/>
          </w:tcPr>
          <w:p w14:paraId="165F01B5">
            <w:pPr>
              <w:spacing w:before="20" w:after="20" w:line="240" w:lineRule="auto"/>
              <w:ind w:firstLine="0" w:firstLineChars="0"/>
              <w:jc w:val="left"/>
            </w:pPr>
            <w:r>
              <w:rPr>
                <w:rFonts w:ascii="Times New Roman" w:hAnsi="Times New Roman" w:eastAsia="宋体"/>
                <w:b w:val="0"/>
                <w:color w:val="000000"/>
                <w:sz w:val="21"/>
              </w:rPr>
              <w:t>综合性、设计性、创新性实验项目占比合理</w:t>
            </w:r>
          </w:p>
        </w:tc>
        <w:tc>
          <w:tcPr>
            <w:tcW w:w="1871" w:type="dxa"/>
            <w:vAlign w:val="center"/>
          </w:tcPr>
          <w:p w14:paraId="64B80B86">
            <w:pPr>
              <w:spacing w:before="20" w:after="20" w:line="240" w:lineRule="auto"/>
              <w:ind w:firstLine="0" w:firstLineChars="0"/>
              <w:jc w:val="left"/>
            </w:pPr>
            <w:r>
              <w:rPr>
                <w:rFonts w:ascii="Times New Roman" w:hAnsi="Times New Roman" w:eastAsia="宋体"/>
                <w:b w:val="0"/>
                <w:color w:val="000000"/>
                <w:sz w:val="21"/>
              </w:rPr>
              <w:t>实验难度有梯度，综合实验环节体现挑战</w:t>
            </w:r>
          </w:p>
        </w:tc>
        <w:tc>
          <w:tcPr>
            <w:tcW w:w="2041" w:type="dxa"/>
            <w:vAlign w:val="center"/>
          </w:tcPr>
          <w:p w14:paraId="361512D6">
            <w:pPr>
              <w:spacing w:before="20" w:after="20" w:line="240" w:lineRule="auto"/>
              <w:ind w:firstLine="0" w:firstLineChars="0"/>
              <w:jc w:val="left"/>
            </w:pPr>
            <w:r>
              <w:rPr>
                <w:rFonts w:ascii="Times New Roman" w:hAnsi="Times New Roman" w:eastAsia="宋体"/>
                <w:b w:val="0"/>
                <w:color w:val="000000"/>
                <w:sz w:val="21"/>
              </w:rPr>
              <w:t>实验报告评分标准、操作考核记录、成绩构成、过程记录</w:t>
            </w:r>
          </w:p>
        </w:tc>
      </w:tr>
    </w:tbl>
    <w:p w14:paraId="220AE093">
      <w:pPr>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firstLine="480" w:firstLineChars="200"/>
        <w:textAlignment w:val="auto"/>
      </w:pPr>
      <w:r>
        <w:rPr>
          <w:rFonts w:ascii="Times New Roman" w:hAnsi="Times New Roman" w:eastAsia="宋体"/>
          <w:b w:val="0"/>
          <w:color w:val="000000"/>
          <w:sz w:val="24"/>
        </w:rPr>
        <w:t>注：上表为分类检查要点，各项具体指标要求以学校现行教学管理规定为准，由学院教学办在检查细则中明确并组织培训。</w:t>
      </w:r>
    </w:p>
    <w:p w14:paraId="36417B3C">
      <w:pPr>
        <w:pStyle w:val="3"/>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562" w:firstLineChars="200"/>
        <w:textAlignment w:val="auto"/>
      </w:pPr>
      <w:r>
        <w:rPr>
          <w:rFonts w:ascii="Times New Roman" w:hAnsi="Times New Roman" w:eastAsia="黑体"/>
          <w:b/>
          <w:color w:val="000000"/>
          <w:sz w:val="28"/>
        </w:rPr>
        <w:t>（三）重点核查指标</w:t>
      </w:r>
    </w:p>
    <w:p w14:paraId="0F156E1B">
      <w:pPr>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firstLine="480" w:firstLineChars="200"/>
        <w:textAlignment w:val="auto"/>
      </w:pPr>
      <w:r>
        <w:rPr>
          <w:rFonts w:ascii="Times New Roman" w:hAnsi="Times New Roman" w:eastAsia="宋体"/>
          <w:b w:val="0"/>
          <w:color w:val="000000"/>
          <w:sz w:val="24"/>
        </w:rPr>
        <w:t>1.识记再现类题目分值占比（必修课重点核查）；2.开放性、综合性、情境化题目分值占比；3.课程论文查重率及选题重复情况；4.过程性考核成绩占比及考核材料完整性；5.成绩分布异常（优秀率过高、不及格率异常、零分卷集中等）课程的重点复核。</w:t>
      </w:r>
    </w:p>
    <w:p w14:paraId="340220D9">
      <w:pPr>
        <w:pStyle w:val="3"/>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562" w:firstLineChars="200"/>
        <w:textAlignment w:val="auto"/>
      </w:pPr>
      <w:r>
        <w:rPr>
          <w:rFonts w:ascii="Times New Roman" w:hAnsi="Times New Roman" w:eastAsia="黑体"/>
          <w:b/>
          <w:color w:val="000000"/>
          <w:sz w:val="28"/>
        </w:rPr>
        <w:t>（四）成绩统计分析</w:t>
      </w:r>
    </w:p>
    <w:p w14:paraId="0ACD685D">
      <w:pPr>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firstLine="480" w:firstLineChars="200"/>
        <w:textAlignment w:val="auto"/>
      </w:pPr>
      <w:r>
        <w:rPr>
          <w:rFonts w:ascii="Times New Roman" w:hAnsi="Times New Roman" w:eastAsia="宋体"/>
          <w:b w:val="0"/>
          <w:color w:val="000000"/>
          <w:sz w:val="24"/>
        </w:rPr>
        <w:t>对每门课程试卷的最终成绩、平时成绩、试卷成绩分别开展统计分析，统计指标包括平均分、及格率、优秀率、不及格率、标准差（离散程度）及分数段分布等，并结合命题结构与试题难度，分析试卷难度、区分度是否合理，成绩分布是否符合“两性一度”要求，重点排查命题偏易偏难、成绩普遍偏高或偏低、区分度不足、成绩分布明显异常等情况。成绩数据以教务系统成绩单和成绩登记表为准，统计口径须前后一致，异常情况须在检查报告中说明原因。</w:t>
      </w:r>
    </w:p>
    <w:p w14:paraId="7F9DF617">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right="0"/>
        <w:jc w:val="left"/>
        <w:textAlignment w:val="auto"/>
        <w:rPr>
          <w:rFonts w:hint="eastAsia" w:asciiTheme="minorEastAsia" w:hAnsiTheme="minorEastAsia" w:eastAsiaTheme="minorEastAsia" w:cstheme="minorEastAsia"/>
          <w:i w:val="0"/>
          <w:iCs w:val="0"/>
          <w:caps w:val="0"/>
          <w:color w:val="000000"/>
          <w:spacing w:val="0"/>
          <w:sz w:val="24"/>
          <w:szCs w:val="24"/>
          <w:shd w:val="clear" w:fill="FFFFFF"/>
        </w:rPr>
      </w:pPr>
    </w:p>
    <w:p w14:paraId="28782E91">
      <w:pPr>
        <w:keepNext w:val="0"/>
        <w:keepLines w:val="0"/>
        <w:pageBreakBefore w:val="0"/>
        <w:widowControl/>
        <w:numPr>
          <w:ilvl w:val="0"/>
          <w:numId w:val="0"/>
        </w:numPr>
        <w:kinsoku/>
        <w:wordWrap/>
        <w:overflowPunct/>
        <w:topLinePunct w:val="0"/>
        <w:autoSpaceDE/>
        <w:autoSpaceDN/>
        <w:bidi w:val="0"/>
        <w:adjustRightInd/>
        <w:snapToGrid/>
        <w:ind w:firstLine="643" w:firstLineChars="200"/>
        <w:textAlignment w:val="auto"/>
        <w:rPr>
          <w:rFonts w:hint="default" w:eastAsia="黑体"/>
          <w:b/>
          <w:color w:val="000000"/>
          <w:sz w:val="32"/>
          <w:szCs w:val="32"/>
          <w:lang w:val="en-US" w:eastAsia="zh-CN"/>
        </w:rPr>
      </w:pPr>
      <w:r>
        <w:rPr>
          <w:rFonts w:hint="eastAsia" w:eastAsia="黑体"/>
          <w:b/>
          <w:color w:val="000000"/>
          <w:sz w:val="32"/>
          <w:szCs w:val="32"/>
          <w:lang w:val="en-US" w:eastAsia="zh-CN"/>
        </w:rPr>
        <w:t>五、提交自查记录</w:t>
      </w:r>
    </w:p>
    <w:p w14:paraId="24D158AF">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1.</w:t>
      </w:r>
      <w:r>
        <w:rPr>
          <w:rFonts w:hint="eastAsia" w:asciiTheme="minorEastAsia" w:hAnsiTheme="minorEastAsia" w:eastAsiaTheme="minorEastAsia" w:cstheme="minorEastAsia"/>
        </w:rPr>
        <w:t>填写表格：填写《试卷自查登记表》。</w:t>
      </w:r>
    </w:p>
    <w:p w14:paraId="052CE719">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2.</w:t>
      </w:r>
      <w:r>
        <w:rPr>
          <w:rFonts w:hint="eastAsia" w:asciiTheme="minorEastAsia" w:hAnsiTheme="minorEastAsia" w:eastAsiaTheme="minorEastAsia" w:cstheme="minorEastAsia"/>
        </w:rPr>
        <w:t>撰写报告：在自查基础上撰写不少于1000字的《试卷检查结果报告》（附件模板参照学院文件），内容需包含课程基本情况、命题规范与“两性一度”自查情况、成绩统计分析、发现问题及整改措施五个模块。（若原任课教师离职，由教研室主任安排其他教师代为检查并出具报告）。</w:t>
      </w:r>
    </w:p>
    <w:p w14:paraId="5CA44383">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3.</w:t>
      </w:r>
      <w:r>
        <w:rPr>
          <w:rFonts w:hint="eastAsia" w:asciiTheme="minorEastAsia" w:hAnsiTheme="minorEastAsia" w:eastAsiaTheme="minorEastAsia" w:cstheme="minorEastAsia"/>
        </w:rPr>
        <w:t>提交时间：2026年</w:t>
      </w:r>
      <w:r>
        <w:rPr>
          <w:rFonts w:hint="eastAsia" w:asciiTheme="minorEastAsia" w:hAnsiTheme="minorEastAsia" w:eastAsiaTheme="minorEastAsia" w:cstheme="minorEastAsia"/>
          <w:lang w:val="en-US" w:eastAsia="zh-CN"/>
        </w:rPr>
        <w:t>11月4日前</w:t>
      </w:r>
      <w:bookmarkStart w:id="0" w:name="_GoBack"/>
      <w:bookmarkEnd w:id="0"/>
      <w:r>
        <w:rPr>
          <w:rFonts w:hint="eastAsia" w:asciiTheme="minorEastAsia" w:hAnsiTheme="minorEastAsia" w:eastAsiaTheme="minorEastAsia" w:cstheme="minorEastAsia"/>
        </w:rPr>
        <w:t>。</w:t>
      </w:r>
    </w:p>
    <w:p w14:paraId="73BFE876">
      <w:pPr>
        <w:keepNext w:val="0"/>
        <w:keepLines w:val="0"/>
        <w:pageBreakBefore w:val="0"/>
        <w:widowControl/>
        <w:kinsoku/>
        <w:wordWrap/>
        <w:overflowPunct/>
        <w:topLinePunct w:val="0"/>
        <w:autoSpaceDE/>
        <w:autoSpaceDN/>
        <w:bidi w:val="0"/>
        <w:adjustRightInd/>
        <w:snapToGrid/>
        <w:textAlignment w:val="auto"/>
        <w:rPr>
          <w:rFonts w:hint="eastAsia" w:asciiTheme="minorEastAsia" w:hAnsiTheme="minorEastAsia" w:eastAsiaTheme="minorEastAsia" w:cstheme="minorEastAsia"/>
          <w:lang w:eastAsia="zh-CN"/>
        </w:rPr>
      </w:pPr>
    </w:p>
    <w:p w14:paraId="47908EFA">
      <w:pPr>
        <w:pStyle w:val="2"/>
        <w:pageBreakBefore w:val="0"/>
        <w:widowControl/>
        <w:kinsoku/>
        <w:wordWrap/>
        <w:overflowPunct/>
        <w:topLinePunct w:val="0"/>
        <w:autoSpaceDE/>
        <w:autoSpaceDN/>
        <w:bidi w:val="0"/>
        <w:adjustRightInd/>
        <w:snapToGrid/>
        <w:spacing w:before="0" w:after="0"/>
        <w:ind w:firstLine="643" w:firstLineChars="200"/>
        <w:textAlignment w:val="auto"/>
      </w:pPr>
      <w:r>
        <w:rPr>
          <w:rFonts w:ascii="Times New Roman" w:hAnsi="Times New Roman" w:eastAsia="黑体"/>
          <w:b/>
          <w:color w:val="000000"/>
          <w:sz w:val="32"/>
        </w:rPr>
        <w:t>六、工作要求</w:t>
      </w:r>
    </w:p>
    <w:p w14:paraId="5B0828FD">
      <w:pPr>
        <w:pageBreakBefore w:val="0"/>
        <w:widowControl/>
        <w:kinsoku/>
        <w:wordWrap/>
        <w:overflowPunct/>
        <w:topLinePunct w:val="0"/>
        <w:autoSpaceDE/>
        <w:autoSpaceDN/>
        <w:bidi w:val="0"/>
        <w:adjustRightInd/>
        <w:snapToGrid/>
        <w:spacing w:before="0" w:after="0" w:line="360" w:lineRule="auto"/>
        <w:ind w:firstLine="480" w:firstLineChars="200"/>
        <w:textAlignment w:val="auto"/>
      </w:pPr>
      <w:r>
        <w:rPr>
          <w:rFonts w:ascii="Times New Roman" w:hAnsi="Times New Roman" w:eastAsia="宋体"/>
          <w:b w:val="0"/>
          <w:color w:val="000000"/>
          <w:sz w:val="24"/>
        </w:rPr>
        <w:t>（一）提高站位，压实责任。各系（教研室）和全体任课教师要深刻认识试卷检查对深化审核评估整改、提升“两性一度”的重要意义，对照标准逐卷核查，做到一门不少、一卷不漏、一项不虚。</w:t>
      </w:r>
    </w:p>
    <w:p w14:paraId="6DDF16BC">
      <w:pPr>
        <w:pageBreakBefore w:val="0"/>
        <w:widowControl/>
        <w:kinsoku/>
        <w:wordWrap/>
        <w:overflowPunct/>
        <w:topLinePunct w:val="0"/>
        <w:autoSpaceDE/>
        <w:autoSpaceDN/>
        <w:bidi w:val="0"/>
        <w:adjustRightInd/>
        <w:snapToGrid/>
        <w:spacing w:before="0" w:after="0" w:line="360" w:lineRule="auto"/>
        <w:ind w:firstLine="480" w:firstLineChars="200"/>
        <w:textAlignment w:val="auto"/>
      </w:pPr>
      <w:r>
        <w:rPr>
          <w:rFonts w:ascii="Times New Roman" w:hAnsi="Times New Roman" w:eastAsia="宋体"/>
          <w:b w:val="0"/>
          <w:color w:val="000000"/>
          <w:sz w:val="24"/>
        </w:rPr>
        <w:t>（二）坚持问题导向，实事求是。如实记录检查发现的问题，严禁走过场、弄虚作假；对存疑事项要逐卷复核、审慎认定。</w:t>
      </w:r>
    </w:p>
    <w:p w14:paraId="239D512A">
      <w:pPr>
        <w:pageBreakBefore w:val="0"/>
        <w:widowControl/>
        <w:kinsoku/>
        <w:wordWrap/>
        <w:overflowPunct/>
        <w:topLinePunct w:val="0"/>
        <w:autoSpaceDE/>
        <w:autoSpaceDN/>
        <w:bidi w:val="0"/>
        <w:adjustRightInd/>
        <w:snapToGrid/>
        <w:spacing w:before="0" w:after="0" w:line="360" w:lineRule="auto"/>
        <w:ind w:firstLine="480" w:firstLineChars="200"/>
        <w:textAlignment w:val="auto"/>
      </w:pPr>
      <w:r>
        <w:rPr>
          <w:rFonts w:ascii="Times New Roman" w:hAnsi="Times New Roman" w:eastAsia="宋体"/>
          <w:b w:val="0"/>
          <w:color w:val="000000"/>
          <w:sz w:val="24"/>
        </w:rPr>
        <w:t>（三）强化结果运用，建章立制。将检查结果与课程建设、教师考核、评优评先挂钩，及时总结推广优秀命题经验，严肃整改问题卷，推动命题质量持续提升。</w:t>
      </w:r>
    </w:p>
    <w:p w14:paraId="212F7E8E">
      <w:pPr>
        <w:pageBreakBefore w:val="0"/>
        <w:widowControl/>
        <w:kinsoku/>
        <w:wordWrap/>
        <w:overflowPunct/>
        <w:topLinePunct w:val="0"/>
        <w:autoSpaceDE/>
        <w:autoSpaceDN/>
        <w:bidi w:val="0"/>
        <w:adjustRightInd/>
        <w:snapToGrid/>
        <w:spacing w:before="0" w:after="0" w:line="360" w:lineRule="auto"/>
        <w:ind w:firstLine="480" w:firstLineChars="200"/>
        <w:textAlignment w:val="auto"/>
        <w:rPr>
          <w:rFonts w:ascii="Times New Roman" w:hAnsi="Times New Roman" w:eastAsia="宋体"/>
          <w:b w:val="0"/>
          <w:color w:val="000000"/>
          <w:sz w:val="24"/>
        </w:rPr>
      </w:pPr>
      <w:r>
        <w:rPr>
          <w:rFonts w:ascii="Times New Roman" w:hAnsi="Times New Roman" w:eastAsia="宋体"/>
          <w:b w:val="0"/>
          <w:color w:val="000000"/>
          <w:sz w:val="24"/>
        </w:rPr>
        <w:t>（四）严格时限要求，及时报送。各阶段材料须按时间节点报学院教学办，学院按要求向学校报送检查工作总体情况。</w:t>
      </w:r>
    </w:p>
    <w:p w14:paraId="1F0CF6BA">
      <w:pPr>
        <w:keepNext w:val="0"/>
        <w:keepLines w:val="0"/>
        <w:pageBreakBefore w:val="0"/>
        <w:widowControl/>
        <w:kinsoku/>
        <w:wordWrap/>
        <w:overflowPunct/>
        <w:topLinePunct w:val="0"/>
        <w:autoSpaceDE/>
        <w:autoSpaceDN/>
        <w:bidi w:val="0"/>
        <w:adjustRightInd/>
        <w:snapToGrid/>
        <w:spacing w:before="0" w:after="0"/>
        <w:ind w:firstLine="480" w:firstLineChars="200"/>
        <w:textAlignment w:val="auto"/>
        <w:rPr>
          <w:rFonts w:hint="eastAsia" w:asciiTheme="minorEastAsia" w:hAnsiTheme="minorEastAsia" w:eastAsiaTheme="minorEastAsia" w:cstheme="minorEastAsia"/>
          <w:lang w:eastAsia="zh-CN"/>
        </w:rPr>
        <w:sectPr>
          <w:pgSz w:w="11906" w:h="16838"/>
          <w:pgMar w:top="1440" w:right="1800" w:bottom="1440" w:left="1800" w:header="851" w:footer="992" w:gutter="0"/>
          <w:cols w:space="425" w:num="1"/>
          <w:docGrid w:type="lines" w:linePitch="312" w:charSpace="0"/>
        </w:sectPr>
      </w:pPr>
    </w:p>
    <w:p w14:paraId="2BEAF15D">
      <w:pPr>
        <w:spacing w:before="0" w:after="120" w:line="360" w:lineRule="auto"/>
        <w:ind w:firstLine="0" w:firstLineChars="0"/>
        <w:jc w:val="center"/>
      </w:pPr>
      <w:r>
        <w:rPr>
          <w:rFonts w:ascii="Times New Roman" w:hAnsi="Times New Roman" w:eastAsia="黑体"/>
          <w:b/>
          <w:color w:val="000000"/>
          <w:sz w:val="32"/>
        </w:rPr>
        <w:t>附件1</w:t>
      </w:r>
    </w:p>
    <w:p w14:paraId="77CD0349">
      <w:pPr>
        <w:spacing w:before="0" w:after="240" w:line="360" w:lineRule="auto"/>
        <w:ind w:firstLine="0" w:firstLineChars="0"/>
        <w:jc w:val="center"/>
      </w:pPr>
      <w:r>
        <w:rPr>
          <w:rFonts w:ascii="Times New Roman" w:hAnsi="Times New Roman" w:eastAsia="黑体"/>
          <w:b/>
          <w:color w:val="000000"/>
          <w:sz w:val="32"/>
        </w:rPr>
        <w:t>教师试卷检查结果报告（模板）</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2"/>
        <w:gridCol w:w="6380"/>
      </w:tblGrid>
      <w:tr w14:paraId="4F6AD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vAlign w:val="center"/>
          </w:tcPr>
          <w:p w14:paraId="40A58674">
            <w:pPr>
              <w:spacing w:before="20" w:after="20" w:line="240" w:lineRule="auto"/>
              <w:ind w:firstLine="0" w:firstLineChars="0"/>
              <w:jc w:val="center"/>
            </w:pPr>
            <w:r>
              <w:rPr>
                <w:rFonts w:ascii="Times New Roman" w:hAnsi="Times New Roman" w:eastAsia="宋体"/>
                <w:b/>
                <w:color w:val="000000"/>
                <w:sz w:val="21"/>
              </w:rPr>
              <w:t>任课教师</w:t>
            </w:r>
          </w:p>
        </w:tc>
        <w:tc>
          <w:tcPr>
            <w:tcW w:w="6803" w:type="dxa"/>
            <w:vAlign w:val="center"/>
          </w:tcPr>
          <w:p w14:paraId="630E5FB8">
            <w:pPr>
              <w:spacing w:before="20" w:after="20" w:line="240" w:lineRule="auto"/>
              <w:ind w:firstLine="0" w:firstLineChars="0"/>
              <w:jc w:val="left"/>
            </w:pPr>
          </w:p>
        </w:tc>
      </w:tr>
      <w:tr w14:paraId="16C04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vAlign w:val="center"/>
          </w:tcPr>
          <w:p w14:paraId="4199DB8A">
            <w:pPr>
              <w:spacing w:before="20" w:after="20" w:line="240" w:lineRule="auto"/>
              <w:ind w:firstLine="0" w:firstLineChars="0"/>
              <w:jc w:val="center"/>
            </w:pPr>
            <w:r>
              <w:rPr>
                <w:rFonts w:ascii="Times New Roman" w:hAnsi="Times New Roman" w:eastAsia="宋体"/>
                <w:b/>
                <w:color w:val="000000"/>
                <w:sz w:val="21"/>
              </w:rPr>
              <w:t>所属教研室</w:t>
            </w:r>
          </w:p>
        </w:tc>
        <w:tc>
          <w:tcPr>
            <w:tcW w:w="6803" w:type="dxa"/>
            <w:vAlign w:val="center"/>
          </w:tcPr>
          <w:p w14:paraId="135BEC67">
            <w:pPr>
              <w:spacing w:before="20" w:after="20" w:line="240" w:lineRule="auto"/>
              <w:ind w:firstLine="0" w:firstLineChars="0"/>
              <w:jc w:val="left"/>
            </w:pPr>
          </w:p>
        </w:tc>
      </w:tr>
      <w:tr w14:paraId="29990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268" w:type="dxa"/>
            <w:vAlign w:val="center"/>
          </w:tcPr>
          <w:p w14:paraId="6943647E">
            <w:pPr>
              <w:spacing w:before="20" w:after="20" w:line="240" w:lineRule="auto"/>
              <w:ind w:firstLine="0" w:firstLineChars="0"/>
              <w:jc w:val="center"/>
            </w:pPr>
            <w:r>
              <w:rPr>
                <w:rFonts w:ascii="Times New Roman" w:hAnsi="Times New Roman" w:eastAsia="宋体"/>
                <w:b/>
                <w:color w:val="000000"/>
                <w:sz w:val="21"/>
              </w:rPr>
              <w:t>课程名称</w:t>
            </w:r>
          </w:p>
        </w:tc>
        <w:tc>
          <w:tcPr>
            <w:tcW w:w="6803" w:type="dxa"/>
            <w:vAlign w:val="center"/>
          </w:tcPr>
          <w:p w14:paraId="29BF7FB6">
            <w:pPr>
              <w:spacing w:before="20" w:after="20" w:line="240" w:lineRule="auto"/>
              <w:ind w:firstLine="0" w:firstLineChars="0"/>
              <w:jc w:val="left"/>
            </w:pPr>
          </w:p>
        </w:tc>
      </w:tr>
      <w:tr w14:paraId="13B0A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vAlign w:val="center"/>
          </w:tcPr>
          <w:p w14:paraId="4BAE9DE0">
            <w:pPr>
              <w:spacing w:before="20" w:after="20" w:line="240" w:lineRule="auto"/>
              <w:ind w:firstLine="0" w:firstLineChars="0"/>
              <w:jc w:val="center"/>
            </w:pPr>
            <w:r>
              <w:rPr>
                <w:rFonts w:ascii="Times New Roman" w:hAnsi="Times New Roman" w:eastAsia="宋体"/>
                <w:b/>
                <w:color w:val="000000"/>
                <w:sz w:val="21"/>
              </w:rPr>
              <w:t>课程类型</w:t>
            </w:r>
          </w:p>
        </w:tc>
        <w:tc>
          <w:tcPr>
            <w:tcW w:w="6803" w:type="dxa"/>
            <w:vAlign w:val="center"/>
          </w:tcPr>
          <w:p w14:paraId="111C6FC2">
            <w:pPr>
              <w:spacing w:before="20" w:after="20" w:line="240" w:lineRule="auto"/>
              <w:ind w:firstLine="0" w:firstLineChars="0"/>
              <w:jc w:val="left"/>
            </w:pPr>
            <w:r>
              <w:rPr>
                <w:rFonts w:ascii="Times New Roman" w:hAnsi="Times New Roman" w:eastAsia="宋体"/>
                <w:b w:val="0"/>
                <w:color w:val="000000"/>
                <w:sz w:val="21"/>
              </w:rPr>
              <w:t>□必修课　□选修课　□课程论文　□实验（实践）课</w:t>
            </w:r>
          </w:p>
        </w:tc>
      </w:tr>
      <w:tr w14:paraId="5A83D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vAlign w:val="center"/>
          </w:tcPr>
          <w:p w14:paraId="18636D84">
            <w:pPr>
              <w:spacing w:before="20" w:after="20" w:line="240" w:lineRule="auto"/>
              <w:ind w:firstLine="0" w:firstLineChars="0"/>
              <w:jc w:val="center"/>
            </w:pPr>
            <w:r>
              <w:rPr>
                <w:rFonts w:ascii="Times New Roman" w:hAnsi="Times New Roman" w:eastAsia="宋体"/>
                <w:b/>
                <w:color w:val="000000"/>
                <w:sz w:val="21"/>
              </w:rPr>
              <w:t>学年学期</w:t>
            </w:r>
          </w:p>
        </w:tc>
        <w:tc>
          <w:tcPr>
            <w:tcW w:w="6803" w:type="dxa"/>
            <w:vAlign w:val="center"/>
          </w:tcPr>
          <w:p w14:paraId="5B569251">
            <w:pPr>
              <w:spacing w:before="20" w:after="20" w:line="240" w:lineRule="auto"/>
              <w:ind w:firstLine="0" w:firstLineChars="0"/>
              <w:jc w:val="left"/>
            </w:pPr>
          </w:p>
        </w:tc>
      </w:tr>
      <w:tr w14:paraId="1080B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268" w:type="dxa"/>
            <w:vAlign w:val="center"/>
          </w:tcPr>
          <w:p w14:paraId="2D307C8D">
            <w:pPr>
              <w:spacing w:before="20" w:after="20" w:line="240" w:lineRule="auto"/>
              <w:ind w:firstLine="0" w:firstLineChars="0"/>
              <w:jc w:val="center"/>
            </w:pPr>
            <w:r>
              <w:rPr>
                <w:rFonts w:ascii="Times New Roman" w:hAnsi="Times New Roman" w:eastAsia="宋体"/>
                <w:b/>
                <w:color w:val="000000"/>
                <w:sz w:val="21"/>
              </w:rPr>
              <w:t>考核方式</w:t>
            </w:r>
          </w:p>
        </w:tc>
        <w:tc>
          <w:tcPr>
            <w:tcW w:w="6803" w:type="dxa"/>
            <w:vAlign w:val="center"/>
          </w:tcPr>
          <w:p w14:paraId="73AB11C6">
            <w:pPr>
              <w:spacing w:before="20" w:after="20" w:line="240" w:lineRule="auto"/>
              <w:ind w:firstLine="0" w:firstLineChars="0"/>
              <w:jc w:val="left"/>
            </w:pPr>
            <w:r>
              <w:rPr>
                <w:rFonts w:ascii="Times New Roman" w:hAnsi="Times New Roman" w:eastAsia="宋体"/>
                <w:b w:val="0"/>
                <w:color w:val="000000"/>
                <w:sz w:val="21"/>
              </w:rPr>
              <w:t>（如闭卷笔试、开卷、课程论文、实验操作等，注明过程性考核占比）</w:t>
            </w:r>
          </w:p>
        </w:tc>
      </w:tr>
      <w:tr w14:paraId="15523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vAlign w:val="center"/>
          </w:tcPr>
          <w:p w14:paraId="33E11090">
            <w:pPr>
              <w:spacing w:before="20" w:after="20" w:line="240" w:lineRule="auto"/>
              <w:ind w:firstLine="0" w:firstLineChars="0"/>
              <w:jc w:val="center"/>
            </w:pPr>
            <w:r>
              <w:rPr>
                <w:rFonts w:ascii="Times New Roman" w:hAnsi="Times New Roman" w:eastAsia="宋体"/>
                <w:b/>
                <w:color w:val="000000"/>
                <w:sz w:val="21"/>
              </w:rPr>
              <w:t>班级及人数</w:t>
            </w:r>
          </w:p>
        </w:tc>
        <w:tc>
          <w:tcPr>
            <w:tcW w:w="6803" w:type="dxa"/>
            <w:vAlign w:val="center"/>
          </w:tcPr>
          <w:p w14:paraId="6209CB5A">
            <w:pPr>
              <w:spacing w:before="20" w:after="20" w:line="240" w:lineRule="auto"/>
              <w:ind w:firstLine="0" w:firstLineChars="0"/>
              <w:jc w:val="left"/>
            </w:pPr>
          </w:p>
        </w:tc>
      </w:tr>
      <w:tr w14:paraId="6E79B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vAlign w:val="center"/>
          </w:tcPr>
          <w:p w14:paraId="47EE6635">
            <w:pPr>
              <w:spacing w:before="20" w:after="20" w:line="240" w:lineRule="auto"/>
              <w:ind w:firstLine="0" w:firstLineChars="0"/>
              <w:jc w:val="center"/>
            </w:pPr>
            <w:r>
              <w:rPr>
                <w:rFonts w:ascii="Times New Roman" w:hAnsi="Times New Roman" w:eastAsia="宋体"/>
                <w:b/>
                <w:color w:val="000000"/>
                <w:sz w:val="21"/>
              </w:rPr>
              <w:t>试卷套数</w:t>
            </w:r>
          </w:p>
        </w:tc>
        <w:tc>
          <w:tcPr>
            <w:tcW w:w="6803" w:type="dxa"/>
            <w:vAlign w:val="center"/>
          </w:tcPr>
          <w:p w14:paraId="62DA139D">
            <w:pPr>
              <w:spacing w:before="20" w:after="20" w:line="240" w:lineRule="auto"/>
              <w:ind w:firstLine="0" w:firstLineChars="0"/>
              <w:jc w:val="left"/>
            </w:pPr>
            <w:r>
              <w:rPr>
                <w:rFonts w:ascii="Times New Roman" w:hAnsi="Times New Roman" w:eastAsia="宋体"/>
                <w:b w:val="0"/>
                <w:color w:val="000000"/>
                <w:sz w:val="21"/>
              </w:rPr>
              <w:t>（含A/B卷、补考缓考卷）</w:t>
            </w:r>
          </w:p>
        </w:tc>
      </w:tr>
    </w:tbl>
    <w:p w14:paraId="2833DB32">
      <w:pPr>
        <w:spacing w:before="0" w:after="0" w:line="360" w:lineRule="auto"/>
        <w:ind w:firstLine="480" w:firstLineChars="200"/>
      </w:pPr>
      <w:r>
        <w:rPr>
          <w:rFonts w:ascii="Times New Roman" w:hAnsi="Times New Roman" w:eastAsia="宋体"/>
          <w:b w:val="0"/>
          <w:color w:val="000000"/>
          <w:sz w:val="24"/>
        </w:rPr>
        <w:t>（本报告由任课教师逐项填写，全文不少于1000字，于自查阶段完成后提交所属教研室，作为系级、院级汇总的依据。）</w:t>
      </w:r>
    </w:p>
    <w:p w14:paraId="418E2B39">
      <w:pPr>
        <w:pStyle w:val="3"/>
        <w:ind w:firstLine="562" w:firstLineChars="200"/>
      </w:pPr>
      <w:r>
        <w:rPr>
          <w:rFonts w:ascii="Times New Roman" w:hAnsi="Times New Roman" w:eastAsia="黑体"/>
          <w:b/>
          <w:color w:val="000000"/>
          <w:sz w:val="28"/>
        </w:rPr>
        <w:t>一、课程与试卷基本情况</w:t>
      </w:r>
    </w:p>
    <w:p w14:paraId="7F345192">
      <w:pPr>
        <w:spacing w:before="0" w:after="0" w:line="360" w:lineRule="auto"/>
        <w:ind w:firstLine="480" w:firstLineChars="200"/>
      </w:pPr>
      <w:r>
        <w:rPr>
          <w:rFonts w:ascii="Times New Roman" w:hAnsi="Times New Roman" w:eastAsia="宋体"/>
          <w:b w:val="0"/>
          <w:color w:val="000000"/>
          <w:sz w:val="24"/>
        </w:rPr>
        <w:t>（填写课程性质、学时学分、课程目标与考核要求，试卷命题与审核过程等基本情况。）</w:t>
      </w:r>
    </w:p>
    <w:p w14:paraId="02E7A1F2">
      <w:pPr>
        <w:pStyle w:val="3"/>
        <w:ind w:firstLine="562" w:firstLineChars="200"/>
      </w:pPr>
      <w:r>
        <w:rPr>
          <w:rFonts w:ascii="Times New Roman" w:hAnsi="Times New Roman" w:eastAsia="黑体"/>
          <w:b/>
          <w:color w:val="000000"/>
          <w:sz w:val="28"/>
        </w:rPr>
        <w:t>二、命题规范与“两性一度”自查情况</w:t>
      </w:r>
    </w:p>
    <w:p w14:paraId="7A2EAD27">
      <w:pPr>
        <w:spacing w:before="0" w:after="0" w:line="360" w:lineRule="auto"/>
        <w:ind w:firstLine="480" w:firstLineChars="200"/>
      </w:pPr>
      <w:r>
        <w:rPr>
          <w:rFonts w:ascii="Times New Roman" w:hAnsi="Times New Roman" w:eastAsia="宋体"/>
          <w:b w:val="0"/>
          <w:color w:val="000000"/>
          <w:sz w:val="24"/>
        </w:rPr>
        <w:t>（一）命题规范自查。填写命题与教学大纲符合度、A/B卷及卷面要素、题量与分值设置、参考答案与评分标准等情况。</w:t>
      </w:r>
    </w:p>
    <w:p w14:paraId="736DF754">
      <w:pPr>
        <w:spacing w:before="0" w:after="0" w:line="360" w:lineRule="auto"/>
        <w:ind w:firstLine="480" w:firstLineChars="200"/>
      </w:pPr>
      <w:r>
        <w:rPr>
          <w:rFonts w:ascii="Times New Roman" w:hAnsi="Times New Roman" w:eastAsia="宋体"/>
          <w:b w:val="0"/>
          <w:color w:val="000000"/>
          <w:sz w:val="24"/>
        </w:rPr>
        <w:t>（二）高阶性自查。填写试题对分析、综合、评价等高阶认知能力的考查情况，识记再现类题目占比等。</w:t>
      </w:r>
    </w:p>
    <w:p w14:paraId="16E4EEE2">
      <w:pPr>
        <w:spacing w:before="0" w:after="0" w:line="360" w:lineRule="auto"/>
        <w:ind w:firstLine="480" w:firstLineChars="200"/>
      </w:pPr>
      <w:r>
        <w:rPr>
          <w:rFonts w:ascii="Times New Roman" w:hAnsi="Times New Roman" w:eastAsia="宋体"/>
          <w:b w:val="0"/>
          <w:color w:val="000000"/>
          <w:sz w:val="24"/>
        </w:rPr>
        <w:t>（三）创新性自查。填写试题内容前沿性、情境化设计及开放性、探究性题目设置情况。</w:t>
      </w:r>
    </w:p>
    <w:p w14:paraId="2E6ACD38">
      <w:pPr>
        <w:spacing w:before="0" w:after="0" w:line="360" w:lineRule="auto"/>
        <w:ind w:firstLine="480" w:firstLineChars="200"/>
      </w:pPr>
      <w:r>
        <w:rPr>
          <w:rFonts w:ascii="Times New Roman" w:hAnsi="Times New Roman" w:eastAsia="宋体"/>
          <w:b w:val="0"/>
          <w:color w:val="000000"/>
          <w:sz w:val="24"/>
        </w:rPr>
        <w:t>（四）挑战度自查。填写试题难度梯度、提高题比例、区分度情况，作出是否符合“两性一度”要求的总体判断。</w:t>
      </w:r>
    </w:p>
    <w:p w14:paraId="6DFCF9BE">
      <w:pPr>
        <w:pStyle w:val="3"/>
        <w:ind w:firstLine="562" w:firstLineChars="200"/>
      </w:pPr>
      <w:r>
        <w:rPr>
          <w:rFonts w:ascii="Times New Roman" w:hAnsi="Times New Roman" w:eastAsia="黑体"/>
          <w:b/>
          <w:color w:val="000000"/>
          <w:sz w:val="28"/>
        </w:rPr>
        <w:t>三、成绩统计分析</w:t>
      </w:r>
    </w:p>
    <w:p w14:paraId="6703EBDD">
      <w:pPr>
        <w:spacing w:before="0" w:after="0" w:line="360" w:lineRule="auto"/>
        <w:ind w:firstLine="480" w:firstLineChars="200"/>
      </w:pPr>
      <w:r>
        <w:rPr>
          <w:rFonts w:ascii="Times New Roman" w:hAnsi="Times New Roman" w:eastAsia="宋体"/>
          <w:b w:val="0"/>
          <w:color w:val="000000"/>
          <w:sz w:val="24"/>
        </w:rPr>
        <w:t>（一）最终成绩。填写平均分、及格率、优秀率、不及格率、标准差及分数段分布，并结合命题情况作出是否符合“两性一度”要求的判断。</w:t>
      </w:r>
    </w:p>
    <w:p w14:paraId="1CA5EB6C">
      <w:pPr>
        <w:spacing w:before="0" w:after="0" w:line="360" w:lineRule="auto"/>
        <w:ind w:firstLine="480" w:firstLineChars="200"/>
      </w:pPr>
      <w:r>
        <w:rPr>
          <w:rFonts w:ascii="Times New Roman" w:hAnsi="Times New Roman" w:eastAsia="宋体"/>
          <w:b w:val="0"/>
          <w:color w:val="000000"/>
          <w:sz w:val="24"/>
        </w:rPr>
        <w:t>（二）平时成绩。填写平时成绩构成、分布及过程性考核材料留存情况。</w:t>
      </w:r>
    </w:p>
    <w:p w14:paraId="471A056D">
      <w:pPr>
        <w:spacing w:before="0" w:after="0" w:line="360" w:lineRule="auto"/>
        <w:ind w:firstLine="480" w:firstLineChars="200"/>
      </w:pPr>
      <w:r>
        <w:rPr>
          <w:rFonts w:ascii="Times New Roman" w:hAnsi="Times New Roman" w:eastAsia="宋体"/>
          <w:b w:val="0"/>
          <w:color w:val="000000"/>
          <w:sz w:val="24"/>
        </w:rPr>
        <w:t>（三）试卷成绩。填写试卷成绩统计结果，结合试题结构分析试卷难度、区分度是否合理。</w:t>
      </w:r>
    </w:p>
    <w:p w14:paraId="25217731">
      <w:pPr>
        <w:pStyle w:val="3"/>
        <w:ind w:firstLine="562" w:firstLineChars="200"/>
      </w:pPr>
      <w:r>
        <w:rPr>
          <w:rFonts w:ascii="Times New Roman" w:hAnsi="Times New Roman" w:eastAsia="黑体"/>
          <w:b/>
          <w:color w:val="000000"/>
          <w:sz w:val="28"/>
        </w:rPr>
        <w:t>四、发现的问题与不足</w:t>
      </w:r>
    </w:p>
    <w:p w14:paraId="5E48A153">
      <w:pPr>
        <w:spacing w:before="0" w:after="0" w:line="360" w:lineRule="auto"/>
        <w:ind w:firstLine="480" w:firstLineChars="200"/>
      </w:pPr>
      <w:r>
        <w:rPr>
          <w:rFonts w:ascii="Times New Roman" w:hAnsi="Times New Roman" w:eastAsia="宋体"/>
          <w:b w:val="0"/>
          <w:color w:val="000000"/>
          <w:sz w:val="24"/>
        </w:rPr>
        <w:t>（按条列明自查发现的问题，注明问题涉及的试卷、题型或考核环节。）</w:t>
      </w:r>
    </w:p>
    <w:p w14:paraId="3FAE827D">
      <w:pPr>
        <w:pStyle w:val="3"/>
        <w:ind w:firstLine="562" w:firstLineChars="200"/>
      </w:pPr>
      <w:r>
        <w:rPr>
          <w:rFonts w:ascii="Times New Roman" w:hAnsi="Times New Roman" w:eastAsia="黑体"/>
          <w:b/>
          <w:color w:val="000000"/>
          <w:sz w:val="28"/>
        </w:rPr>
        <w:t>五、整改措施与工作建议</w:t>
      </w:r>
    </w:p>
    <w:p w14:paraId="4C41122F">
      <w:pPr>
        <w:spacing w:before="0" w:after="0" w:line="360" w:lineRule="auto"/>
        <w:ind w:firstLine="480" w:firstLineChars="200"/>
      </w:pPr>
      <w:r>
        <w:rPr>
          <w:rFonts w:ascii="Times New Roman" w:hAnsi="Times New Roman" w:eastAsia="宋体"/>
          <w:b w:val="0"/>
          <w:color w:val="000000"/>
          <w:sz w:val="24"/>
        </w:rPr>
        <w:t>（逐条对应问题提出整改措施，明确整改时限，并提出对学院命题管理、课程建设等方面的工作建议。）</w:t>
      </w:r>
    </w:p>
    <w:p w14:paraId="54CAF6F8">
      <w:pPr>
        <w:spacing w:before="0"/>
        <w:ind w:firstLine="480" w:firstLineChars="200"/>
        <w:jc w:val="right"/>
      </w:pPr>
      <w:r>
        <w:rPr>
          <w:rFonts w:ascii="Times New Roman" w:hAnsi="Times New Roman" w:eastAsia="宋体"/>
          <w:b w:val="0"/>
          <w:color w:val="000000"/>
          <w:sz w:val="24"/>
        </w:rPr>
        <w:t>教师签名：＿＿＿＿＿＿＿＿</w:t>
      </w:r>
    </w:p>
    <w:p w14:paraId="5EAA722C">
      <w:pPr>
        <w:spacing w:before="0"/>
        <w:ind w:firstLine="480" w:firstLineChars="200"/>
        <w:jc w:val="right"/>
      </w:pPr>
      <w:r>
        <w:rPr>
          <w:rFonts w:ascii="Times New Roman" w:hAnsi="Times New Roman" w:eastAsia="宋体"/>
          <w:b w:val="0"/>
          <w:color w:val="000000"/>
          <w:sz w:val="24"/>
        </w:rPr>
        <w:t>日期：2026年　　月　　日</w:t>
      </w:r>
    </w:p>
    <w:p w14:paraId="0DD0EEDE">
      <w:pPr>
        <w:keepNext w:val="0"/>
        <w:keepLines w:val="0"/>
        <w:pageBreakBefore w:val="0"/>
        <w:widowControl/>
        <w:kinsoku/>
        <w:wordWrap/>
        <w:overflowPunct/>
        <w:topLinePunct w:val="0"/>
        <w:autoSpaceDE/>
        <w:autoSpaceDN/>
        <w:bidi w:val="0"/>
        <w:adjustRightInd/>
        <w:snapToGrid/>
        <w:textAlignment w:val="auto"/>
        <w:rPr>
          <w:rFonts w:hint="eastAsia" w:asciiTheme="minorEastAsia" w:hAnsiTheme="minorEastAsia" w:eastAsiaTheme="minorEastAsia" w:cstheme="minorEastAsia"/>
          <w:lang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3EAB7D"/>
    <w:multiLevelType w:val="singleLevel"/>
    <w:tmpl w:val="A63EAB7D"/>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AB68F7"/>
    <w:rsid w:val="0C3B6CDE"/>
    <w:rsid w:val="140908D1"/>
    <w:rsid w:val="15DD42A1"/>
    <w:rsid w:val="19466124"/>
    <w:rsid w:val="344D7F0F"/>
    <w:rsid w:val="35D421B7"/>
    <w:rsid w:val="37F214F9"/>
    <w:rsid w:val="3A284708"/>
    <w:rsid w:val="42817701"/>
    <w:rsid w:val="4BA601D9"/>
    <w:rsid w:val="4E51631D"/>
    <w:rsid w:val="51B01DB1"/>
    <w:rsid w:val="5CF7558A"/>
    <w:rsid w:val="6DFB3F5C"/>
    <w:rsid w:val="6E073BD9"/>
    <w:rsid w:val="7ACC115A"/>
    <w:rsid w:val="7B6A2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pPr>
    <w:rPr>
      <w:rFonts w:ascii="Times New Roman" w:hAnsi="Times New Roman" w:eastAsia="宋体" w:cstheme="minorBidi"/>
      <w:sz w:val="24"/>
      <w:szCs w:val="22"/>
      <w:lang w:val="en-US" w:eastAsia="en-US" w:bidi="ar-SA"/>
    </w:rPr>
  </w:style>
  <w:style w:type="paragraph" w:styleId="2">
    <w:name w:val="heading 1"/>
    <w:basedOn w:val="1"/>
    <w:next w:val="1"/>
    <w:qFormat/>
    <w:uiPriority w:val="9"/>
    <w:pPr>
      <w:keepNext/>
      <w:keepLines/>
      <w:spacing w:before="280" w:after="120" w:line="360" w:lineRule="auto"/>
      <w:outlineLvl w:val="0"/>
    </w:pPr>
    <w:rPr>
      <w:rFonts w:asciiTheme="majorHAnsi" w:hAnsiTheme="majorHAnsi" w:eastAsiaTheme="majorEastAsia" w:cstheme="majorBidi"/>
      <w:b/>
      <w:bCs/>
      <w:color w:val="000000"/>
      <w:sz w:val="32"/>
      <w:szCs w:val="28"/>
    </w:rPr>
  </w:style>
  <w:style w:type="paragraph" w:styleId="3">
    <w:name w:val="heading 2"/>
    <w:basedOn w:val="1"/>
    <w:next w:val="1"/>
    <w:unhideWhenUsed/>
    <w:qFormat/>
    <w:uiPriority w:val="9"/>
    <w:pPr>
      <w:keepNext/>
      <w:keepLines/>
      <w:spacing w:before="220" w:after="100" w:line="360" w:lineRule="auto"/>
      <w:outlineLvl w:val="1"/>
    </w:pPr>
    <w:rPr>
      <w:rFonts w:asciiTheme="majorHAnsi" w:hAnsiTheme="majorHAnsi" w:eastAsiaTheme="majorEastAsia" w:cstheme="majorBidi"/>
      <w:b/>
      <w:bCs/>
      <w:color w:val="000000"/>
      <w:sz w:val="28"/>
      <w:szCs w:val="26"/>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rPr>
      <w:sz w:val="24"/>
    </w:rPr>
  </w:style>
  <w:style w:type="paragraph" w:styleId="5">
    <w:name w:val="Title"/>
    <w:basedOn w:val="1"/>
    <w:next w:val="1"/>
    <w:qFormat/>
    <w:uiPriority w:val="10"/>
    <w:pPr>
      <w:spacing w:before="0" w:after="360" w:line="360" w:lineRule="auto"/>
      <w:contextualSpacing/>
      <w:jc w:val="center"/>
    </w:pPr>
    <w:rPr>
      <w:rFonts w:asciiTheme="majorHAnsi" w:hAnsiTheme="majorHAnsi" w:eastAsiaTheme="majorEastAsia" w:cstheme="majorBidi"/>
      <w:b/>
      <w:color w:val="000000"/>
      <w:spacing w:val="5"/>
      <w:kern w:val="28"/>
      <w:sz w:val="36"/>
      <w:szCs w:val="52"/>
    </w:rPr>
  </w:style>
  <w:style w:type="table" w:styleId="7">
    <w:name w:val="Table Grid"/>
    <w:basedOn w:val="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581</Words>
  <Characters>593</Characters>
  <Lines>0</Lines>
  <Paragraphs>0</Paragraphs>
  <TotalTime>2</TotalTime>
  <ScaleCrop>false</ScaleCrop>
  <LinksUpToDate>false</LinksUpToDate>
  <CharactersWithSpaces>593</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2026-10-16T01:04:00Z</dcterms:created>
  <dc:creator>Administrator</dc:creator>
  <cp:lastModifiedBy>李家麟</cp:lastModifiedBy>
  <dcterms:modified xsi:type="dcterms:W3CDTF">2026-10-27T07:26:12Z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KSOTemplateDocerSaveRecord">
    <vt:lpwstr>eyJoZGlkIjoiOTlmMjMzZDNiZDQzMjFmMmEwNWNmOGRkMWRhYmM4MzAiLCJ1c2VySWQiOiIxNjkxOTk3ODg0In0=</vt:lpwstr>
  </property>
  <property fmtid="{D5CDD505-2E9C-101B-9397-08002B2CF9AE}" pid="4" name="ICV">
    <vt:lpwstr>9C0730AFE3324A46B11EB6AF055B1D4B_12</vt:lpwstr>
  </property>
</Properties>
</file>