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Постановление об отказе в совершении нотариального действия</w:t>
      </w:r>
    </w:p>
    <w:p>
      <w:pPr>
        <w:ind w:firstLine="709"/>
        <w:jc w:val="both"/>
      </w:pPr>
      <w:r>
        <w:t>В связи с тем, что наследник первой очереди отсутствует, выдача свидетельства о праве на наследство по закону на выморочное имущество невозможно. Дальнейшие действия будут зависеть от обстоятельств дела.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