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3: Architectural Justification</w:t>
      </w:r>
    </w:p>
    <w:p>
      <w:pPr>
        <w:spacing w:after="200"/>
      </w:pPr>
      <w:r>
        <w:t xml:space="preserve">Problem Statement #22: Smart Parking Space Rental &amp; License Validator</w:t>
      </w:r>
    </w:p>
    <w:p>
      <w:pPr>
        <w:spacing w:after="200"/>
      </w:pPr>
      <w:r>
        <w:rPr>
          <w:b/>
          <w:bCs/>
        </w:rPr>
        <w:t xml:space="preserve">Architecture Selection: </w:t>
      </w:r>
      <w:r>
        <w:t xml:space="preserve">We chose Layered Architecture for the Smart Parking Space Rental &amp; License Validator System.</w:t>
      </w:r>
    </w:p>
    <w:p>
      <w:pPr>
        <w:spacing w:after="80" w:before="100"/>
      </w:pPr>
      <w:r>
        <w:rPr>
          <w:b/>
          <w:bCs/>
        </w:rPr>
        <w:t xml:space="preserve">Reason 1 — Clear Separation for a Multi-Actor Workflow</w:t>
      </w:r>
    </w:p>
    <w:p>
      <w:pPr>
        <w:spacing w:after="200"/>
      </w:pPr>
      <w:r>
        <w:t xml:space="preserve">The system serves three distinct actors (Vehicle Owner, Parking Warden, Gate Camera System) through clearly different concerns: a user-facing presentation surface (kiosk/app), core business rules (reservation validation, billing, overstay detection), and persistent data (reservations, sessions, pricing). A layered structure maps directly onto this separation, keeping the UI free of billing logic and the billing logic free of storage details. This makes it straightforward to modify one concern, e.g. adding a new payment method (FR-005), without touching the reservation or database logic.</w:t>
      </w:r>
    </w:p>
    <w:p>
      <w:pPr>
        <w:spacing w:after="80" w:before="100"/>
      </w:pPr>
      <w:r>
        <w:rPr>
          <w:b/>
          <w:bCs/>
        </w:rPr>
        <w:t xml:space="preserve">Reason 2 — Simpler Consistency for Reservation and Billing Logic</w:t>
      </w:r>
    </w:p>
    <w:p>
      <w:pPr>
        <w:spacing w:after="200"/>
      </w:pPr>
      <w:r>
        <w:t xml:space="preserve">Unlike microservices, a layered design keeps reservation state, billing calculation, and overstay flagging within a single, centrally coordinated business layer. This avoids the distributed data-consistency problems microservices would introduce (e.g. two independent services disagreeing on whether a bay is reserved), which matters directly for FR-002 (preventing double-booking) and FR-003 (validating a reservation before granting entry).</w:t>
      </w:r>
    </w:p>
    <w:p>
      <w:pPr>
        <w:spacing w:after="80" w:before="100"/>
      </w:pPr>
      <w:r>
        <w:rPr>
          <w:b/>
          <w:bCs/>
        </w:rPr>
        <w:t xml:space="preserve">Security Advantage</w:t>
      </w:r>
    </w:p>
    <w:p>
      <w:pPr>
        <w:spacing w:after="200"/>
      </w:pPr>
      <w:r>
        <w:t xml:space="preserve">The layered structure lets the Presentation Layer (Gate/Kiosk UI) be treated as untrusted input. All license plate and payment data passing from the UI must go through the Business Layer's Reservation &amp; Session Manager and Payment Service before reaching the Database Layer. This creates a single, well-defined choke point for validating plates against reservations (FR-003) and for enforcing access control on payment and stored data, rather than exposing the database directly to gate hardware or the kiosk.</w:t>
      </w:r>
    </w:p>
    <w:p>
      <w:pPr>
        <w:spacing w:after="80" w:before="100"/>
      </w:pPr>
      <w:r>
        <w:rPr>
          <w:b/>
          <w:bCs/>
        </w:rPr>
        <w:t xml:space="preserve">Performance Benefit</w:t>
      </w:r>
    </w:p>
    <w:p>
      <w:pPr>
        <w:spacing w:after="200"/>
      </w:pPr>
      <w:r>
        <w:t xml:space="preserve">Because the Reservation &amp; Session Manager, Payment Service, and Database components run within a single cohesive business/data tier rather than communicating over a network as separate microservices, in-process calls avoid inter-service network latency. This directly supports NFR-001, which requires the gate camera's reservation lookup to complete in under 300 ms — a target that is harder to guarantee once a request has to hop across independently deployed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2026-09-10T15:03:23.750Z</dcterms:created>
  <dcterms:modified xsi:type="dcterms:W3CDTF">2026-09-10T15:03:23.762Z</dcterms:modified>
</cp:coreProperties>
</file>

<file path=docProps/custom.xml><?xml version="1.0" encoding="utf-8"?>
<Properties xmlns="http://schemas.openxmlformats.org/officeDocument/2006/custom-properties" xmlns:vt="http://schemas.openxmlformats.org/officeDocument/2006/docPropsVTypes"/>
</file>