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2E9F9" w14:textId="1672E60F" w:rsidR="00BA1361" w:rsidRPr="00077017" w:rsidRDefault="00BA1361" w:rsidP="009E7C2F">
      <w:pPr>
        <w:rPr>
          <w:rFonts w:ascii="Calibri" w:hAnsi="Calibri"/>
          <w:b/>
          <w:sz w:val="32"/>
        </w:rPr>
      </w:pPr>
      <w:r w:rsidRPr="00077017">
        <w:rPr>
          <w:rFonts w:ascii="Calibri" w:hAnsi="Calibri"/>
          <w:b/>
          <w:sz w:val="32"/>
        </w:rPr>
        <w:t>Amplification of PITPNC1 affects breast cancer progression</w:t>
      </w:r>
    </w:p>
    <w:p w14:paraId="37401390" w14:textId="77777777" w:rsidR="000330BD" w:rsidRPr="00077017" w:rsidRDefault="000330BD" w:rsidP="009E7C2F">
      <w:pPr>
        <w:rPr>
          <w:rFonts w:ascii="Calibri" w:hAnsi="Calibri"/>
        </w:rPr>
      </w:pPr>
    </w:p>
    <w:p w14:paraId="160632E5" w14:textId="6D86BEA0" w:rsidR="000330BD" w:rsidRPr="00077017" w:rsidRDefault="000330BD" w:rsidP="00BA1361">
      <w:pPr>
        <w:rPr>
          <w:rFonts w:ascii="Calibri" w:hAnsi="Calibri"/>
          <w:b/>
        </w:rPr>
      </w:pPr>
      <w:r w:rsidRPr="00077017">
        <w:rPr>
          <w:rFonts w:ascii="Calibri" w:hAnsi="Calibri"/>
          <w:b/>
          <w:sz w:val="28"/>
        </w:rPr>
        <w:t>Abstract</w:t>
      </w:r>
    </w:p>
    <w:p w14:paraId="06DB3A82" w14:textId="07AB58A8" w:rsidR="000330BD" w:rsidRPr="00077017" w:rsidRDefault="000330BD" w:rsidP="000330BD">
      <w:pPr>
        <w:rPr>
          <w:rFonts w:ascii="Calibri" w:hAnsi="Calibri"/>
        </w:rPr>
      </w:pPr>
      <w:r w:rsidRPr="00077017">
        <w:rPr>
          <w:rFonts w:ascii="Calibri" w:hAnsi="Calibri"/>
          <w:bCs/>
        </w:rPr>
        <w:t xml:space="preserve">In </w:t>
      </w:r>
      <w:r w:rsidRPr="00077017">
        <w:rPr>
          <w:rFonts w:ascii="Calibri" w:hAnsi="Calibri"/>
        </w:rPr>
        <w:t xml:space="preserve">our previous array comparative genomic hybridization studies, gain in a region of chromosome 17, 17q23.3-24.3, was frequently observed in invasive duct carcinoma (IDC) patients with lymph node metastasis. </w:t>
      </w:r>
      <w:r w:rsidRPr="00077017">
        <w:rPr>
          <w:rFonts w:ascii="Calibri" w:hAnsi="Calibri"/>
          <w:bCs/>
        </w:rPr>
        <w:t>Particularly</w:t>
      </w:r>
      <w:r w:rsidRPr="00077017">
        <w:rPr>
          <w:rFonts w:ascii="Calibri" w:hAnsi="Calibri"/>
        </w:rPr>
        <w:t xml:space="preserve">, phosphatidylinositol transfer protein, cytoplasmic 1 (PITPNC1), found in 17q24.2, was associated with higher histological grade, larger tumor size, positive HER2 staining, and poorer prognosis from the analysis of a NKI dataset. </w:t>
      </w:r>
      <w:r w:rsidRPr="00077017">
        <w:rPr>
          <w:rFonts w:ascii="Calibri" w:hAnsi="Calibri"/>
          <w:bCs/>
        </w:rPr>
        <w:t>PITPNC1</w:t>
      </w:r>
      <w:r w:rsidRPr="00077017">
        <w:rPr>
          <w:rFonts w:ascii="Calibri" w:hAnsi="Calibri"/>
        </w:rPr>
        <w:t xml:space="preserve"> is involved in signal transduction and intracellular lipid transport, and may be an essential part of the epidermal growth factor signaling pathway. </w:t>
      </w:r>
      <w:r w:rsidRPr="00077017">
        <w:rPr>
          <w:rFonts w:ascii="Calibri" w:hAnsi="Calibri"/>
          <w:bCs/>
        </w:rPr>
        <w:t>We</w:t>
      </w:r>
      <w:r w:rsidRPr="00077017">
        <w:rPr>
          <w:rFonts w:ascii="Calibri" w:hAnsi="Calibri"/>
        </w:rPr>
        <w:t xml:space="preserve"> aim to assess the role of PITPNC1 in the development of aggressive breast cancer by evaluating its effects on breast cancer progression. </w:t>
      </w:r>
      <w:r w:rsidRPr="00077017">
        <w:rPr>
          <w:rFonts w:ascii="Calibri" w:hAnsi="Calibri"/>
          <w:bCs/>
        </w:rPr>
        <w:t xml:space="preserve">Using </w:t>
      </w:r>
      <w:r w:rsidRPr="00077017">
        <w:rPr>
          <w:rFonts w:ascii="Calibri" w:hAnsi="Calibri"/>
        </w:rPr>
        <w:t xml:space="preserve">real-time PCR, we have validated PITPNC1 overexpression in a set of 26 ductal carcinoma </w:t>
      </w:r>
      <w:r w:rsidRPr="00077017">
        <w:rPr>
          <w:rFonts w:ascii="Calibri" w:hAnsi="Calibri"/>
          <w:i/>
          <w:iCs/>
        </w:rPr>
        <w:t xml:space="preserve">in situ </w:t>
      </w:r>
      <w:r w:rsidRPr="00077017">
        <w:rPr>
          <w:rFonts w:ascii="Calibri" w:hAnsi="Calibri"/>
        </w:rPr>
        <w:t>(DCIS) and 38 invasive ductal carcinoma (IDC) samples. Amplification of PITPNC1 was seen as early as DCIS and persisted to IDC. PITPNC1 overexpressing MDA-MB-231 exhibited higher proliferat</w:t>
      </w:r>
      <w:r w:rsidR="00F93FA5" w:rsidRPr="00077017">
        <w:rPr>
          <w:rFonts w:ascii="Calibri" w:hAnsi="Calibri"/>
        </w:rPr>
        <w:t xml:space="preserve">ion than transfection controls. </w:t>
      </w:r>
      <w:r w:rsidRPr="00077017">
        <w:rPr>
          <w:rFonts w:ascii="Calibri" w:hAnsi="Calibri"/>
          <w:bCs/>
        </w:rPr>
        <w:t xml:space="preserve">Further </w:t>
      </w:r>
      <w:r w:rsidRPr="00077017">
        <w:rPr>
          <w:rFonts w:ascii="Calibri" w:hAnsi="Calibri"/>
        </w:rPr>
        <w:t>characterization of PITPNC1 protein function, especially during the course of tumorigenesis and cancer progression, may yield promising insights to cancer biology and early diagnostics.</w:t>
      </w:r>
    </w:p>
    <w:p w14:paraId="2360535D" w14:textId="77777777" w:rsidR="000330BD" w:rsidRPr="00077017" w:rsidRDefault="000330BD" w:rsidP="00BA1361">
      <w:pPr>
        <w:rPr>
          <w:rFonts w:ascii="Calibri" w:hAnsi="Calibri"/>
          <w:b/>
        </w:rPr>
      </w:pPr>
    </w:p>
    <w:p w14:paraId="2C073EE5" w14:textId="1AADBBB1" w:rsidR="00E5530D" w:rsidRPr="00077017" w:rsidRDefault="00BA1361" w:rsidP="00BA1361">
      <w:pPr>
        <w:rPr>
          <w:rFonts w:ascii="Calibri" w:hAnsi="Calibri"/>
          <w:b/>
          <w:sz w:val="28"/>
        </w:rPr>
      </w:pPr>
      <w:r w:rsidRPr="00077017">
        <w:rPr>
          <w:rFonts w:ascii="Calibri" w:hAnsi="Calibri"/>
          <w:b/>
          <w:sz w:val="28"/>
        </w:rPr>
        <w:t>Introduction</w:t>
      </w:r>
      <w:r w:rsidR="00394674" w:rsidRPr="00077017">
        <w:rPr>
          <w:rFonts w:ascii="Calibri" w:hAnsi="Calibri"/>
          <w:b/>
          <w:sz w:val="28"/>
        </w:rPr>
        <w:t xml:space="preserve"> </w:t>
      </w:r>
    </w:p>
    <w:p w14:paraId="5AE07007" w14:textId="77777777" w:rsidR="0056336F" w:rsidRDefault="00394674" w:rsidP="00473731">
      <w:pPr>
        <w:rPr>
          <w:rFonts w:ascii="Calibri" w:eastAsia="Times New Roman" w:hAnsi="Calibri" w:cs="Arial"/>
          <w:color w:val="222222"/>
          <w:shd w:val="clear" w:color="auto" w:fill="FFFFFF"/>
        </w:rPr>
      </w:pPr>
      <w:r w:rsidRPr="00077017">
        <w:rPr>
          <w:rFonts w:ascii="Calibri" w:hAnsi="Calibri"/>
        </w:rPr>
        <w:t xml:space="preserve">Breast cancer is one of the leading cause of cancer related death amongst women. </w:t>
      </w:r>
      <w:r w:rsidR="00505ADE" w:rsidRPr="00077017">
        <w:rPr>
          <w:rFonts w:ascii="Calibri" w:hAnsi="Calibri"/>
        </w:rPr>
        <w:t xml:space="preserve">In 2016, 61,000 new cases of non-invasive breast cancer and </w:t>
      </w:r>
      <w:r w:rsidRPr="00077017">
        <w:rPr>
          <w:rFonts w:ascii="Calibri" w:eastAsia="Times New Roman" w:hAnsi="Calibri" w:cs="Arial"/>
          <w:color w:val="222222"/>
          <w:shd w:val="clear" w:color="auto" w:fill="FFFFFF"/>
        </w:rPr>
        <w:t>246,660</w:t>
      </w:r>
      <w:r w:rsidR="00505ADE" w:rsidRPr="00077017">
        <w:rPr>
          <w:rFonts w:ascii="Calibri" w:eastAsia="Times New Roman" w:hAnsi="Calibri" w:cs="Arial"/>
          <w:color w:val="222222"/>
          <w:shd w:val="clear" w:color="auto" w:fill="FFFFFF"/>
        </w:rPr>
        <w:t xml:space="preserve"> new cases of invasive breast cancer are expected to be diagnosed in U.S. alone.</w:t>
      </w:r>
      <w:r w:rsidR="001867DC" w:rsidRPr="00077017">
        <w:rPr>
          <w:rFonts w:ascii="Calibri" w:eastAsia="Times New Roman" w:hAnsi="Calibri" w:cs="Arial"/>
          <w:color w:val="222222"/>
          <w:shd w:val="clear" w:color="auto" w:fill="FFFFFF"/>
        </w:rPr>
        <w:t xml:space="preserve"> [1] </w:t>
      </w:r>
      <w:r w:rsidR="00E5530D" w:rsidRPr="00077017">
        <w:rPr>
          <w:rFonts w:ascii="Calibri" w:hAnsi="Calibri"/>
        </w:rPr>
        <w:t>Identification of molecular alterations</w:t>
      </w:r>
      <w:r w:rsidR="00E5530D" w:rsidRPr="00077017">
        <w:rPr>
          <w:rFonts w:ascii="Calibri" w:eastAsia="Times New Roman" w:hAnsi="Calibri" w:cs="Arial"/>
          <w:color w:val="222222"/>
          <w:shd w:val="clear" w:color="auto" w:fill="FFFFFF"/>
        </w:rPr>
        <w:t xml:space="preserve"> associated with breast cancer progression is crucial for tailoring individualized treatments and enhancing prognostic confidence. </w:t>
      </w:r>
    </w:p>
    <w:p w14:paraId="1CF8E661" w14:textId="77777777" w:rsidR="0056336F" w:rsidRDefault="0056336F" w:rsidP="00473731">
      <w:pPr>
        <w:rPr>
          <w:rFonts w:ascii="Calibri" w:eastAsia="Times New Roman" w:hAnsi="Calibri" w:cs="Arial"/>
          <w:color w:val="222222"/>
          <w:shd w:val="clear" w:color="auto" w:fill="FFFFFF"/>
        </w:rPr>
      </w:pPr>
    </w:p>
    <w:p w14:paraId="59B8DAE1" w14:textId="6F369B83" w:rsidR="00E5530D" w:rsidRPr="00077017" w:rsidRDefault="00C73ECE" w:rsidP="00473731">
      <w:pPr>
        <w:rPr>
          <w:rFonts w:ascii="Calibri" w:hAnsi="Calibri"/>
        </w:rPr>
      </w:pPr>
      <w:r w:rsidRPr="00077017">
        <w:rPr>
          <w:rFonts w:ascii="Calibri" w:eastAsia="Times New Roman" w:hAnsi="Calibri" w:cs="Arial"/>
          <w:color w:val="222222"/>
          <w:shd w:val="clear" w:color="auto" w:fill="FFFFFF"/>
        </w:rPr>
        <w:t xml:space="preserve">Current </w:t>
      </w:r>
      <w:r w:rsidR="001867DC" w:rsidRPr="00077017">
        <w:rPr>
          <w:rFonts w:ascii="Calibri" w:eastAsia="Times New Roman" w:hAnsi="Calibri" w:cs="Arial"/>
          <w:color w:val="222222"/>
          <w:shd w:val="clear" w:color="auto" w:fill="FFFFFF"/>
        </w:rPr>
        <w:t>model</w:t>
      </w:r>
      <w:r w:rsidR="001867DC" w:rsidRPr="00077017">
        <w:rPr>
          <w:rFonts w:ascii="Calibri" w:hAnsi="Calibri"/>
        </w:rPr>
        <w:t xml:space="preserve"> of breast cancer progression </w:t>
      </w:r>
      <w:r w:rsidR="00F905A1" w:rsidRPr="00077017">
        <w:rPr>
          <w:rFonts w:ascii="Calibri" w:hAnsi="Calibri"/>
        </w:rPr>
        <w:t>consists of</w:t>
      </w:r>
      <w:r w:rsidRPr="00077017">
        <w:rPr>
          <w:rFonts w:ascii="Calibri" w:hAnsi="Calibri"/>
        </w:rPr>
        <w:t xml:space="preserve"> a multistep process: </w:t>
      </w:r>
      <w:r w:rsidR="001816D6" w:rsidRPr="00077017">
        <w:rPr>
          <w:rFonts w:ascii="Calibri" w:hAnsi="Calibri"/>
        </w:rPr>
        <w:t xml:space="preserve">from </w:t>
      </w:r>
      <w:r w:rsidR="00D148B9" w:rsidRPr="00077017">
        <w:rPr>
          <w:rFonts w:ascii="Calibri" w:hAnsi="Calibri"/>
        </w:rPr>
        <w:t>pre-malignant</w:t>
      </w:r>
      <w:r w:rsidRPr="00077017">
        <w:rPr>
          <w:rFonts w:ascii="Calibri" w:hAnsi="Calibri"/>
        </w:rPr>
        <w:t xml:space="preserve"> ductal hyperplasia</w:t>
      </w:r>
      <w:r w:rsidR="00985451">
        <w:rPr>
          <w:rFonts w:ascii="Calibri" w:hAnsi="Calibri"/>
        </w:rPr>
        <w:t xml:space="preserve"> (DH)</w:t>
      </w:r>
      <w:r w:rsidRPr="00077017">
        <w:rPr>
          <w:rFonts w:ascii="Calibri" w:hAnsi="Calibri"/>
        </w:rPr>
        <w:t xml:space="preserve"> to non-invasive ductal carcinoma </w:t>
      </w:r>
      <w:r w:rsidRPr="00077017">
        <w:rPr>
          <w:rFonts w:ascii="Calibri" w:hAnsi="Calibri"/>
          <w:i/>
        </w:rPr>
        <w:t>in situ</w:t>
      </w:r>
      <w:r w:rsidR="001816D6" w:rsidRPr="00077017">
        <w:rPr>
          <w:rFonts w:ascii="Calibri" w:hAnsi="Calibri"/>
        </w:rPr>
        <w:t xml:space="preserve"> (DCIS), which </w:t>
      </w:r>
      <w:r w:rsidR="00973D99" w:rsidRPr="00077017">
        <w:rPr>
          <w:rFonts w:ascii="Calibri" w:hAnsi="Calibri"/>
        </w:rPr>
        <w:t xml:space="preserve">develops into </w:t>
      </w:r>
      <w:r w:rsidRPr="00077017">
        <w:rPr>
          <w:rFonts w:ascii="Calibri" w:hAnsi="Calibri"/>
        </w:rPr>
        <w:t>invasive ductal carcinoma (IDC)</w:t>
      </w:r>
      <w:r w:rsidR="001F64A8" w:rsidRPr="00077017">
        <w:rPr>
          <w:rFonts w:ascii="Calibri" w:hAnsi="Calibri"/>
        </w:rPr>
        <w:t xml:space="preserve"> of similar tumor grade</w:t>
      </w:r>
      <w:r w:rsidRPr="00077017">
        <w:rPr>
          <w:rFonts w:ascii="Calibri" w:hAnsi="Calibri"/>
        </w:rPr>
        <w:t>. [2]</w:t>
      </w:r>
      <w:r w:rsidR="000D41F6" w:rsidRPr="00077017">
        <w:rPr>
          <w:rFonts w:ascii="Calibri" w:hAnsi="Calibri"/>
        </w:rPr>
        <w:t xml:space="preserve"> </w:t>
      </w:r>
      <w:r w:rsidR="00E41C4E" w:rsidRPr="00077017">
        <w:rPr>
          <w:rFonts w:ascii="Calibri" w:hAnsi="Calibri"/>
        </w:rPr>
        <w:t>Despite</w:t>
      </w:r>
      <w:r w:rsidR="00721BE3" w:rsidRPr="00077017">
        <w:rPr>
          <w:rFonts w:ascii="Calibri" w:hAnsi="Calibri"/>
        </w:rPr>
        <w:t xml:space="preserve"> advances in characterizing molecular alterations in IDC, </w:t>
      </w:r>
      <w:r w:rsidR="00880CA9" w:rsidRPr="00077017">
        <w:rPr>
          <w:rFonts w:ascii="Calibri" w:hAnsi="Calibri"/>
        </w:rPr>
        <w:t>few studies focused</w:t>
      </w:r>
      <w:r w:rsidR="00560AA6" w:rsidRPr="00077017">
        <w:rPr>
          <w:rFonts w:ascii="Calibri" w:hAnsi="Calibri"/>
        </w:rPr>
        <w:t xml:space="preserve"> on</w:t>
      </w:r>
      <w:r w:rsidR="00721BE3" w:rsidRPr="00077017">
        <w:rPr>
          <w:rFonts w:ascii="Calibri" w:hAnsi="Calibri"/>
        </w:rPr>
        <w:t xml:space="preserve"> </w:t>
      </w:r>
      <w:r w:rsidR="00560AA6" w:rsidRPr="00077017">
        <w:rPr>
          <w:rFonts w:ascii="Calibri" w:hAnsi="Calibri"/>
        </w:rPr>
        <w:t>disease initiation and progression</w:t>
      </w:r>
      <w:r w:rsidR="00721BE3" w:rsidRPr="00077017">
        <w:rPr>
          <w:rFonts w:ascii="Calibri" w:hAnsi="Calibri"/>
        </w:rPr>
        <w:t>.</w:t>
      </w:r>
      <w:r w:rsidR="00E41C4E" w:rsidRPr="00077017">
        <w:rPr>
          <w:rFonts w:ascii="Calibri" w:hAnsi="Calibri"/>
        </w:rPr>
        <w:t xml:space="preserve"> Several g</w:t>
      </w:r>
      <w:r w:rsidR="00452B22" w:rsidRPr="00077017">
        <w:rPr>
          <w:rFonts w:ascii="Calibri" w:hAnsi="Calibri"/>
        </w:rPr>
        <w:t>ene</w:t>
      </w:r>
      <w:r w:rsidR="000D41F6" w:rsidRPr="00077017">
        <w:rPr>
          <w:rFonts w:ascii="Calibri" w:hAnsi="Calibri"/>
        </w:rPr>
        <w:t xml:space="preserve"> expression studies </w:t>
      </w:r>
      <w:r w:rsidR="00721BE3" w:rsidRPr="00077017">
        <w:rPr>
          <w:rFonts w:ascii="Calibri" w:hAnsi="Calibri"/>
        </w:rPr>
        <w:t>have shown</w:t>
      </w:r>
      <w:r w:rsidR="000D41F6" w:rsidRPr="00077017">
        <w:rPr>
          <w:rFonts w:ascii="Calibri" w:hAnsi="Calibri"/>
        </w:rPr>
        <w:t xml:space="preserve"> striking similarity in DCI</w:t>
      </w:r>
      <w:r w:rsidR="00721BE3" w:rsidRPr="00077017">
        <w:rPr>
          <w:rFonts w:ascii="Calibri" w:hAnsi="Calibri"/>
        </w:rPr>
        <w:t>S and IDC transcriptome profile</w:t>
      </w:r>
      <w:r w:rsidR="009B4E30" w:rsidRPr="00077017">
        <w:rPr>
          <w:rFonts w:ascii="Calibri" w:hAnsi="Calibri"/>
        </w:rPr>
        <w:t>, indicating that molecular heterogeneity of breast carcinomas is already established in DCIS</w:t>
      </w:r>
      <w:r w:rsidR="00E41C4E" w:rsidRPr="00077017">
        <w:rPr>
          <w:rFonts w:ascii="Calibri" w:hAnsi="Calibri"/>
        </w:rPr>
        <w:t xml:space="preserve"> [3-4]. </w:t>
      </w:r>
      <w:r w:rsidR="00473731" w:rsidRPr="00077017">
        <w:rPr>
          <w:rFonts w:ascii="Calibri" w:hAnsi="Calibri"/>
        </w:rPr>
        <w:t>Although key genetic alterations responsible for DCIS to IDC transition</w:t>
      </w:r>
      <w:r w:rsidR="00FA05F5" w:rsidRPr="00077017">
        <w:rPr>
          <w:rFonts w:ascii="Calibri" w:hAnsi="Calibri"/>
        </w:rPr>
        <w:t xml:space="preserve"> are not easily distinguishable</w:t>
      </w:r>
      <w:r w:rsidR="00473731" w:rsidRPr="00077017">
        <w:rPr>
          <w:rFonts w:ascii="Calibri" w:hAnsi="Calibri"/>
        </w:rPr>
        <w:t>, dramatic expression change</w:t>
      </w:r>
      <w:r w:rsidR="00AF09E0" w:rsidRPr="00077017">
        <w:rPr>
          <w:rFonts w:ascii="Calibri" w:hAnsi="Calibri"/>
        </w:rPr>
        <w:t>s</w:t>
      </w:r>
      <w:r w:rsidR="00473731" w:rsidRPr="00077017">
        <w:rPr>
          <w:rFonts w:ascii="Calibri" w:hAnsi="Calibri"/>
        </w:rPr>
        <w:t xml:space="preserve"> were seen in the normal epithelial to DCIS transition</w:t>
      </w:r>
      <w:r w:rsidR="00FA05F5" w:rsidRPr="00077017">
        <w:rPr>
          <w:rFonts w:ascii="Calibri" w:hAnsi="Calibri"/>
        </w:rPr>
        <w:t>.</w:t>
      </w:r>
      <w:r w:rsidR="00473731" w:rsidRPr="00077017">
        <w:rPr>
          <w:rFonts w:ascii="Calibri" w:hAnsi="Calibri"/>
        </w:rPr>
        <w:t xml:space="preserve"> [4]</w:t>
      </w:r>
      <w:r w:rsidR="00FA05F5" w:rsidRPr="00077017">
        <w:rPr>
          <w:rFonts w:ascii="Calibri" w:hAnsi="Calibri"/>
        </w:rPr>
        <w:t xml:space="preserve"> </w:t>
      </w:r>
      <w:r w:rsidR="009B4E30" w:rsidRPr="00077017">
        <w:rPr>
          <w:rFonts w:ascii="Calibri" w:hAnsi="Calibri"/>
        </w:rPr>
        <w:t xml:space="preserve">To account </w:t>
      </w:r>
      <w:r w:rsidR="00FA05F5" w:rsidRPr="00077017">
        <w:rPr>
          <w:rFonts w:ascii="Calibri" w:hAnsi="Calibri"/>
        </w:rPr>
        <w:t xml:space="preserve">for variable clinical outcome of DCIS patients, expression profiling of DCIS suggested that tumor grade, rather than tumor stage, is linked to distinct expression patterns. [3] Some reported a panel of differentially expressed genes to aid in stratifying DCIS and progression to IDC of corresponding tumor grade, </w:t>
      </w:r>
      <w:r w:rsidR="000330BD" w:rsidRPr="00077017">
        <w:rPr>
          <w:rFonts w:ascii="Calibri" w:hAnsi="Calibri"/>
        </w:rPr>
        <w:t xml:space="preserve">but </w:t>
      </w:r>
      <w:r w:rsidR="00473731" w:rsidRPr="00077017">
        <w:rPr>
          <w:rFonts w:ascii="Calibri" w:hAnsi="Calibri"/>
        </w:rPr>
        <w:t>no single markers were found to predict DCIS outcome.</w:t>
      </w:r>
      <w:r w:rsidR="00FA05F5" w:rsidRPr="00077017">
        <w:rPr>
          <w:rFonts w:ascii="Calibri" w:hAnsi="Calibri"/>
        </w:rPr>
        <w:t xml:space="preserve"> </w:t>
      </w:r>
      <w:r w:rsidR="00473731" w:rsidRPr="00077017">
        <w:rPr>
          <w:rFonts w:ascii="Calibri" w:hAnsi="Calibri"/>
        </w:rPr>
        <w:t>[5] Combining these points, it may be tempting to identify biologically relevant alterations that are predictive of invasion</w:t>
      </w:r>
      <w:r w:rsidR="00560AA6" w:rsidRPr="00077017">
        <w:rPr>
          <w:rFonts w:ascii="Calibri" w:hAnsi="Calibri"/>
        </w:rPr>
        <w:t xml:space="preserve"> early in breast cancer progression</w:t>
      </w:r>
      <w:r w:rsidR="00473731" w:rsidRPr="00077017">
        <w:rPr>
          <w:rFonts w:ascii="Calibri" w:hAnsi="Calibri"/>
        </w:rPr>
        <w:t xml:space="preserve">. </w:t>
      </w:r>
    </w:p>
    <w:p w14:paraId="15FF7861" w14:textId="77777777" w:rsidR="00560AA6" w:rsidRDefault="00560AA6" w:rsidP="00973D99">
      <w:pPr>
        <w:spacing w:after="160" w:line="256" w:lineRule="auto"/>
        <w:rPr>
          <w:rFonts w:ascii="Calibri" w:hAnsi="Calibri"/>
        </w:rPr>
      </w:pPr>
    </w:p>
    <w:p w14:paraId="64A56F36" w14:textId="39D0297B" w:rsidR="0013452F" w:rsidRDefault="00985451" w:rsidP="000D2EC3">
      <w:pPr>
        <w:spacing w:after="160" w:line="256" w:lineRule="auto"/>
        <w:rPr>
          <w:rFonts w:ascii="Calibri" w:hAnsi="Calibri"/>
        </w:rPr>
      </w:pPr>
      <w:r>
        <w:rPr>
          <w:rFonts w:ascii="Calibri" w:hAnsi="Calibri"/>
        </w:rPr>
        <w:t>Breast cancer has been known to suffer from constant genomic arrangement during its development. Marked increase in genomic instability - specifically amplifications, deletio</w:t>
      </w:r>
      <w:r w:rsidR="0056336F">
        <w:rPr>
          <w:rFonts w:ascii="Calibri" w:hAnsi="Calibri"/>
        </w:rPr>
        <w:t xml:space="preserve">ns, </w:t>
      </w:r>
      <w:r>
        <w:rPr>
          <w:rFonts w:ascii="Calibri" w:hAnsi="Calibri"/>
        </w:rPr>
        <w:t xml:space="preserve">and </w:t>
      </w:r>
      <w:r>
        <w:rPr>
          <w:rFonts w:ascii="Calibri" w:hAnsi="Calibri"/>
        </w:rPr>
        <w:lastRenderedPageBreak/>
        <w:t>complex translocations - were observed in the DH to IDC transition</w:t>
      </w:r>
      <w:r w:rsidR="0056336F">
        <w:rPr>
          <w:rFonts w:ascii="Calibri" w:hAnsi="Calibri"/>
        </w:rPr>
        <w:t xml:space="preserve"> early in breast cancer development</w:t>
      </w:r>
      <w:r>
        <w:rPr>
          <w:rFonts w:ascii="Calibri" w:hAnsi="Calibri"/>
        </w:rPr>
        <w:t>. [15]</w:t>
      </w:r>
      <w:r w:rsidR="0049127C">
        <w:rPr>
          <w:rFonts w:ascii="Calibri" w:hAnsi="Calibri"/>
        </w:rPr>
        <w:t xml:space="preserve"> </w:t>
      </w:r>
      <w:r w:rsidR="00A97E52">
        <w:rPr>
          <w:rFonts w:ascii="Calibri" w:hAnsi="Calibri"/>
        </w:rPr>
        <w:t>Although i</w:t>
      </w:r>
      <w:r w:rsidR="000D2EC3">
        <w:rPr>
          <w:rFonts w:ascii="Calibri" w:hAnsi="Calibri"/>
        </w:rPr>
        <w:t xml:space="preserve">t is well established that breast cancer most frequently </w:t>
      </w:r>
      <w:r w:rsidR="00730F68">
        <w:rPr>
          <w:rFonts w:ascii="Calibri" w:hAnsi="Calibri"/>
        </w:rPr>
        <w:t>experiences</w:t>
      </w:r>
      <w:r w:rsidR="000D2EC3">
        <w:rPr>
          <w:rFonts w:ascii="Calibri" w:hAnsi="Calibri"/>
        </w:rPr>
        <w:t xml:space="preserve"> </w:t>
      </w:r>
      <w:r w:rsidR="00730F68">
        <w:rPr>
          <w:rFonts w:ascii="Calibri" w:hAnsi="Calibri"/>
        </w:rPr>
        <w:t>gains</w:t>
      </w:r>
      <w:r w:rsidR="000D2EC3">
        <w:rPr>
          <w:rFonts w:ascii="Calibri" w:hAnsi="Calibri"/>
        </w:rPr>
        <w:t xml:space="preserve"> on chromosome</w:t>
      </w:r>
      <w:r w:rsidR="000D2EC3">
        <w:rPr>
          <w:rFonts w:ascii="Calibri" w:hAnsi="Calibri"/>
        </w:rPr>
        <w:t xml:space="preserve"> 8q, 11q, 17q, and 20q</w:t>
      </w:r>
      <w:r w:rsidR="000D2EC3">
        <w:rPr>
          <w:rFonts w:ascii="Calibri" w:hAnsi="Calibri"/>
        </w:rPr>
        <w:t xml:space="preserve">, </w:t>
      </w:r>
      <w:r w:rsidR="00730F68">
        <w:rPr>
          <w:rFonts w:ascii="Calibri" w:hAnsi="Calibri"/>
        </w:rPr>
        <w:t xml:space="preserve">the copy number alterations of DCIS is broadly similar to that of IDC. </w:t>
      </w:r>
      <w:r w:rsidR="00730F68">
        <w:rPr>
          <w:rFonts w:ascii="Calibri" w:hAnsi="Calibri"/>
        </w:rPr>
        <w:t>[17, 18</w:t>
      </w:r>
      <w:r w:rsidR="00730F68">
        <w:rPr>
          <w:rFonts w:ascii="Calibri" w:hAnsi="Calibri"/>
        </w:rPr>
        <w:t>, 21</w:t>
      </w:r>
      <w:r w:rsidR="00730F68">
        <w:rPr>
          <w:rFonts w:ascii="Calibri" w:hAnsi="Calibri"/>
        </w:rPr>
        <w:t>]</w:t>
      </w:r>
      <w:r w:rsidR="00730F68">
        <w:rPr>
          <w:rFonts w:ascii="Calibri" w:hAnsi="Calibri"/>
        </w:rPr>
        <w:t xml:space="preserve"> Differing gains and losses were identified in the DCIS to IDC transition, </w:t>
      </w:r>
      <w:r w:rsidR="00C76686">
        <w:rPr>
          <w:rFonts w:ascii="Calibri" w:hAnsi="Calibri"/>
        </w:rPr>
        <w:t>prompting an urgent need to verify and characterize these copy number alternations</w:t>
      </w:r>
      <w:r w:rsidR="00730F68">
        <w:rPr>
          <w:rFonts w:ascii="Calibri" w:hAnsi="Calibri"/>
        </w:rPr>
        <w:t xml:space="preserve">. [22, 23] </w:t>
      </w:r>
      <w:r w:rsidR="00973D99" w:rsidRPr="00077017">
        <w:rPr>
          <w:rFonts w:ascii="Calibri" w:hAnsi="Calibri"/>
        </w:rPr>
        <w:t>In a previous array comparative genomic hybridization (</w:t>
      </w:r>
      <w:proofErr w:type="spellStart"/>
      <w:r w:rsidR="00973D99" w:rsidRPr="00077017">
        <w:rPr>
          <w:rFonts w:ascii="Calibri" w:hAnsi="Calibri"/>
        </w:rPr>
        <w:t>aCGH</w:t>
      </w:r>
      <w:proofErr w:type="spellEnd"/>
      <w:r w:rsidR="00973D99" w:rsidRPr="00077017">
        <w:rPr>
          <w:rFonts w:ascii="Calibri" w:hAnsi="Calibri"/>
        </w:rPr>
        <w:t>) study, gain of a region on chromosome 17, 17q23.3-24.3</w:t>
      </w:r>
      <w:r w:rsidR="006A46B6" w:rsidRPr="00077017">
        <w:rPr>
          <w:rFonts w:ascii="Calibri" w:hAnsi="Calibri"/>
        </w:rPr>
        <w:t xml:space="preserve">, was frequently observed in </w:t>
      </w:r>
      <w:r w:rsidR="0058746D" w:rsidRPr="00077017">
        <w:rPr>
          <w:rFonts w:ascii="Calibri" w:hAnsi="Calibri"/>
        </w:rPr>
        <w:t>DCIS associated with IDC</w:t>
      </w:r>
      <w:r w:rsidR="00973D99" w:rsidRPr="00077017">
        <w:rPr>
          <w:rFonts w:ascii="Calibri" w:hAnsi="Calibri"/>
        </w:rPr>
        <w:t xml:space="preserve"> </w:t>
      </w:r>
      <w:r w:rsidR="00560AA6" w:rsidRPr="00077017">
        <w:rPr>
          <w:rFonts w:ascii="Calibri" w:hAnsi="Calibri"/>
        </w:rPr>
        <w:t>compared to pure DCIS</w:t>
      </w:r>
      <w:r w:rsidR="0058746D" w:rsidRPr="00077017">
        <w:rPr>
          <w:rFonts w:ascii="Calibri" w:hAnsi="Calibri"/>
        </w:rPr>
        <w:t xml:space="preserve"> and was found to be associated with lymph node metastasis</w:t>
      </w:r>
      <w:r w:rsidR="00973D99" w:rsidRPr="00077017">
        <w:rPr>
          <w:rFonts w:ascii="Calibri" w:hAnsi="Calibri"/>
        </w:rPr>
        <w:t>.</w:t>
      </w:r>
      <w:r w:rsidR="00560AA6" w:rsidRPr="00077017">
        <w:rPr>
          <w:rFonts w:ascii="Calibri" w:hAnsi="Calibri"/>
        </w:rPr>
        <w:t xml:space="preserve"> [6]</w:t>
      </w:r>
      <w:r w:rsidR="0058746D" w:rsidRPr="00077017">
        <w:rPr>
          <w:rFonts w:ascii="Calibri" w:hAnsi="Calibri"/>
        </w:rPr>
        <w:t xml:space="preserve"> </w:t>
      </w:r>
      <w:r w:rsidR="000D2EC3">
        <w:rPr>
          <w:rFonts w:ascii="Calibri" w:hAnsi="Calibri"/>
        </w:rPr>
        <w:t xml:space="preserve">To identify causative genes in within the </w:t>
      </w:r>
      <w:r w:rsidR="0013452F">
        <w:rPr>
          <w:rFonts w:ascii="Calibri" w:hAnsi="Calibri"/>
        </w:rPr>
        <w:t xml:space="preserve">17q23.3-24.3 </w:t>
      </w:r>
      <w:proofErr w:type="spellStart"/>
      <w:r w:rsidR="000D2EC3">
        <w:rPr>
          <w:rFonts w:ascii="Calibri" w:hAnsi="Calibri"/>
        </w:rPr>
        <w:t>amplicon</w:t>
      </w:r>
      <w:proofErr w:type="spellEnd"/>
      <w:r w:rsidR="000D2EC3">
        <w:rPr>
          <w:rFonts w:ascii="Calibri" w:hAnsi="Calibri"/>
        </w:rPr>
        <w:t xml:space="preserve">, we identified </w:t>
      </w:r>
      <w:r w:rsidR="00973D99" w:rsidRPr="00077017">
        <w:rPr>
          <w:rFonts w:ascii="Calibri" w:hAnsi="Calibri"/>
        </w:rPr>
        <w:t>phosphatidylinositol transfer protein, cytoplasmic 1 (PI</w:t>
      </w:r>
      <w:r w:rsidR="0013452F">
        <w:rPr>
          <w:rFonts w:ascii="Calibri" w:hAnsi="Calibri"/>
        </w:rPr>
        <w:t>TPNC1), found on 17q24.2, to be</w:t>
      </w:r>
      <w:r w:rsidR="00973D99" w:rsidRPr="00077017">
        <w:rPr>
          <w:rFonts w:ascii="Calibri" w:hAnsi="Calibri"/>
        </w:rPr>
        <w:t xml:space="preserve"> associated with higher histological grade, larger tumor size, positive HER2 staining, </w:t>
      </w:r>
      <w:r w:rsidR="006A46B6" w:rsidRPr="00077017">
        <w:rPr>
          <w:rFonts w:ascii="Calibri" w:hAnsi="Calibri"/>
        </w:rPr>
        <w:t xml:space="preserve">and </w:t>
      </w:r>
      <w:r w:rsidR="0058746D" w:rsidRPr="00077017">
        <w:rPr>
          <w:rFonts w:ascii="Calibri" w:hAnsi="Calibri"/>
        </w:rPr>
        <w:t xml:space="preserve">poor </w:t>
      </w:r>
      <w:r w:rsidR="00973D99" w:rsidRPr="00077017">
        <w:rPr>
          <w:rFonts w:ascii="Calibri" w:hAnsi="Calibri"/>
        </w:rPr>
        <w:t xml:space="preserve">prognosis </w:t>
      </w:r>
      <w:r w:rsidR="0013452F">
        <w:rPr>
          <w:rFonts w:ascii="Calibri" w:hAnsi="Calibri"/>
        </w:rPr>
        <w:t>by analyzing a NKI dataset</w:t>
      </w:r>
      <w:r w:rsidR="00973D99" w:rsidRPr="00077017">
        <w:rPr>
          <w:rFonts w:ascii="Calibri" w:hAnsi="Calibri"/>
        </w:rPr>
        <w:t xml:space="preserve"> (n = 295). </w:t>
      </w:r>
    </w:p>
    <w:p w14:paraId="0C02D861" w14:textId="77777777" w:rsidR="0013452F" w:rsidRDefault="0013452F" w:rsidP="000D2EC3">
      <w:pPr>
        <w:spacing w:after="160" w:line="256" w:lineRule="auto"/>
        <w:rPr>
          <w:rFonts w:ascii="Calibri" w:hAnsi="Calibri"/>
        </w:rPr>
      </w:pPr>
    </w:p>
    <w:p w14:paraId="5FE2FD86" w14:textId="39A863A1" w:rsidR="00AB6161" w:rsidRPr="00077017" w:rsidRDefault="00973D99" w:rsidP="000D2EC3">
      <w:pPr>
        <w:spacing w:after="160" w:line="256" w:lineRule="auto"/>
        <w:rPr>
          <w:rFonts w:ascii="Calibri" w:hAnsi="Calibri"/>
        </w:rPr>
      </w:pPr>
      <w:r w:rsidRPr="00077017">
        <w:rPr>
          <w:rFonts w:ascii="Calibri" w:hAnsi="Calibri"/>
        </w:rPr>
        <w:t>As a part of the phosphatidylinositol transfer protein family, PITPNC1 has been shown to be an essential component of phosphatidylinositol-4,5-bisphosphate (PIP</w:t>
      </w:r>
      <w:r w:rsidRPr="00077017">
        <w:rPr>
          <w:rFonts w:ascii="Calibri" w:hAnsi="Calibri"/>
          <w:vertAlign w:val="subscript"/>
        </w:rPr>
        <w:t>2</w:t>
      </w:r>
      <w:r w:rsidRPr="00077017">
        <w:rPr>
          <w:rFonts w:ascii="Calibri" w:hAnsi="Calibri"/>
        </w:rPr>
        <w:t>) synthesis machinery.</w:t>
      </w:r>
      <w:r w:rsidR="0058746D" w:rsidRPr="00077017">
        <w:rPr>
          <w:rFonts w:ascii="Calibri" w:hAnsi="Calibri"/>
        </w:rPr>
        <w:t xml:space="preserve"> [7]</w:t>
      </w:r>
      <w:r w:rsidRPr="00077017">
        <w:rPr>
          <w:rFonts w:ascii="Calibri" w:hAnsi="Calibri"/>
        </w:rPr>
        <w:t xml:space="preserve"> PITPNC1 also mediates the monomeric transport of lipids by shielding phosphatidylinositol in a hydrophobic cavity, transferring them between membrane bilayers. Although its exact function has not been verified, PITPNC1 may be involved in the epidermal growth factor signaling pathway, by providing the substrate for phosphatidyl-4,5-bisphosphate 3-kinase (PI3K) catalysis and facilitating the downstream activation of protein kinase B (</w:t>
      </w:r>
      <w:proofErr w:type="spellStart"/>
      <w:r w:rsidRPr="00077017">
        <w:rPr>
          <w:rFonts w:ascii="Calibri" w:hAnsi="Calibri"/>
        </w:rPr>
        <w:t>Akt</w:t>
      </w:r>
      <w:proofErr w:type="spellEnd"/>
      <w:r w:rsidRPr="00077017">
        <w:rPr>
          <w:rFonts w:ascii="Calibri" w:hAnsi="Calibri"/>
        </w:rPr>
        <w:t xml:space="preserve">). </w:t>
      </w:r>
      <w:r w:rsidR="0058746D" w:rsidRPr="00077017">
        <w:rPr>
          <w:rFonts w:ascii="Calibri" w:hAnsi="Calibri"/>
        </w:rPr>
        <w:t xml:space="preserve">PITPNC1 was also implicated as a target of miR-126, a </w:t>
      </w:r>
      <w:r w:rsidRPr="00077017">
        <w:rPr>
          <w:rFonts w:ascii="Calibri" w:hAnsi="Calibri"/>
        </w:rPr>
        <w:t>tumor suppress</w:t>
      </w:r>
      <w:r w:rsidR="0058746D" w:rsidRPr="00077017">
        <w:rPr>
          <w:rFonts w:ascii="Calibri" w:hAnsi="Calibri"/>
        </w:rPr>
        <w:t>ing non-coding microRNA</w:t>
      </w:r>
      <w:r w:rsidRPr="00077017">
        <w:rPr>
          <w:rFonts w:ascii="Calibri" w:hAnsi="Calibri"/>
        </w:rPr>
        <w:t xml:space="preserve">. Expression of PITPNC1 is strongly correlated with endothelial recruitment </w:t>
      </w:r>
      <w:r w:rsidRPr="00077017">
        <w:rPr>
          <w:rFonts w:ascii="Calibri" w:hAnsi="Calibri"/>
          <w:i/>
          <w:iCs/>
        </w:rPr>
        <w:t>in vitro</w:t>
      </w:r>
      <w:r w:rsidRPr="00077017">
        <w:rPr>
          <w:rFonts w:ascii="Calibri" w:hAnsi="Calibri"/>
        </w:rPr>
        <w:t xml:space="preserve"> and is associated with late pathological stage.</w:t>
      </w:r>
      <w:r w:rsidR="0058746D" w:rsidRPr="00077017">
        <w:rPr>
          <w:rFonts w:ascii="Calibri" w:hAnsi="Calibri"/>
        </w:rPr>
        <w:t xml:space="preserve"> [8] </w:t>
      </w:r>
    </w:p>
    <w:p w14:paraId="5735D1E7" w14:textId="77777777" w:rsidR="00AB6161" w:rsidRPr="00077017" w:rsidRDefault="00AB6161" w:rsidP="00AB6161">
      <w:pPr>
        <w:rPr>
          <w:rFonts w:ascii="Calibri" w:hAnsi="Calibri"/>
        </w:rPr>
      </w:pPr>
    </w:p>
    <w:p w14:paraId="48A41489" w14:textId="4261A35F" w:rsidR="00973D99" w:rsidRPr="00077017" w:rsidRDefault="00AB6161" w:rsidP="00973D99">
      <w:pPr>
        <w:rPr>
          <w:rFonts w:ascii="Calibri" w:hAnsi="Calibri"/>
        </w:rPr>
      </w:pPr>
      <w:r w:rsidRPr="00077017">
        <w:rPr>
          <w:rFonts w:ascii="Calibri" w:hAnsi="Calibri"/>
        </w:rPr>
        <w:t xml:space="preserve">Here we hypothesized that amplification of PITPNC1 may be responsible for increased invasive potential of DCIS. </w:t>
      </w:r>
      <w:r w:rsidR="009E7C2F" w:rsidRPr="00077017">
        <w:rPr>
          <w:rFonts w:ascii="Calibri" w:hAnsi="Calibri"/>
        </w:rPr>
        <w:t>W</w:t>
      </w:r>
      <w:r w:rsidRPr="00077017">
        <w:rPr>
          <w:rFonts w:ascii="Calibri" w:hAnsi="Calibri"/>
        </w:rPr>
        <w:t>e aim to val</w:t>
      </w:r>
      <w:r w:rsidR="009E7C2F" w:rsidRPr="00077017">
        <w:rPr>
          <w:rFonts w:ascii="Calibri" w:hAnsi="Calibri"/>
        </w:rPr>
        <w:t>idate PITPNC1 expression profile</w:t>
      </w:r>
      <w:r w:rsidRPr="00077017">
        <w:rPr>
          <w:rFonts w:ascii="Calibri" w:hAnsi="Calibri"/>
        </w:rPr>
        <w:t xml:space="preserve"> in </w:t>
      </w:r>
      <w:r w:rsidR="00166AD5" w:rsidRPr="00077017">
        <w:rPr>
          <w:rFonts w:ascii="Calibri" w:hAnsi="Calibri"/>
        </w:rPr>
        <w:t>a</w:t>
      </w:r>
      <w:r w:rsidR="009E7C2F" w:rsidRPr="00077017">
        <w:rPr>
          <w:rFonts w:ascii="Calibri" w:hAnsi="Calibri"/>
        </w:rPr>
        <w:t xml:space="preserve"> cohort of </w:t>
      </w:r>
      <w:r w:rsidRPr="00077017">
        <w:rPr>
          <w:rFonts w:ascii="Calibri" w:hAnsi="Calibri"/>
        </w:rPr>
        <w:t xml:space="preserve">breast cancer patients </w:t>
      </w:r>
      <w:r w:rsidR="009E7C2F" w:rsidRPr="00077017">
        <w:rPr>
          <w:rFonts w:ascii="Calibri" w:hAnsi="Calibri"/>
        </w:rPr>
        <w:t>cross</w:t>
      </w:r>
      <w:r w:rsidRPr="00077017">
        <w:rPr>
          <w:rFonts w:ascii="Calibri" w:hAnsi="Calibri"/>
        </w:rPr>
        <w:t xml:space="preserve"> successive tumor stages. We</w:t>
      </w:r>
      <w:r w:rsidR="009E7C2F" w:rsidRPr="00077017">
        <w:rPr>
          <w:rFonts w:ascii="Calibri" w:hAnsi="Calibri"/>
        </w:rPr>
        <w:t xml:space="preserve"> also</w:t>
      </w:r>
      <w:r w:rsidR="00973D99" w:rsidRPr="00077017">
        <w:rPr>
          <w:rFonts w:ascii="Calibri" w:hAnsi="Calibri"/>
        </w:rPr>
        <w:t xml:space="preserve"> aim to assess the role of PITPNC1 in the development of aggressive breast cancer by </w:t>
      </w:r>
      <w:r w:rsidRPr="00077017">
        <w:rPr>
          <w:rFonts w:ascii="Calibri" w:hAnsi="Calibri"/>
        </w:rPr>
        <w:t xml:space="preserve">evaluating its functional significance </w:t>
      </w:r>
      <w:r w:rsidRPr="00077017">
        <w:rPr>
          <w:rFonts w:ascii="Calibri" w:hAnsi="Calibri"/>
          <w:i/>
        </w:rPr>
        <w:t>in vitro</w:t>
      </w:r>
      <w:r w:rsidR="009E7C2F" w:rsidRPr="00077017">
        <w:rPr>
          <w:rFonts w:ascii="Calibri" w:hAnsi="Calibri"/>
        </w:rPr>
        <w:t xml:space="preserve">, specifically its influence on cell proliferation, migration and invasion. </w:t>
      </w:r>
    </w:p>
    <w:p w14:paraId="46C53D86" w14:textId="77777777" w:rsidR="00E5530D" w:rsidRPr="00077017" w:rsidRDefault="00E5530D" w:rsidP="00973D99">
      <w:pPr>
        <w:rPr>
          <w:rFonts w:ascii="Calibri" w:hAnsi="Calibri"/>
        </w:rPr>
      </w:pPr>
    </w:p>
    <w:p w14:paraId="71623E36" w14:textId="2C656E57" w:rsidR="002C6BE6" w:rsidRPr="00077017" w:rsidRDefault="002F3782" w:rsidP="00BA1361">
      <w:pPr>
        <w:rPr>
          <w:rFonts w:ascii="Calibri" w:hAnsi="Calibri"/>
          <w:b/>
          <w:sz w:val="28"/>
        </w:rPr>
      </w:pPr>
      <w:r w:rsidRPr="00077017">
        <w:rPr>
          <w:rFonts w:ascii="Calibri" w:hAnsi="Calibri"/>
          <w:b/>
          <w:sz w:val="28"/>
        </w:rPr>
        <w:t xml:space="preserve">Methods </w:t>
      </w:r>
    </w:p>
    <w:p w14:paraId="60F9A490" w14:textId="642B0765" w:rsidR="002C6BE6" w:rsidRPr="00077017" w:rsidRDefault="002C6BE6" w:rsidP="00BA1361">
      <w:pPr>
        <w:rPr>
          <w:rFonts w:ascii="Calibri" w:hAnsi="Calibri"/>
          <w:b/>
          <w:i/>
          <w:sz w:val="28"/>
        </w:rPr>
      </w:pPr>
      <w:r w:rsidRPr="00077017">
        <w:rPr>
          <w:rFonts w:ascii="Calibri" w:hAnsi="Calibri"/>
          <w:b/>
          <w:i/>
          <w:sz w:val="28"/>
        </w:rPr>
        <w:t>Clinical sample preparations</w:t>
      </w:r>
    </w:p>
    <w:p w14:paraId="7A4C0AD3" w14:textId="0F59F6E1" w:rsidR="00973D99" w:rsidRPr="00077017" w:rsidRDefault="002C6BE6" w:rsidP="00973D99">
      <w:pPr>
        <w:rPr>
          <w:rFonts w:ascii="Calibri" w:hAnsi="Calibri"/>
          <w:lang w:val="en-CA"/>
        </w:rPr>
      </w:pPr>
      <w:r w:rsidRPr="00077017">
        <w:rPr>
          <w:rFonts w:ascii="Calibri" w:hAnsi="Calibri"/>
        </w:rPr>
        <w:t xml:space="preserve">A </w:t>
      </w:r>
      <w:r w:rsidRPr="00077017">
        <w:rPr>
          <w:rFonts w:ascii="Calibri" w:hAnsi="Calibri"/>
          <w:lang w:val="en-CA"/>
        </w:rPr>
        <w:t xml:space="preserve">total of 89 </w:t>
      </w:r>
      <w:r w:rsidR="004C5400" w:rsidRPr="00077017">
        <w:rPr>
          <w:rFonts w:ascii="Calibri" w:hAnsi="Calibri"/>
          <w:lang w:val="en-CA"/>
        </w:rPr>
        <w:t xml:space="preserve">patient </w:t>
      </w:r>
      <w:r w:rsidRPr="00077017">
        <w:rPr>
          <w:rFonts w:ascii="Calibri" w:hAnsi="Calibri"/>
          <w:lang w:val="en-CA"/>
        </w:rPr>
        <w:t>samples – 25 derived from normal breast tissue, 26 DCIS, and 38 IDC from primary sites</w:t>
      </w:r>
      <w:r w:rsidR="00B146EA" w:rsidRPr="00077017">
        <w:rPr>
          <w:rFonts w:ascii="Calibri" w:hAnsi="Calibri"/>
          <w:lang w:val="en-CA"/>
        </w:rPr>
        <w:t xml:space="preserve"> </w:t>
      </w:r>
      <w:r w:rsidR="004C5400" w:rsidRPr="00077017">
        <w:rPr>
          <w:rFonts w:ascii="Calibri" w:hAnsi="Calibri"/>
          <w:lang w:val="en-CA"/>
        </w:rPr>
        <w:t>- were included</w:t>
      </w:r>
      <w:r w:rsidRPr="00077017">
        <w:rPr>
          <w:rFonts w:ascii="Calibri" w:hAnsi="Calibri"/>
          <w:lang w:val="en-CA"/>
        </w:rPr>
        <w:t xml:space="preserve"> for this study.  With approval from University Health Network Research Ethics Ethics</w:t>
      </w:r>
      <w:r w:rsidR="00B146EA" w:rsidRPr="00077017">
        <w:rPr>
          <w:rFonts w:ascii="Calibri" w:hAnsi="Calibri"/>
          <w:lang w:val="en-CA"/>
        </w:rPr>
        <w:t xml:space="preserve"> Board</w:t>
      </w:r>
      <w:r w:rsidRPr="00077017">
        <w:rPr>
          <w:rFonts w:ascii="Calibri" w:hAnsi="Calibri"/>
          <w:lang w:val="en-CA"/>
        </w:rPr>
        <w:t xml:space="preserve">, </w:t>
      </w:r>
      <w:r w:rsidRPr="00077017">
        <w:rPr>
          <w:rFonts w:ascii="Calibri" w:hAnsi="Calibri"/>
        </w:rPr>
        <w:t>formalin-fixed paraffin-embedded</w:t>
      </w:r>
      <w:r w:rsidR="001F4056" w:rsidRPr="00077017">
        <w:rPr>
          <w:rFonts w:ascii="Calibri" w:hAnsi="Calibri"/>
        </w:rPr>
        <w:t xml:space="preserve"> (FFPE)</w:t>
      </w:r>
      <w:r w:rsidRPr="00077017">
        <w:rPr>
          <w:rFonts w:ascii="Calibri" w:hAnsi="Calibri"/>
        </w:rPr>
        <w:t xml:space="preserve"> </w:t>
      </w:r>
      <w:r w:rsidR="00B146EA" w:rsidRPr="00077017">
        <w:rPr>
          <w:rFonts w:ascii="Calibri" w:hAnsi="Calibri"/>
        </w:rPr>
        <w:t xml:space="preserve">breast cancer </w:t>
      </w:r>
      <w:r w:rsidRPr="00077017">
        <w:rPr>
          <w:rFonts w:ascii="Calibri" w:hAnsi="Calibri"/>
        </w:rPr>
        <w:t xml:space="preserve">tissue blocks </w:t>
      </w:r>
      <w:r w:rsidR="00B146EA" w:rsidRPr="00077017">
        <w:rPr>
          <w:rFonts w:ascii="Calibri" w:hAnsi="Calibri"/>
        </w:rPr>
        <w:t xml:space="preserve">were </w:t>
      </w:r>
      <w:r w:rsidRPr="00077017">
        <w:rPr>
          <w:rFonts w:ascii="Calibri" w:hAnsi="Calibri"/>
        </w:rPr>
        <w:t>obtained f</w:t>
      </w:r>
      <w:r w:rsidR="00B146EA" w:rsidRPr="00077017">
        <w:rPr>
          <w:rFonts w:ascii="Calibri" w:hAnsi="Calibri"/>
        </w:rPr>
        <w:t>rom Princess Margaret Hospital</w:t>
      </w:r>
      <w:r w:rsidR="00652B89" w:rsidRPr="00077017">
        <w:rPr>
          <w:rFonts w:ascii="Calibri" w:hAnsi="Calibri"/>
        </w:rPr>
        <w:t>.</w:t>
      </w:r>
      <w:r w:rsidRPr="00077017">
        <w:rPr>
          <w:rFonts w:ascii="Calibri" w:hAnsi="Calibri"/>
        </w:rPr>
        <w:t xml:space="preserve"> </w:t>
      </w:r>
      <w:r w:rsidR="00E43E54" w:rsidRPr="00077017">
        <w:rPr>
          <w:rFonts w:ascii="Calibri" w:hAnsi="Calibri"/>
        </w:rPr>
        <w:t xml:space="preserve">Cancerous tissues on the slides were marked and </w:t>
      </w:r>
      <w:proofErr w:type="spellStart"/>
      <w:r w:rsidR="00E43E54" w:rsidRPr="00077017">
        <w:rPr>
          <w:rFonts w:ascii="Calibri" w:hAnsi="Calibri"/>
        </w:rPr>
        <w:t>microdissected</w:t>
      </w:r>
      <w:proofErr w:type="spellEnd"/>
      <w:r w:rsidR="00E43E54" w:rsidRPr="00077017">
        <w:rPr>
          <w:rFonts w:ascii="Calibri" w:hAnsi="Calibri"/>
        </w:rPr>
        <w:t xml:space="preserve"> using a stereomi</w:t>
      </w:r>
      <w:r w:rsidR="00652B89" w:rsidRPr="00077017">
        <w:rPr>
          <w:rFonts w:ascii="Calibri" w:hAnsi="Calibri"/>
        </w:rPr>
        <w:t xml:space="preserve">croscope and 18 gauge needles. </w:t>
      </w:r>
      <w:r w:rsidR="00B146EA" w:rsidRPr="00077017">
        <w:rPr>
          <w:rFonts w:ascii="Calibri" w:hAnsi="Calibri"/>
          <w:lang w:val="en-CA"/>
        </w:rPr>
        <w:t xml:space="preserve">DNA </w:t>
      </w:r>
      <w:r w:rsidR="001816D6" w:rsidRPr="00077017">
        <w:rPr>
          <w:rFonts w:ascii="Calibri" w:hAnsi="Calibri"/>
          <w:lang w:val="en-CA"/>
        </w:rPr>
        <w:t xml:space="preserve">were </w:t>
      </w:r>
      <w:r w:rsidR="00B146EA" w:rsidRPr="00077017">
        <w:rPr>
          <w:rFonts w:ascii="Calibri" w:hAnsi="Calibri"/>
          <w:lang w:val="en-CA"/>
        </w:rPr>
        <w:t xml:space="preserve">extracted using a </w:t>
      </w:r>
      <w:proofErr w:type="spellStart"/>
      <w:r w:rsidR="00B146EA" w:rsidRPr="00077017">
        <w:rPr>
          <w:rFonts w:ascii="Calibri" w:hAnsi="Calibri"/>
          <w:lang w:val="en-CA"/>
        </w:rPr>
        <w:t>Qiagen</w:t>
      </w:r>
      <w:proofErr w:type="spellEnd"/>
      <w:r w:rsidR="00B146EA" w:rsidRPr="00077017">
        <w:rPr>
          <w:rFonts w:ascii="Calibri" w:hAnsi="Calibri"/>
          <w:lang w:val="en-CA"/>
        </w:rPr>
        <w:t xml:space="preserve"> DNA Mini Kit</w:t>
      </w:r>
      <w:r w:rsidR="00652B89" w:rsidRPr="00077017">
        <w:rPr>
          <w:rFonts w:ascii="Calibri" w:hAnsi="Calibri"/>
          <w:lang w:val="en-CA"/>
        </w:rPr>
        <w:t xml:space="preserve"> and</w:t>
      </w:r>
      <w:r w:rsidRPr="00077017">
        <w:rPr>
          <w:rFonts w:ascii="Calibri" w:hAnsi="Calibri"/>
          <w:lang w:val="en-CA"/>
        </w:rPr>
        <w:t xml:space="preserve"> genome amplified using ligation-mediated PCR (SCOMP)</w:t>
      </w:r>
      <w:r w:rsidR="00652B89" w:rsidRPr="00077017">
        <w:rPr>
          <w:rFonts w:ascii="Calibri" w:hAnsi="Calibri"/>
          <w:lang w:val="en-CA"/>
        </w:rPr>
        <w:t xml:space="preserve"> following manufacturer’</w:t>
      </w:r>
      <w:r w:rsidR="002E722E" w:rsidRPr="00077017">
        <w:rPr>
          <w:rFonts w:ascii="Calibri" w:hAnsi="Calibri"/>
          <w:lang w:val="en-CA"/>
        </w:rPr>
        <w:t>s protocol</w:t>
      </w:r>
      <w:r w:rsidR="001816D6" w:rsidRPr="00077017">
        <w:rPr>
          <w:rFonts w:ascii="Calibri" w:hAnsi="Calibri"/>
          <w:lang w:val="en-CA"/>
        </w:rPr>
        <w:t>.</w:t>
      </w:r>
      <w:r w:rsidRPr="00077017">
        <w:rPr>
          <w:rFonts w:ascii="Calibri" w:hAnsi="Calibri"/>
          <w:lang w:val="en-CA"/>
        </w:rPr>
        <w:t xml:space="preserve"> </w:t>
      </w:r>
    </w:p>
    <w:p w14:paraId="255F06BD" w14:textId="77777777" w:rsidR="002C6BE6" w:rsidRPr="00077017" w:rsidRDefault="002C6BE6" w:rsidP="00BA1361">
      <w:pPr>
        <w:rPr>
          <w:rFonts w:ascii="Calibri" w:hAnsi="Calibri"/>
          <w:b/>
          <w:lang w:val="en-CA"/>
        </w:rPr>
      </w:pPr>
    </w:p>
    <w:p w14:paraId="067392D7" w14:textId="3253C7DD" w:rsidR="002F3782" w:rsidRPr="00077017" w:rsidRDefault="002F3782" w:rsidP="00BA1361">
      <w:pPr>
        <w:rPr>
          <w:rFonts w:ascii="Calibri" w:hAnsi="Calibri"/>
          <w:b/>
          <w:i/>
          <w:sz w:val="28"/>
        </w:rPr>
      </w:pPr>
      <w:r w:rsidRPr="00077017">
        <w:rPr>
          <w:rFonts w:ascii="Calibri" w:hAnsi="Calibri"/>
          <w:b/>
          <w:i/>
          <w:sz w:val="28"/>
        </w:rPr>
        <w:lastRenderedPageBreak/>
        <w:t xml:space="preserve">Quantitative real-time PCR </w:t>
      </w:r>
    </w:p>
    <w:p w14:paraId="7C3FB01A" w14:textId="602E1EFF" w:rsidR="002F3782" w:rsidRPr="00077017" w:rsidRDefault="001816D6" w:rsidP="00F265B5">
      <w:pPr>
        <w:rPr>
          <w:rFonts w:ascii="Calibri" w:hAnsi="Calibri"/>
        </w:rPr>
      </w:pPr>
      <w:r w:rsidRPr="00077017">
        <w:rPr>
          <w:rFonts w:ascii="Calibri" w:hAnsi="Calibri"/>
        </w:rPr>
        <w:t>Patient samples were diluted to 1ng/</w:t>
      </w:r>
      <w:r w:rsidRPr="00077017">
        <w:rPr>
          <w:rFonts w:ascii="Calibri" w:eastAsia="Times New Roman" w:hAnsi="Calibri"/>
          <w:color w:val="252525"/>
          <w:sz w:val="21"/>
          <w:szCs w:val="21"/>
          <w:shd w:val="clear" w:color="auto" w:fill="FFFFFF"/>
        </w:rPr>
        <w:t xml:space="preserve"> </w:t>
      </w:r>
      <w:proofErr w:type="spellStart"/>
      <w:r w:rsidRPr="00077017">
        <w:rPr>
          <w:rFonts w:ascii="Calibri" w:eastAsia="Times New Roman" w:hAnsi="Calibri"/>
          <w:color w:val="252525"/>
          <w:shd w:val="clear" w:color="auto" w:fill="FFFFFF"/>
        </w:rPr>
        <w:t>μL</w:t>
      </w:r>
      <w:proofErr w:type="spellEnd"/>
      <w:r w:rsidRPr="00077017">
        <w:rPr>
          <w:rFonts w:ascii="Calibri" w:eastAsia="Times New Roman" w:hAnsi="Calibri"/>
          <w:color w:val="252525"/>
          <w:shd w:val="clear" w:color="auto" w:fill="FFFFFF"/>
        </w:rPr>
        <w:t xml:space="preserve"> </w:t>
      </w:r>
      <w:r w:rsidRPr="00077017">
        <w:rPr>
          <w:rFonts w:ascii="Calibri" w:hAnsi="Calibri"/>
        </w:rPr>
        <w:t>and</w:t>
      </w:r>
      <w:r w:rsidR="002F3782" w:rsidRPr="00077017">
        <w:rPr>
          <w:rFonts w:ascii="Calibri" w:hAnsi="Calibri"/>
        </w:rPr>
        <w:t xml:space="preserve"> subjected to quantitative real-time PCR. Each patient sample was prepared as a technical triplicate</w:t>
      </w:r>
      <w:r w:rsidR="00F265B5" w:rsidRPr="00077017">
        <w:rPr>
          <w:rFonts w:ascii="Calibri" w:hAnsi="Calibri"/>
        </w:rPr>
        <w:t xml:space="preserve"> and amplified using primers targeting PITPNC1 as well as, separately, the housekeeping gene B2M.</w:t>
      </w:r>
      <w:r w:rsidR="00AB3B7B" w:rsidRPr="00077017">
        <w:rPr>
          <w:rFonts w:ascii="Calibri" w:hAnsi="Calibri"/>
        </w:rPr>
        <w:t xml:space="preserve"> </w:t>
      </w:r>
      <w:r w:rsidR="00F265B5" w:rsidRPr="00077017">
        <w:rPr>
          <w:rFonts w:ascii="Calibri" w:hAnsi="Calibri"/>
        </w:rPr>
        <w:t xml:space="preserve">Amplification of DNA was quantitated with SYBR Green probe </w:t>
      </w:r>
      <w:r w:rsidR="007D5853" w:rsidRPr="00077017">
        <w:rPr>
          <w:rFonts w:ascii="Calibri" w:hAnsi="Calibri"/>
        </w:rPr>
        <w:t>using 7900HT Real-Time PCR System (Applied Biosystems)</w:t>
      </w:r>
      <w:r w:rsidR="00A362B3" w:rsidRPr="00077017">
        <w:rPr>
          <w:rFonts w:ascii="Calibri" w:hAnsi="Calibri"/>
        </w:rPr>
        <w:t xml:space="preserve"> </w:t>
      </w:r>
      <w:r w:rsidR="00B146EA" w:rsidRPr="00077017">
        <w:rPr>
          <w:rFonts w:ascii="Calibri" w:hAnsi="Calibri"/>
        </w:rPr>
        <w:t>to generate</w:t>
      </w:r>
      <w:r w:rsidR="00A362B3" w:rsidRPr="00077017">
        <w:rPr>
          <w:rFonts w:ascii="Calibri" w:hAnsi="Calibri"/>
        </w:rPr>
        <w:t xml:space="preserve"> threshold cycles</w:t>
      </w:r>
      <w:r w:rsidRPr="00077017">
        <w:rPr>
          <w:rFonts w:ascii="Calibri" w:hAnsi="Calibri"/>
        </w:rPr>
        <w:t xml:space="preserve"> in a 384-well plate</w:t>
      </w:r>
      <w:r w:rsidR="00F265B5" w:rsidRPr="00077017">
        <w:rPr>
          <w:rFonts w:ascii="Calibri" w:hAnsi="Calibri"/>
        </w:rPr>
        <w:t xml:space="preserve">. </w:t>
      </w:r>
      <w:r w:rsidR="00A362B3" w:rsidRPr="00077017">
        <w:rPr>
          <w:rFonts w:ascii="Calibri" w:hAnsi="Calibri"/>
        </w:rPr>
        <w:t>qPCR was also performed on a</w:t>
      </w:r>
      <w:r w:rsidR="00B146EA" w:rsidRPr="00077017">
        <w:rPr>
          <w:rFonts w:ascii="Calibri" w:hAnsi="Calibri"/>
        </w:rPr>
        <w:t xml:space="preserve"> set of normal breast controls – 7 SCOMP amplified, 9 whole genome amplified, and 8 unamplified samples – to validate the efficacy of SCOMP amplification method as well as to generate</w:t>
      </w:r>
      <w:r w:rsidR="00A362B3" w:rsidRPr="00077017">
        <w:rPr>
          <w:rFonts w:ascii="Calibri" w:hAnsi="Calibri"/>
        </w:rPr>
        <w:t xml:space="preserve"> a baseline for statistical comparison</w:t>
      </w:r>
      <w:r w:rsidR="002E722E" w:rsidRPr="00077017">
        <w:rPr>
          <w:rFonts w:ascii="Calibri" w:hAnsi="Calibri"/>
        </w:rPr>
        <w:t xml:space="preserve">. </w:t>
      </w:r>
      <w:r w:rsidR="00F265B5" w:rsidRPr="00077017">
        <w:rPr>
          <w:rFonts w:ascii="Calibri" w:hAnsi="Calibri"/>
        </w:rPr>
        <w:t>Sequences of PCR primer pairs are as follows:</w:t>
      </w:r>
    </w:p>
    <w:p w14:paraId="46D10AAB" w14:textId="6C14C453" w:rsidR="00C9364E" w:rsidRDefault="00C9364E" w:rsidP="00BA1361">
      <w:pPr>
        <w:rPr>
          <w:rFonts w:ascii="Helvetica" w:hAnsi="Helvetica" w:cs="Helvetica"/>
        </w:rPr>
      </w:pPr>
      <w:r>
        <w:rPr>
          <w:rFonts w:ascii="Calibri" w:hAnsi="Calibri"/>
        </w:rPr>
        <w:t xml:space="preserve">PITPNC1: forward </w:t>
      </w:r>
      <w:r>
        <w:rPr>
          <w:rFonts w:ascii="Helvetica" w:hAnsi="Helvetica" w:cs="Helvetica"/>
        </w:rPr>
        <w:t xml:space="preserve">TGCCGAAATTCTCCATTCATATAG </w:t>
      </w:r>
    </w:p>
    <w:p w14:paraId="73BC91B2" w14:textId="66B24169" w:rsidR="00C9364E" w:rsidRDefault="00C9364E" w:rsidP="00BA1361">
      <w:pPr>
        <w:rPr>
          <w:rFonts w:ascii="Helvetica" w:hAnsi="Helvetica" w:cs="Helvetica"/>
        </w:rPr>
      </w:pPr>
      <w:r>
        <w:rPr>
          <w:rFonts w:ascii="Helvetica" w:hAnsi="Helvetica" w:cs="Helvetica"/>
        </w:rPr>
        <w:tab/>
        <w:t xml:space="preserve">   Reverse TACTCAGGTGTCATTGCTTCCT </w:t>
      </w:r>
    </w:p>
    <w:p w14:paraId="37FC5D75" w14:textId="6A8A1CEC" w:rsidR="002F3782" w:rsidRDefault="00F265B5" w:rsidP="00BA1361">
      <w:pPr>
        <w:rPr>
          <w:rFonts w:ascii="Helvetica" w:hAnsi="Helvetica" w:cs="Helvetica"/>
        </w:rPr>
      </w:pPr>
      <w:r w:rsidRPr="00077017">
        <w:rPr>
          <w:rFonts w:ascii="Calibri" w:hAnsi="Calibri"/>
        </w:rPr>
        <w:t>B2M:</w:t>
      </w:r>
      <w:r w:rsidR="00B146EA" w:rsidRPr="00077017">
        <w:rPr>
          <w:rFonts w:ascii="Calibri" w:hAnsi="Calibri"/>
        </w:rPr>
        <w:t xml:space="preserve"> </w:t>
      </w:r>
      <w:r w:rsidR="00C9364E">
        <w:rPr>
          <w:rFonts w:ascii="Calibri" w:hAnsi="Calibri"/>
        </w:rPr>
        <w:t xml:space="preserve">forward </w:t>
      </w:r>
      <w:r w:rsidR="00C9364E">
        <w:rPr>
          <w:rFonts w:ascii="Helvetica" w:hAnsi="Helvetica" w:cs="Helvetica"/>
        </w:rPr>
        <w:t>GCTCCCGATCTTCTCAGTTTAG</w:t>
      </w:r>
    </w:p>
    <w:p w14:paraId="4F8473D5" w14:textId="13A4CECC" w:rsidR="00C9364E" w:rsidRPr="00077017" w:rsidRDefault="00C9364E" w:rsidP="00BA1361">
      <w:pPr>
        <w:rPr>
          <w:rFonts w:ascii="Calibri" w:hAnsi="Calibri"/>
        </w:rPr>
      </w:pPr>
      <w:r>
        <w:rPr>
          <w:rFonts w:ascii="Helvetica" w:hAnsi="Helvetica" w:cs="Helvetica"/>
        </w:rPr>
        <w:tab/>
        <w:t xml:space="preserve">  Reverse CGCGCGTACCTATGCTATATT</w:t>
      </w:r>
    </w:p>
    <w:p w14:paraId="49923A94" w14:textId="77777777" w:rsidR="002C6BE6" w:rsidRPr="00077017" w:rsidRDefault="002C6BE6" w:rsidP="00BA1361">
      <w:pPr>
        <w:rPr>
          <w:rFonts w:ascii="Calibri" w:hAnsi="Calibri"/>
        </w:rPr>
      </w:pPr>
    </w:p>
    <w:p w14:paraId="4CACB0B1" w14:textId="538DCE61" w:rsidR="007D5853" w:rsidRPr="00077017" w:rsidRDefault="007D5853" w:rsidP="00A362B3">
      <w:pPr>
        <w:rPr>
          <w:rFonts w:ascii="Calibri" w:hAnsi="Calibri"/>
          <w:i/>
        </w:rPr>
      </w:pPr>
      <w:r w:rsidRPr="00077017">
        <w:rPr>
          <w:rFonts w:ascii="Calibri" w:hAnsi="Calibri"/>
          <w:b/>
          <w:i/>
          <w:sz w:val="28"/>
        </w:rPr>
        <w:t>Statistical Analysis</w:t>
      </w:r>
    </w:p>
    <w:p w14:paraId="29D02646" w14:textId="31592725" w:rsidR="00E5530D" w:rsidRPr="00077017" w:rsidRDefault="007D5853" w:rsidP="00BA1361">
      <w:pPr>
        <w:rPr>
          <w:rFonts w:ascii="Calibri" w:hAnsi="Calibri"/>
        </w:rPr>
      </w:pPr>
      <w:r w:rsidRPr="00077017">
        <w:rPr>
          <w:rFonts w:ascii="Calibri" w:hAnsi="Calibri"/>
        </w:rPr>
        <w:t>Copy number altera</w:t>
      </w:r>
      <w:r w:rsidR="00AB3B7B" w:rsidRPr="00077017">
        <w:rPr>
          <w:rFonts w:ascii="Calibri" w:hAnsi="Calibri"/>
        </w:rPr>
        <w:t>tions of PITPNC1 were analyzed using</w:t>
      </w:r>
      <w:r w:rsidRPr="00077017">
        <w:rPr>
          <w:rFonts w:ascii="Calibri" w:hAnsi="Calibri"/>
        </w:rPr>
        <w:t xml:space="preserve"> </w:t>
      </w:r>
      <w:proofErr w:type="spellStart"/>
      <w:r w:rsidRPr="00077017">
        <w:rPr>
          <w:rFonts w:ascii="Calibri" w:hAnsi="Calibri"/>
        </w:rPr>
        <w:t>Livak</w:t>
      </w:r>
      <w:proofErr w:type="spellEnd"/>
      <w:r w:rsidRPr="00077017">
        <w:rPr>
          <w:rFonts w:ascii="Calibri" w:hAnsi="Calibri"/>
        </w:rPr>
        <w:t xml:space="preserve"> method</w:t>
      </w:r>
      <w:r w:rsidR="00AB3B7B" w:rsidRPr="00077017">
        <w:rPr>
          <w:rFonts w:ascii="Calibri" w:hAnsi="Calibri"/>
        </w:rPr>
        <w:t>. Raw data was imported to R and normalized to respective B2M threshold cycle</w:t>
      </w:r>
      <w:r w:rsidR="00973D99" w:rsidRPr="00077017">
        <w:rPr>
          <w:rFonts w:ascii="Calibri" w:hAnsi="Calibri"/>
        </w:rPr>
        <w:t>s</w:t>
      </w:r>
      <w:r w:rsidR="00AB3B7B" w:rsidRPr="00077017">
        <w:rPr>
          <w:rFonts w:ascii="Calibri" w:hAnsi="Calibri"/>
        </w:rPr>
        <w:t xml:space="preserve"> as well as a to a</w:t>
      </w:r>
      <w:r w:rsidR="00A362B3" w:rsidRPr="00077017">
        <w:rPr>
          <w:rFonts w:ascii="Calibri" w:hAnsi="Calibri"/>
        </w:rPr>
        <w:t>n</w:t>
      </w:r>
      <w:r w:rsidR="00AB3B7B" w:rsidRPr="00077017">
        <w:rPr>
          <w:rFonts w:ascii="Calibri" w:hAnsi="Calibri"/>
        </w:rPr>
        <w:t xml:space="preserve"> </w:t>
      </w:r>
      <w:r w:rsidR="00A362B3" w:rsidRPr="00077017">
        <w:rPr>
          <w:rFonts w:ascii="Calibri" w:hAnsi="Calibri"/>
        </w:rPr>
        <w:t xml:space="preserve">invariant </w:t>
      </w:r>
      <w:r w:rsidR="00AB3B7B" w:rsidRPr="00077017">
        <w:rPr>
          <w:rFonts w:ascii="Calibri" w:hAnsi="Calibri"/>
        </w:rPr>
        <w:t>normal breast sample calibrator</w:t>
      </w:r>
      <w:r w:rsidR="00A362B3" w:rsidRPr="00077017">
        <w:rPr>
          <w:rFonts w:ascii="Calibri" w:hAnsi="Calibri"/>
        </w:rPr>
        <w:t xml:space="preserve"> present in every plate</w:t>
      </w:r>
      <w:r w:rsidR="00AB3B7B" w:rsidRPr="00077017">
        <w:rPr>
          <w:rFonts w:ascii="Calibri" w:hAnsi="Calibri"/>
        </w:rPr>
        <w:t>.</w:t>
      </w:r>
      <w:r w:rsidR="00A362B3" w:rsidRPr="00077017">
        <w:rPr>
          <w:rFonts w:ascii="Calibri" w:hAnsi="Calibri"/>
        </w:rPr>
        <w:t xml:space="preserve"> Copy number alterations were expressed as relative fold difference against controls used. Pairwise determination of statistical significance was calculated using Welch two-sample t-test. All plots / graphs were generated using </w:t>
      </w:r>
      <w:r w:rsidR="00973D99" w:rsidRPr="00077017">
        <w:rPr>
          <w:rFonts w:ascii="Calibri" w:hAnsi="Calibri"/>
        </w:rPr>
        <w:t>R/</w:t>
      </w:r>
      <w:r w:rsidR="004D033A" w:rsidRPr="00077017">
        <w:rPr>
          <w:rFonts w:ascii="Calibri" w:hAnsi="Calibri"/>
        </w:rPr>
        <w:t>ggplot2.</w:t>
      </w:r>
    </w:p>
    <w:p w14:paraId="7024AA8B" w14:textId="77777777" w:rsidR="00E5530D" w:rsidRPr="00077017" w:rsidRDefault="00E5530D" w:rsidP="00BA1361">
      <w:pPr>
        <w:rPr>
          <w:rFonts w:ascii="Calibri" w:hAnsi="Calibri"/>
        </w:rPr>
      </w:pPr>
    </w:p>
    <w:p w14:paraId="443F7681" w14:textId="076BA05F" w:rsidR="00E5530D" w:rsidRPr="00077017" w:rsidRDefault="00E43E54" w:rsidP="00BA1361">
      <w:pPr>
        <w:rPr>
          <w:rFonts w:ascii="Calibri" w:hAnsi="Calibri"/>
          <w:i/>
        </w:rPr>
      </w:pPr>
      <w:r w:rsidRPr="00077017">
        <w:rPr>
          <w:rFonts w:ascii="Calibri" w:hAnsi="Calibri"/>
          <w:b/>
          <w:i/>
          <w:sz w:val="28"/>
        </w:rPr>
        <w:t>Cell line and</w:t>
      </w:r>
      <w:r w:rsidR="00E5530D" w:rsidRPr="00077017">
        <w:rPr>
          <w:rFonts w:ascii="Calibri" w:hAnsi="Calibri"/>
          <w:b/>
          <w:i/>
          <w:sz w:val="28"/>
        </w:rPr>
        <w:t xml:space="preserve"> transfection</w:t>
      </w:r>
    </w:p>
    <w:p w14:paraId="51B21851" w14:textId="25DA9A07" w:rsidR="00E5530D" w:rsidRPr="00077017" w:rsidRDefault="00832EDB" w:rsidP="00832EDB">
      <w:pPr>
        <w:rPr>
          <w:rFonts w:ascii="Calibri" w:hAnsi="Calibri"/>
        </w:rPr>
      </w:pPr>
      <w:r w:rsidRPr="00077017">
        <w:rPr>
          <w:rFonts w:ascii="Calibri" w:hAnsi="Calibri"/>
        </w:rPr>
        <w:t xml:space="preserve">Cell lines were maintained in 10% fetal bovine serum with DMEM (Dulbecco’s Modified Eagle Medium). Viral vectors overexpressing PITPNC1 as well as empty viral vector were transfected into HEK293. Viral particles were harvested and subsequently transduced into the invasive MDA-MB-231 cell line. </w:t>
      </w:r>
    </w:p>
    <w:p w14:paraId="211309E0" w14:textId="77777777" w:rsidR="00394674" w:rsidRPr="00077017" w:rsidRDefault="00394674" w:rsidP="00BA1361">
      <w:pPr>
        <w:rPr>
          <w:rFonts w:ascii="Calibri" w:hAnsi="Calibri"/>
        </w:rPr>
      </w:pPr>
    </w:p>
    <w:p w14:paraId="46EB634C" w14:textId="77777777" w:rsidR="001816D6" w:rsidRPr="00077017" w:rsidRDefault="001816D6" w:rsidP="001816D6">
      <w:pPr>
        <w:rPr>
          <w:rFonts w:ascii="Calibri" w:hAnsi="Calibri"/>
          <w:b/>
          <w:i/>
          <w:sz w:val="28"/>
          <w:lang w:val="en-CA"/>
        </w:rPr>
      </w:pPr>
      <w:r w:rsidRPr="00077017">
        <w:rPr>
          <w:rFonts w:ascii="Calibri" w:hAnsi="Calibri"/>
          <w:b/>
          <w:i/>
          <w:sz w:val="28"/>
        </w:rPr>
        <w:t>Proliferation and Invasion/Migration Assays</w:t>
      </w:r>
    </w:p>
    <w:p w14:paraId="4AD0CA3D" w14:textId="7B868EB4" w:rsidR="001816D6" w:rsidRPr="00077017" w:rsidRDefault="001816D6" w:rsidP="00BA1361">
      <w:pPr>
        <w:rPr>
          <w:rFonts w:ascii="Calibri" w:hAnsi="Calibri"/>
        </w:rPr>
      </w:pPr>
      <w:r w:rsidRPr="00077017">
        <w:rPr>
          <w:rFonts w:ascii="Calibri" w:hAnsi="Calibri"/>
        </w:rPr>
        <w:t xml:space="preserve">250 cells from PITPNC1 </w:t>
      </w:r>
      <w:r w:rsidR="002720DA" w:rsidRPr="00077017">
        <w:rPr>
          <w:rFonts w:ascii="Calibri" w:hAnsi="Calibri"/>
        </w:rPr>
        <w:t>overexpressing</w:t>
      </w:r>
      <w:r w:rsidRPr="00077017">
        <w:rPr>
          <w:rFonts w:ascii="Calibri" w:hAnsi="Calibri"/>
        </w:rPr>
        <w:t xml:space="preserve"> MDA-MB-231 cell line as well as transfection controls were plated and incubated for three days. Proliferation capabilities associated with PITPNC1 overexpression were evaluated using a hemocytometer on cells stained with Trypan blue. Migration and invasion potentials were tested using a Trans-well migration assay</w:t>
      </w:r>
      <w:r w:rsidR="002720DA" w:rsidRPr="00077017">
        <w:rPr>
          <w:rFonts w:ascii="Calibri" w:hAnsi="Calibri"/>
        </w:rPr>
        <w:t xml:space="preserve">. A total of 1000 </w:t>
      </w:r>
      <w:r w:rsidR="00F84488" w:rsidRPr="00077017">
        <w:rPr>
          <w:rFonts w:ascii="Calibri" w:hAnsi="Calibri"/>
        </w:rPr>
        <w:t>cells were added to the top chamber with</w:t>
      </w:r>
      <w:r w:rsidR="00A338D1" w:rsidRPr="00077017">
        <w:rPr>
          <w:rFonts w:ascii="Calibri" w:hAnsi="Calibri"/>
        </w:rPr>
        <w:t xml:space="preserve"> 8.0 micrometer pore membrane.</w:t>
      </w:r>
      <w:r w:rsidR="00F84488" w:rsidRPr="00077017">
        <w:rPr>
          <w:rFonts w:ascii="Calibri" w:hAnsi="Calibri"/>
        </w:rPr>
        <w:t xml:space="preserve"> After</w:t>
      </w:r>
      <w:r w:rsidR="00A338D1" w:rsidRPr="00077017">
        <w:rPr>
          <w:rFonts w:ascii="Calibri" w:hAnsi="Calibri"/>
        </w:rPr>
        <w:t xml:space="preserve"> 24</w:t>
      </w:r>
      <w:r w:rsidR="00F84488" w:rsidRPr="00077017">
        <w:rPr>
          <w:rFonts w:ascii="Calibri" w:hAnsi="Calibri"/>
        </w:rPr>
        <w:t xml:space="preserve"> hours</w:t>
      </w:r>
      <w:r w:rsidR="00C9364E">
        <w:rPr>
          <w:rFonts w:ascii="Calibri" w:hAnsi="Calibri"/>
        </w:rPr>
        <w:t xml:space="preserve"> of incubation</w:t>
      </w:r>
      <w:r w:rsidR="00F84488" w:rsidRPr="00077017">
        <w:rPr>
          <w:rFonts w:ascii="Calibri" w:hAnsi="Calibri"/>
        </w:rPr>
        <w:t xml:space="preserve">, the cells migrated to the other side of the membrane were stained </w:t>
      </w:r>
      <w:r w:rsidR="00A338D1" w:rsidRPr="00077017">
        <w:rPr>
          <w:rFonts w:ascii="Calibri" w:hAnsi="Calibri"/>
        </w:rPr>
        <w:t xml:space="preserve">using Diff-Quick and </w:t>
      </w:r>
      <w:r w:rsidR="00310E59" w:rsidRPr="00077017">
        <w:rPr>
          <w:rFonts w:ascii="Calibri" w:hAnsi="Calibri"/>
        </w:rPr>
        <w:t>counted</w:t>
      </w:r>
      <w:r w:rsidR="00A338D1" w:rsidRPr="00077017">
        <w:rPr>
          <w:rFonts w:ascii="Calibri" w:hAnsi="Calibri"/>
        </w:rPr>
        <w:t>.</w:t>
      </w:r>
    </w:p>
    <w:p w14:paraId="741D956F" w14:textId="77777777" w:rsidR="00C9364E" w:rsidRDefault="00C9364E" w:rsidP="00BA1361">
      <w:pPr>
        <w:rPr>
          <w:rFonts w:ascii="Calibri" w:hAnsi="Calibri"/>
        </w:rPr>
      </w:pPr>
    </w:p>
    <w:p w14:paraId="13AD6C1B" w14:textId="4DA16137" w:rsidR="00FC184E" w:rsidRPr="00077017" w:rsidRDefault="000330BD" w:rsidP="00BA1361">
      <w:pPr>
        <w:rPr>
          <w:rFonts w:ascii="Calibri" w:hAnsi="Calibri"/>
          <w:b/>
          <w:sz w:val="28"/>
        </w:rPr>
      </w:pPr>
      <w:r w:rsidRPr="00077017">
        <w:rPr>
          <w:rFonts w:ascii="Calibri" w:hAnsi="Calibri"/>
          <w:b/>
          <w:sz w:val="28"/>
        </w:rPr>
        <w:t xml:space="preserve">Results </w:t>
      </w:r>
    </w:p>
    <w:p w14:paraId="37189FED" w14:textId="3467B36A" w:rsidR="000330BD" w:rsidRPr="00077017" w:rsidRDefault="000330BD" w:rsidP="00BA1361">
      <w:pPr>
        <w:rPr>
          <w:rFonts w:ascii="Calibri" w:hAnsi="Calibri"/>
        </w:rPr>
      </w:pPr>
      <w:r w:rsidRPr="00077017">
        <w:rPr>
          <w:rFonts w:ascii="Calibri" w:hAnsi="Calibri"/>
          <w:b/>
          <w:i/>
          <w:sz w:val="28"/>
        </w:rPr>
        <w:t>PITPNC1 is amplified in DCIS and IDC</w:t>
      </w:r>
      <w:r w:rsidR="004C6256" w:rsidRPr="00077017">
        <w:rPr>
          <w:rFonts w:ascii="Calibri" w:hAnsi="Calibri"/>
          <w:b/>
          <w:i/>
          <w:sz w:val="28"/>
        </w:rPr>
        <w:t xml:space="preserve"> </w:t>
      </w:r>
      <w:r w:rsidR="0055546D" w:rsidRPr="00077017">
        <w:rPr>
          <w:rFonts w:ascii="Calibri" w:hAnsi="Calibri"/>
          <w:b/>
          <w:i/>
          <w:sz w:val="28"/>
        </w:rPr>
        <w:t>FFPE samples</w:t>
      </w:r>
    </w:p>
    <w:p w14:paraId="5CB5A047" w14:textId="1C5FA6B0" w:rsidR="00E5143C" w:rsidRPr="00077017" w:rsidRDefault="00EB39DF" w:rsidP="00E5143C">
      <w:pPr>
        <w:rPr>
          <w:rFonts w:ascii="Calibri" w:hAnsi="Calibri"/>
        </w:rPr>
      </w:pPr>
      <w:r w:rsidRPr="00077017">
        <w:rPr>
          <w:rFonts w:ascii="Calibri" w:hAnsi="Calibri"/>
        </w:rPr>
        <w:t>To verify that amplification of PITPNC1</w:t>
      </w:r>
      <w:r w:rsidR="00652B89" w:rsidRPr="00077017">
        <w:rPr>
          <w:rFonts w:ascii="Calibri" w:hAnsi="Calibri"/>
        </w:rPr>
        <w:t xml:space="preserve"> corresponds to microarray data</w:t>
      </w:r>
      <w:r w:rsidRPr="00077017">
        <w:rPr>
          <w:rFonts w:ascii="Calibri" w:hAnsi="Calibri"/>
        </w:rPr>
        <w:t xml:space="preserve">, we used qPCR to quantitate PITPNC1 fold differences in SCOMP amplified FFPE samples. </w:t>
      </w:r>
      <w:r w:rsidR="00226EA2" w:rsidRPr="00077017">
        <w:rPr>
          <w:rFonts w:ascii="Calibri" w:hAnsi="Calibri"/>
        </w:rPr>
        <w:t xml:space="preserve">To ensure the validity of qPCR on amplified </w:t>
      </w:r>
      <w:r w:rsidR="001F4056" w:rsidRPr="00077017">
        <w:rPr>
          <w:rFonts w:ascii="Calibri" w:hAnsi="Calibri"/>
        </w:rPr>
        <w:t xml:space="preserve">FFPE </w:t>
      </w:r>
      <w:r w:rsidR="00226EA2" w:rsidRPr="00077017">
        <w:rPr>
          <w:rFonts w:ascii="Calibri" w:hAnsi="Calibri"/>
        </w:rPr>
        <w:t xml:space="preserve">DNA samples, we </w:t>
      </w:r>
      <w:r w:rsidR="00166AD5" w:rsidRPr="00077017">
        <w:rPr>
          <w:rFonts w:ascii="Calibri" w:hAnsi="Calibri"/>
        </w:rPr>
        <w:t xml:space="preserve">first </w:t>
      </w:r>
      <w:r w:rsidR="00226EA2" w:rsidRPr="00077017">
        <w:rPr>
          <w:rFonts w:ascii="Calibri" w:hAnsi="Calibri"/>
        </w:rPr>
        <w:t>tested</w:t>
      </w:r>
      <w:r w:rsidR="0093719D" w:rsidRPr="00077017">
        <w:rPr>
          <w:rFonts w:ascii="Calibri" w:hAnsi="Calibri"/>
        </w:rPr>
        <w:t xml:space="preserve"> </w:t>
      </w:r>
      <w:r w:rsidR="00226EA2" w:rsidRPr="00077017">
        <w:rPr>
          <w:rFonts w:ascii="Calibri" w:hAnsi="Calibri"/>
        </w:rPr>
        <w:t xml:space="preserve">the </w:t>
      </w:r>
      <w:r w:rsidR="0093719D" w:rsidRPr="00077017">
        <w:rPr>
          <w:rFonts w:ascii="Calibri" w:hAnsi="Calibri"/>
        </w:rPr>
        <w:t>fidelity of SCOMP amplification method</w:t>
      </w:r>
      <w:r w:rsidR="00226EA2" w:rsidRPr="00077017">
        <w:rPr>
          <w:rFonts w:ascii="Calibri" w:hAnsi="Calibri"/>
        </w:rPr>
        <w:t xml:space="preserve"> by comparing</w:t>
      </w:r>
      <w:r w:rsidR="0093719D" w:rsidRPr="00077017">
        <w:rPr>
          <w:rFonts w:ascii="Calibri" w:hAnsi="Calibri"/>
        </w:rPr>
        <w:t xml:space="preserve"> PITPNC1 copy number </w:t>
      </w:r>
      <w:r w:rsidR="00226EA2" w:rsidRPr="00077017">
        <w:rPr>
          <w:rFonts w:ascii="Calibri" w:hAnsi="Calibri"/>
        </w:rPr>
        <w:t xml:space="preserve">alterations </w:t>
      </w:r>
      <w:r w:rsidR="0093719D" w:rsidRPr="00077017">
        <w:rPr>
          <w:rFonts w:ascii="Calibri" w:hAnsi="Calibri"/>
        </w:rPr>
        <w:t xml:space="preserve">in 7 SCOMP amplified, 9 WGA </w:t>
      </w:r>
      <w:r w:rsidR="0093719D" w:rsidRPr="00077017">
        <w:rPr>
          <w:rFonts w:ascii="Calibri" w:hAnsi="Calibri"/>
        </w:rPr>
        <w:lastRenderedPageBreak/>
        <w:t>amplified, and 8 unamp</w:t>
      </w:r>
      <w:r w:rsidR="00226EA2" w:rsidRPr="00077017">
        <w:rPr>
          <w:rFonts w:ascii="Calibri" w:hAnsi="Calibri"/>
        </w:rPr>
        <w:t>lified normal breast tissues (Figure 1). In general, genome</w:t>
      </w:r>
      <w:r w:rsidR="00BE3E57" w:rsidRPr="00077017">
        <w:rPr>
          <w:rFonts w:ascii="Calibri" w:hAnsi="Calibri"/>
        </w:rPr>
        <w:t xml:space="preserve"> amplification methods reduce the number of detectable PITPNC1 to within one threshold cycle when comparing to unamplified DNA. Measurements from SCOMP amplified samples were close to that o</w:t>
      </w:r>
      <w:r w:rsidR="001F4056" w:rsidRPr="00077017">
        <w:rPr>
          <w:rFonts w:ascii="Calibri" w:hAnsi="Calibri"/>
        </w:rPr>
        <w:t>f WGA amplified sample, reinforcing the reproducibility of qPCR analysis on SCOMP amplified FFPE DNA. Although we tried to select matched DCIS and IDC from the same patient section, no statistically significant conclusion was derived from these matched cases because of insufficient sample size. As a result, tumor stage was the only differentiating factor in evaluating copy number alterations of these patient samples</w:t>
      </w:r>
      <w:r w:rsidR="003A352D" w:rsidRPr="00077017">
        <w:rPr>
          <w:rFonts w:ascii="Calibri" w:hAnsi="Calibri"/>
        </w:rPr>
        <w:t>. We compared PITPNC1 copy number changes in 26 DCIS and 38 IDC samples against 25 normal breast tissue controls. PITPNC1 was shown to be amplified in DCIS (p=0.0002) and IDC (p=0.05)</w:t>
      </w:r>
      <w:r w:rsidR="00E5143C" w:rsidRPr="00077017">
        <w:rPr>
          <w:rFonts w:ascii="Calibri" w:hAnsi="Calibri"/>
        </w:rPr>
        <w:t>, whose respective</w:t>
      </w:r>
      <w:r w:rsidR="003A352D" w:rsidRPr="00077017">
        <w:rPr>
          <w:rFonts w:ascii="Calibri" w:hAnsi="Calibri" w:cs="Calibri"/>
          <w:color w:val="000000"/>
          <w:lang w:val="en-CA"/>
        </w:rPr>
        <w:t xml:space="preserve"> 95% confidence interval</w:t>
      </w:r>
      <w:r w:rsidR="00E5143C" w:rsidRPr="00077017">
        <w:rPr>
          <w:rFonts w:ascii="Calibri" w:hAnsi="Calibri" w:cs="Calibri"/>
          <w:color w:val="000000"/>
          <w:lang w:val="en-CA"/>
        </w:rPr>
        <w:t>s</w:t>
      </w:r>
      <w:r w:rsidR="00E56796" w:rsidRPr="00077017">
        <w:rPr>
          <w:rFonts w:ascii="Calibri" w:hAnsi="Calibri" w:cs="Calibri"/>
          <w:color w:val="000000"/>
          <w:lang w:val="en-CA"/>
        </w:rPr>
        <w:t xml:space="preserve"> for PITPNC1 </w:t>
      </w:r>
      <w:r w:rsidR="003A352D" w:rsidRPr="00077017">
        <w:rPr>
          <w:rFonts w:ascii="Calibri" w:hAnsi="Calibri" w:cs="Calibri"/>
          <w:color w:val="000000"/>
          <w:lang w:val="en-CA"/>
        </w:rPr>
        <w:t>fold difference are [3.92, 7.13] and [2.17, 4.94] respectively</w:t>
      </w:r>
      <w:r w:rsidR="00E5143C" w:rsidRPr="00077017">
        <w:rPr>
          <w:rFonts w:ascii="Calibri" w:hAnsi="Calibri" w:cs="Calibri"/>
          <w:color w:val="000000"/>
          <w:lang w:val="en-CA"/>
        </w:rPr>
        <w:t xml:space="preserve"> (Figure 2)</w:t>
      </w:r>
      <w:r w:rsidR="003A352D" w:rsidRPr="00077017">
        <w:rPr>
          <w:rFonts w:ascii="Calibri" w:hAnsi="Calibri" w:cs="Calibri"/>
          <w:color w:val="000000"/>
          <w:lang w:val="en-CA"/>
        </w:rPr>
        <w:t>.</w:t>
      </w:r>
      <w:r w:rsidR="0098019E" w:rsidRPr="00077017">
        <w:rPr>
          <w:rFonts w:ascii="Calibri" w:hAnsi="Calibri" w:cs="Calibri"/>
          <w:color w:val="000000"/>
          <w:lang w:val="en-CA"/>
        </w:rPr>
        <w:t xml:space="preserve"> The large standard error observed may be caused by the inherent heterogeneous nature of malignant breast cancer genome.  </w:t>
      </w:r>
    </w:p>
    <w:p w14:paraId="6B99A7F0" w14:textId="281004AD" w:rsidR="001F4056" w:rsidRPr="00077017" w:rsidRDefault="004C6256" w:rsidP="003F3371">
      <w:pPr>
        <w:rPr>
          <w:rFonts w:ascii="Calibri" w:hAnsi="Calibri"/>
        </w:rPr>
      </w:pPr>
      <w:r w:rsidRPr="00077017">
        <w:rPr>
          <w:rFonts w:ascii="Calibri" w:hAnsi="Calibri"/>
          <w:noProof/>
        </w:rPr>
        <w:drawing>
          <wp:anchor distT="0" distB="0" distL="114300" distR="114300" simplePos="0" relativeHeight="251658240" behindDoc="0" locked="0" layoutInCell="1" allowOverlap="1" wp14:anchorId="069C2305" wp14:editId="30E15CAE">
            <wp:simplePos x="0" y="0"/>
            <wp:positionH relativeFrom="column">
              <wp:posOffset>-293370</wp:posOffset>
            </wp:positionH>
            <wp:positionV relativeFrom="paragraph">
              <wp:posOffset>230505</wp:posOffset>
            </wp:positionV>
            <wp:extent cx="3658870" cy="36639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8870" cy="3663950"/>
                    </a:xfrm>
                    <a:prstGeom prst="rect">
                      <a:avLst/>
                    </a:prstGeom>
                  </pic:spPr>
                </pic:pic>
              </a:graphicData>
            </a:graphic>
            <wp14:sizeRelH relativeFrom="margin">
              <wp14:pctWidth>0</wp14:pctWidth>
            </wp14:sizeRelH>
            <wp14:sizeRelV relativeFrom="margin">
              <wp14:pctHeight>0</wp14:pctHeight>
            </wp14:sizeRelV>
          </wp:anchor>
        </w:drawing>
      </w:r>
    </w:p>
    <w:p w14:paraId="44AECCF9" w14:textId="09903200" w:rsidR="004D033A" w:rsidRPr="00077017" w:rsidRDefault="004C6256" w:rsidP="00BA1361">
      <w:pPr>
        <w:rPr>
          <w:rFonts w:ascii="Calibri" w:hAnsi="Calibri"/>
        </w:rPr>
      </w:pPr>
      <w:r w:rsidRPr="00077017">
        <w:rPr>
          <w:rFonts w:ascii="Calibri" w:hAnsi="Calibri"/>
          <w:noProof/>
        </w:rPr>
        <mc:AlternateContent>
          <mc:Choice Requires="wps">
            <w:drawing>
              <wp:anchor distT="0" distB="0" distL="114300" distR="114300" simplePos="0" relativeHeight="251660288" behindDoc="0" locked="0" layoutInCell="1" allowOverlap="1" wp14:anchorId="476559B7" wp14:editId="6ABDF560">
                <wp:simplePos x="0" y="0"/>
                <wp:positionH relativeFrom="column">
                  <wp:posOffset>4051300</wp:posOffset>
                </wp:positionH>
                <wp:positionV relativeFrom="paragraph">
                  <wp:posOffset>274320</wp:posOffset>
                </wp:positionV>
                <wp:extent cx="2056130" cy="3315970"/>
                <wp:effectExtent l="0" t="0" r="0" b="11430"/>
                <wp:wrapSquare wrapText="bothSides"/>
                <wp:docPr id="4" name="Text Box 4"/>
                <wp:cNvGraphicFramePr/>
                <a:graphic xmlns:a="http://schemas.openxmlformats.org/drawingml/2006/main">
                  <a:graphicData uri="http://schemas.microsoft.com/office/word/2010/wordprocessingShape">
                    <wps:wsp>
                      <wps:cNvSpPr txBox="1"/>
                      <wps:spPr>
                        <a:xfrm>
                          <a:off x="0" y="0"/>
                          <a:ext cx="2056130" cy="3315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5D9210" w14:textId="77777777" w:rsidR="001F4056" w:rsidRPr="00226EA2" w:rsidRDefault="001F4056" w:rsidP="001F4056">
                            <w:pPr>
                              <w:rPr>
                                <w:rFonts w:ascii="Calibri" w:hAnsi="Calibri"/>
                              </w:rPr>
                            </w:pPr>
                            <w:r>
                              <w:rPr>
                                <w:rFonts w:ascii="Calibri" w:hAnsi="Calibri"/>
                                <w:b/>
                                <w:bCs/>
                              </w:rPr>
                              <w:t>Figure 1</w:t>
                            </w:r>
                            <w:r w:rsidRPr="00226EA2">
                              <w:rPr>
                                <w:rFonts w:ascii="Calibri" w:hAnsi="Calibri"/>
                                <w:b/>
                                <w:bCs/>
                              </w:rPr>
                              <w:t xml:space="preserve">   SCOMP amplification moderately alters qPCR results</w:t>
                            </w:r>
                          </w:p>
                          <w:p w14:paraId="50B97436" w14:textId="77777777" w:rsidR="001F4056" w:rsidRDefault="001F4056" w:rsidP="001F4056">
                            <w:pPr>
                              <w:rPr>
                                <w:rFonts w:ascii="Calibri" w:hAnsi="Calibri"/>
                              </w:rPr>
                            </w:pPr>
                            <w:r w:rsidRPr="00226EA2">
                              <w:rPr>
                                <w:rFonts w:ascii="Calibri" w:hAnsi="Calibri"/>
                              </w:rPr>
                              <w:t>Comparison of PITPNC1 amplification on normal patient samples prepared with varying amplification methods.  Data were derived from a subset of 7 SCOMP, 9 WGA, and 8 unamplified samples</w:t>
                            </w:r>
                          </w:p>
                          <w:p w14:paraId="64B7B41B" w14:textId="77777777" w:rsidR="001F4056" w:rsidRDefault="001F4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559B7" id="_x0000_t202" coordsize="21600,21600" o:spt="202" path="m0,0l0,21600,21600,21600,21600,0xe">
                <v:stroke joinstyle="miter"/>
                <v:path gradientshapeok="t" o:connecttype="rect"/>
              </v:shapetype>
              <v:shape id="Text_x0020_Box_x0020_4" o:spid="_x0000_s1026" type="#_x0000_t202" style="position:absolute;margin-left:319pt;margin-top:21.6pt;width:161.9pt;height:26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" filled="f" stroked="f">
                <v:textbox>
                  <w:txbxContent>
                    <w:p w14:paraId="705D9210" w14:textId="77777777" w:rsidR="001F4056" w:rsidRPr="00226EA2" w:rsidRDefault="001F4056" w:rsidP="001F4056">
                      <w:pPr>
                        <w:rPr>
                          <w:rFonts w:ascii="Calibri" w:hAnsi="Calibri"/>
                        </w:rPr>
                      </w:pPr>
                      <w:r>
                        <w:rPr>
                          <w:rFonts w:ascii="Calibri" w:hAnsi="Calibri"/>
                          <w:b/>
                          <w:bCs/>
                        </w:rPr>
                        <w:t>Figure 1</w:t>
                      </w:r>
                      <w:r w:rsidRPr="00226EA2">
                        <w:rPr>
                          <w:rFonts w:ascii="Calibri" w:hAnsi="Calibri"/>
                          <w:b/>
                          <w:bCs/>
                        </w:rPr>
                        <w:t xml:space="preserve">   SCOMP amplification moderately alters qPCR results</w:t>
                      </w:r>
                    </w:p>
                    <w:p w14:paraId="50B97436" w14:textId="77777777" w:rsidR="001F4056" w:rsidRDefault="001F4056" w:rsidP="001F4056">
                      <w:pPr>
                        <w:rPr>
                          <w:rFonts w:ascii="Calibri" w:hAnsi="Calibri"/>
                        </w:rPr>
                      </w:pPr>
                      <w:r w:rsidRPr="00226EA2">
                        <w:rPr>
                          <w:rFonts w:ascii="Calibri" w:hAnsi="Calibri"/>
                        </w:rPr>
                        <w:t>Comparison of PITPNC1 amplification on normal patient samples prepared with varying amplification methods.  Data were derived from a subset of 7 SCOMP, 9 WGA, and 8 unamplified samples</w:t>
                      </w:r>
                    </w:p>
                    <w:p w14:paraId="64B7B41B" w14:textId="77777777" w:rsidR="001F4056" w:rsidRDefault="001F4056"/>
                  </w:txbxContent>
                </v:textbox>
                <w10:wrap type="square"/>
              </v:shape>
            </w:pict>
          </mc:Fallback>
        </mc:AlternateContent>
      </w:r>
    </w:p>
    <w:p w14:paraId="00FA4BC5" w14:textId="1E8844E9" w:rsidR="004D033A" w:rsidRPr="00077017" w:rsidRDefault="004C6256" w:rsidP="00BA1361">
      <w:pPr>
        <w:rPr>
          <w:rFonts w:ascii="Calibri" w:hAnsi="Calibri"/>
        </w:rPr>
      </w:pPr>
      <w:r w:rsidRPr="00077017">
        <w:rPr>
          <w:rFonts w:ascii="Calibri" w:hAnsi="Calibri"/>
          <w:noProof/>
        </w:rPr>
        <w:lastRenderedPageBreak/>
        <mc:AlternateContent>
          <mc:Choice Requires="wps">
            <w:drawing>
              <wp:anchor distT="0" distB="0" distL="114300" distR="114300" simplePos="0" relativeHeight="251659264" behindDoc="0" locked="0" layoutInCell="1" allowOverlap="1" wp14:anchorId="20CC427D" wp14:editId="463B7C15">
                <wp:simplePos x="0" y="0"/>
                <wp:positionH relativeFrom="column">
                  <wp:posOffset>4054475</wp:posOffset>
                </wp:positionH>
                <wp:positionV relativeFrom="paragraph">
                  <wp:posOffset>4200525</wp:posOffset>
                </wp:positionV>
                <wp:extent cx="2281555" cy="28600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2281555" cy="2860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832631" w14:textId="20905545" w:rsidR="001F4056" w:rsidRPr="001F4056" w:rsidRDefault="001F4056" w:rsidP="001F4056">
                            <w:pPr>
                              <w:rPr>
                                <w:rFonts w:ascii="Calibri" w:hAnsi="Calibri"/>
                              </w:rPr>
                            </w:pPr>
                            <w:r>
                              <w:rPr>
                                <w:rFonts w:ascii="Calibri" w:hAnsi="Calibri"/>
                                <w:b/>
                                <w:bCs/>
                              </w:rPr>
                              <w:t>Figure 2</w:t>
                            </w:r>
                            <w:r w:rsidRPr="001F4056">
                              <w:rPr>
                                <w:rFonts w:ascii="Calibri" w:hAnsi="Calibri"/>
                                <w:b/>
                                <w:bCs/>
                              </w:rPr>
                              <w:t xml:space="preserve">   PITPNC1 is overexpressed in DCIS and IDC compared to control </w:t>
                            </w:r>
                          </w:p>
                          <w:p w14:paraId="7A5CF66C" w14:textId="77777777" w:rsidR="001F4056" w:rsidRPr="001F4056" w:rsidRDefault="001F4056" w:rsidP="001F4056">
                            <w:pPr>
                              <w:rPr>
                                <w:rFonts w:ascii="Calibri" w:hAnsi="Calibri"/>
                              </w:rPr>
                            </w:pPr>
                            <w:r w:rsidRPr="001F4056">
                              <w:rPr>
                                <w:rFonts w:ascii="Calibri" w:hAnsi="Calibri"/>
                              </w:rPr>
                              <w:t xml:space="preserve">Comparative qPCR analysis on relative expression of PITPNC1 between normal breast tissue controls, DCIS, and IDC samples. Boxplot represents median expression fold differences of the gene. Each dot represents a unique sample, averaged from a triplicate. P-values obtained from Welch two-sample t-test are labeled </w:t>
                            </w:r>
                          </w:p>
                          <w:p w14:paraId="5B667828" w14:textId="77777777" w:rsidR="001F4056" w:rsidRPr="000330BD" w:rsidRDefault="001F4056" w:rsidP="001F4056">
                            <w:pPr>
                              <w:rPr>
                                <w:rFonts w:ascii="Calibri" w:hAnsi="Calibri"/>
                              </w:rPr>
                            </w:pPr>
                          </w:p>
                          <w:p w14:paraId="086DD59B" w14:textId="77777777" w:rsidR="001F4056" w:rsidRDefault="001F4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C427D" id="Text_x0020_Box_x0020_3" o:spid="_x0000_s1027" type="#_x0000_t202" style="position:absolute;margin-left:319.25pt;margin-top:330.75pt;width:179.65pt;height:2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" filled="f" stroked="f">
                <v:textbox>
                  <w:txbxContent>
                    <w:p w14:paraId="18832631" w14:textId="20905545" w:rsidR="001F4056" w:rsidRPr="001F4056" w:rsidRDefault="001F4056" w:rsidP="001F4056">
                      <w:pPr>
                        <w:rPr>
                          <w:rFonts w:ascii="Calibri" w:hAnsi="Calibri"/>
                        </w:rPr>
                      </w:pPr>
                      <w:r>
                        <w:rPr>
                          <w:rFonts w:ascii="Calibri" w:hAnsi="Calibri"/>
                          <w:b/>
                          <w:bCs/>
                        </w:rPr>
                        <w:t>Figure 2</w:t>
                      </w:r>
                      <w:r w:rsidRPr="001F4056">
                        <w:rPr>
                          <w:rFonts w:ascii="Calibri" w:hAnsi="Calibri"/>
                          <w:b/>
                          <w:bCs/>
                        </w:rPr>
                        <w:t xml:space="preserve">   PITPNC1 is overexpressed in DCIS and IDC compared to control </w:t>
                      </w:r>
                    </w:p>
                    <w:p w14:paraId="7A5CF66C" w14:textId="77777777" w:rsidR="001F4056" w:rsidRPr="001F4056" w:rsidRDefault="001F4056" w:rsidP="001F4056">
                      <w:pPr>
                        <w:rPr>
                          <w:rFonts w:ascii="Calibri" w:hAnsi="Calibri"/>
                        </w:rPr>
                      </w:pPr>
                      <w:r w:rsidRPr="001F4056">
                        <w:rPr>
                          <w:rFonts w:ascii="Calibri" w:hAnsi="Calibri"/>
                        </w:rPr>
                        <w:t xml:space="preserve">Comparative qPCR analysis on relative expression of PITPNC1 between normal breast tissue controls, DCIS, and IDC samples. Boxplot represents median expression fold differences of the gene. Each dot represents a unique sample, averaged from a triplicate. P-values obtained from Welch two-sample t-test are labeled </w:t>
                      </w:r>
                    </w:p>
                    <w:p w14:paraId="5B667828" w14:textId="77777777" w:rsidR="001F4056" w:rsidRPr="000330BD" w:rsidRDefault="001F4056" w:rsidP="001F4056">
                      <w:pPr>
                        <w:rPr>
                          <w:rFonts w:ascii="Calibri" w:hAnsi="Calibri"/>
                        </w:rPr>
                      </w:pPr>
                    </w:p>
                    <w:p w14:paraId="086DD59B" w14:textId="77777777" w:rsidR="001F4056" w:rsidRDefault="001F4056"/>
                  </w:txbxContent>
                </v:textbox>
                <w10:wrap type="square"/>
              </v:shape>
            </w:pict>
          </mc:Fallback>
        </mc:AlternateContent>
      </w:r>
      <w:r w:rsidR="001F4056" w:rsidRPr="00077017">
        <w:rPr>
          <w:rFonts w:ascii="Calibri" w:hAnsi="Calibri"/>
          <w:noProof/>
        </w:rPr>
        <w:drawing>
          <wp:inline distT="0" distB="0" distL="0" distR="0" wp14:anchorId="0F7E81D7" wp14:editId="1CBEA927">
            <wp:extent cx="3594735" cy="432827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594735" cy="4328277"/>
                    </a:xfrm>
                    <a:prstGeom prst="rect">
                      <a:avLst/>
                    </a:prstGeom>
                  </pic:spPr>
                </pic:pic>
              </a:graphicData>
            </a:graphic>
          </wp:inline>
        </w:drawing>
      </w:r>
    </w:p>
    <w:p w14:paraId="1D3979D8" w14:textId="6841E458" w:rsidR="004D033A" w:rsidRPr="00077017" w:rsidRDefault="004C6256" w:rsidP="00BA1361">
      <w:pPr>
        <w:rPr>
          <w:rFonts w:ascii="Calibri" w:hAnsi="Calibri"/>
        </w:rPr>
      </w:pPr>
      <w:r w:rsidRPr="00077017">
        <w:rPr>
          <w:rFonts w:ascii="Calibri" w:hAnsi="Calibri"/>
          <w:noProof/>
        </w:rPr>
        <mc:AlternateContent>
          <mc:Choice Requires="wps">
            <w:drawing>
              <wp:anchor distT="0" distB="0" distL="114300" distR="114300" simplePos="0" relativeHeight="251661312" behindDoc="0" locked="0" layoutInCell="1" allowOverlap="1" wp14:anchorId="42E2012D" wp14:editId="081B7D06">
                <wp:simplePos x="0" y="0"/>
                <wp:positionH relativeFrom="column">
                  <wp:posOffset>3825875</wp:posOffset>
                </wp:positionH>
                <wp:positionV relativeFrom="paragraph">
                  <wp:posOffset>150495</wp:posOffset>
                </wp:positionV>
                <wp:extent cx="2282825" cy="2937510"/>
                <wp:effectExtent l="0" t="0" r="0" b="8890"/>
                <wp:wrapSquare wrapText="bothSides"/>
                <wp:docPr id="6" name="Text Box 6"/>
                <wp:cNvGraphicFramePr/>
                <a:graphic xmlns:a="http://schemas.openxmlformats.org/drawingml/2006/main">
                  <a:graphicData uri="http://schemas.microsoft.com/office/word/2010/wordprocessingShape">
                    <wps:wsp>
                      <wps:cNvSpPr txBox="1"/>
                      <wps:spPr>
                        <a:xfrm>
                          <a:off x="0" y="0"/>
                          <a:ext cx="2282825" cy="29375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351ED0" w14:textId="5C23D7B6" w:rsidR="004C6256" w:rsidRPr="004C6256" w:rsidRDefault="004C6256" w:rsidP="004C6256">
                            <w:pPr>
                              <w:rPr>
                                <w:rFonts w:ascii="Calibri" w:hAnsi="Calibri"/>
                              </w:rPr>
                            </w:pPr>
                            <w:r w:rsidRPr="004C6256">
                              <w:rPr>
                                <w:rFonts w:ascii="Calibri" w:hAnsi="Calibri"/>
                                <w:b/>
                                <w:bCs/>
                              </w:rPr>
                              <w:t xml:space="preserve">Figure 3 Transfected MDA-MB-231 cell line exhibits PITPNC1 over-expression </w:t>
                            </w:r>
                          </w:p>
                          <w:p w14:paraId="7BEBEDF2" w14:textId="25882BCE" w:rsidR="004C6256" w:rsidRPr="004C6256" w:rsidRDefault="004C6256" w:rsidP="004C6256">
                            <w:pPr>
                              <w:rPr>
                                <w:rFonts w:ascii="Calibri" w:hAnsi="Calibri"/>
                              </w:rPr>
                            </w:pPr>
                            <w:r w:rsidRPr="004C6256">
                              <w:rPr>
                                <w:rFonts w:ascii="Calibri" w:hAnsi="Calibri"/>
                              </w:rPr>
                              <w:t>RT-PCR confirmed a seven-fold amplification of PITPNC1 transcripts in the transduced MDA-MD-231 cell line.</w:t>
                            </w:r>
                          </w:p>
                          <w:p w14:paraId="3431286D" w14:textId="77777777" w:rsidR="004C6256" w:rsidRPr="004C6256" w:rsidRDefault="004C6256">
                            <w:pPr>
                              <w:rPr>
                                <w:rFonts w:ascii="Calibri" w:hAnsi="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2012D" id="Text_x0020_Box_x0020_6" o:spid="_x0000_s1028" type="#_x0000_t202" style="position:absolute;margin-left:301.25pt;margin-top:11.85pt;width:179.75pt;height:23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" filled="f" stroked="f">
                <v:textbox>
                  <w:txbxContent>
                    <w:p w14:paraId="67351ED0" w14:textId="5C23D7B6" w:rsidR="004C6256" w:rsidRPr="004C6256" w:rsidRDefault="004C6256" w:rsidP="004C6256">
                      <w:pPr>
                        <w:rPr>
                          <w:rFonts w:ascii="Calibri" w:hAnsi="Calibri"/>
                        </w:rPr>
                      </w:pPr>
                      <w:r w:rsidRPr="004C6256">
                        <w:rPr>
                          <w:rFonts w:ascii="Calibri" w:hAnsi="Calibri"/>
                          <w:b/>
                          <w:bCs/>
                        </w:rPr>
                        <w:t xml:space="preserve">Figure 3 Transfected MDA-MB-231 cell line exhibits PITPNC1 over-expression </w:t>
                      </w:r>
                    </w:p>
                    <w:p w14:paraId="7BEBEDF2" w14:textId="25882BCE" w:rsidR="004C6256" w:rsidRPr="004C6256" w:rsidRDefault="004C6256" w:rsidP="004C6256">
                      <w:pPr>
                        <w:rPr>
                          <w:rFonts w:ascii="Calibri" w:hAnsi="Calibri"/>
                        </w:rPr>
                      </w:pPr>
                      <w:r w:rsidRPr="004C6256">
                        <w:rPr>
                          <w:rFonts w:ascii="Calibri" w:hAnsi="Calibri"/>
                        </w:rPr>
                        <w:t>RT-PCR confirmed a seven-fold amplification of PITPNC1 transcripts in the transduced MDA-MD-231 cell line.</w:t>
                      </w:r>
                    </w:p>
                    <w:p w14:paraId="3431286D" w14:textId="77777777" w:rsidR="004C6256" w:rsidRPr="004C6256" w:rsidRDefault="004C6256">
                      <w:pPr>
                        <w:rPr>
                          <w:rFonts w:ascii="Calibri" w:hAnsi="Calibri"/>
                        </w:rPr>
                      </w:pPr>
                    </w:p>
                  </w:txbxContent>
                </v:textbox>
                <w10:wrap type="square"/>
              </v:shape>
            </w:pict>
          </mc:Fallback>
        </mc:AlternateContent>
      </w:r>
      <w:r w:rsidRPr="00077017">
        <w:rPr>
          <w:rFonts w:ascii="Calibri" w:hAnsi="Calibri"/>
          <w:noProof/>
        </w:rPr>
        <w:drawing>
          <wp:inline distT="0" distB="0" distL="0" distR="0" wp14:anchorId="20001639" wp14:editId="1D5C8CB0">
            <wp:extent cx="3366135" cy="3758131"/>
            <wp:effectExtent l="0" t="0" r="12065" b="12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3378878" cy="3772358"/>
                    </a:xfrm>
                    <a:prstGeom prst="rect">
                      <a:avLst/>
                    </a:prstGeom>
                  </pic:spPr>
                </pic:pic>
              </a:graphicData>
            </a:graphic>
          </wp:inline>
        </w:drawing>
      </w:r>
    </w:p>
    <w:p w14:paraId="2ED2BD95" w14:textId="77777777" w:rsidR="004C6256" w:rsidRPr="00077017" w:rsidRDefault="004C6256" w:rsidP="00BA1361">
      <w:pPr>
        <w:rPr>
          <w:rFonts w:ascii="Calibri" w:hAnsi="Calibri"/>
        </w:rPr>
      </w:pPr>
    </w:p>
    <w:p w14:paraId="44077605" w14:textId="7F6B8970" w:rsidR="004C6256" w:rsidRPr="00077017" w:rsidRDefault="004C6256" w:rsidP="00BA1361">
      <w:pPr>
        <w:rPr>
          <w:rFonts w:ascii="Calibri" w:hAnsi="Calibri"/>
        </w:rPr>
      </w:pPr>
      <w:r w:rsidRPr="00077017">
        <w:rPr>
          <w:rFonts w:ascii="Calibri" w:hAnsi="Calibri"/>
          <w:noProof/>
        </w:rPr>
        <mc:AlternateContent>
          <mc:Choice Requires="wps">
            <w:drawing>
              <wp:anchor distT="0" distB="0" distL="114300" distR="114300" simplePos="0" relativeHeight="251663360" behindDoc="0" locked="0" layoutInCell="1" allowOverlap="1" wp14:anchorId="32DF53B3" wp14:editId="782554B5">
                <wp:simplePos x="0" y="0"/>
                <wp:positionH relativeFrom="column">
                  <wp:posOffset>4165600</wp:posOffset>
                </wp:positionH>
                <wp:positionV relativeFrom="paragraph">
                  <wp:posOffset>57150</wp:posOffset>
                </wp:positionV>
                <wp:extent cx="1941195" cy="34290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941195" cy="3429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D83F42" w14:textId="72F2C72E" w:rsidR="004C6256" w:rsidRPr="00DB6AE0" w:rsidRDefault="004C6256" w:rsidP="004C6256">
                            <w:pPr>
                              <w:rPr>
                                <w:rFonts w:ascii="Calibri" w:hAnsi="Calibri"/>
                              </w:rPr>
                            </w:pPr>
                            <w:r w:rsidRPr="00DB6AE0">
                              <w:rPr>
                                <w:rFonts w:ascii="Calibri" w:hAnsi="Calibri"/>
                                <w:b/>
                                <w:bCs/>
                              </w:rPr>
                              <w:t>F</w:t>
                            </w:r>
                            <w:r w:rsidR="00ED5EA7">
                              <w:rPr>
                                <w:rFonts w:ascii="Calibri" w:hAnsi="Calibri"/>
                                <w:b/>
                                <w:bCs/>
                              </w:rPr>
                              <w:t>igure 4</w:t>
                            </w:r>
                            <w:r w:rsidRPr="00DB6AE0">
                              <w:rPr>
                                <w:rFonts w:ascii="Calibri" w:hAnsi="Calibri"/>
                                <w:b/>
                                <w:bCs/>
                              </w:rPr>
                              <w:t xml:space="preserve">   PITPNC1 overexpression associated with increased proliferation</w:t>
                            </w:r>
                          </w:p>
                          <w:p w14:paraId="01FF90EF" w14:textId="539FD578" w:rsidR="004C6256" w:rsidRPr="00DB6AE0" w:rsidRDefault="004C6256" w:rsidP="004C6256">
                            <w:pPr>
                              <w:rPr>
                                <w:rFonts w:ascii="Calibri" w:hAnsi="Calibri"/>
                              </w:rPr>
                            </w:pPr>
                            <w:r w:rsidRPr="00DB6AE0">
                              <w:rPr>
                                <w:rFonts w:ascii="Calibri" w:hAnsi="Calibri"/>
                              </w:rPr>
                              <w:t xml:space="preserve">250 cells from PITPNC1 transfected MDA-MB-231 cell line as well as transfection controls were plated and incubated for three days, after which cell numbers were counted using a hemocytometer. Bars represent summary statistics from technical replicates. </w:t>
                            </w:r>
                          </w:p>
                          <w:p w14:paraId="4467DF04" w14:textId="77777777" w:rsidR="004C6256" w:rsidRPr="00DB6AE0" w:rsidRDefault="004C6256" w:rsidP="004C6256">
                            <w:pPr>
                              <w:rPr>
                                <w:rFonts w:ascii="Calibri" w:hAnsi="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DF53B3" id="Text_x0020_Box_x0020_9" o:spid="_x0000_s1029" type="#_x0000_t202" style="position:absolute;margin-left:328pt;margin-top:4.5pt;width:152.85pt;height:27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" filled="f" stroked="f">
                <v:textbox>
                  <w:txbxContent>
                    <w:p w14:paraId="0BD83F42" w14:textId="72F2C72E" w:rsidR="004C6256" w:rsidRPr="00DB6AE0" w:rsidRDefault="004C6256" w:rsidP="004C6256">
                      <w:pPr>
                        <w:rPr>
                          <w:rFonts w:ascii="Calibri" w:hAnsi="Calibri"/>
                        </w:rPr>
                      </w:pPr>
                      <w:r w:rsidRPr="00DB6AE0">
                        <w:rPr>
                          <w:rFonts w:ascii="Calibri" w:hAnsi="Calibri"/>
                          <w:b/>
                          <w:bCs/>
                        </w:rPr>
                        <w:t>F</w:t>
                      </w:r>
                      <w:r w:rsidR="00ED5EA7">
                        <w:rPr>
                          <w:rFonts w:ascii="Calibri" w:hAnsi="Calibri"/>
                          <w:b/>
                          <w:bCs/>
                        </w:rPr>
                        <w:t>igure 4</w:t>
                      </w:r>
                      <w:r w:rsidRPr="00DB6AE0">
                        <w:rPr>
                          <w:rFonts w:ascii="Calibri" w:hAnsi="Calibri"/>
                          <w:b/>
                          <w:bCs/>
                        </w:rPr>
                        <w:t xml:space="preserve">   PITPNC1 overexpression associated with increased proliferation</w:t>
                      </w:r>
                    </w:p>
                    <w:p w14:paraId="01FF90EF" w14:textId="539FD578" w:rsidR="004C6256" w:rsidRPr="00DB6AE0" w:rsidRDefault="004C6256" w:rsidP="004C6256">
                      <w:pPr>
                        <w:rPr>
                          <w:rFonts w:ascii="Calibri" w:hAnsi="Calibri"/>
                        </w:rPr>
                      </w:pPr>
                      <w:r w:rsidRPr="00DB6AE0">
                        <w:rPr>
                          <w:rFonts w:ascii="Calibri" w:hAnsi="Calibri"/>
                        </w:rPr>
                        <w:t xml:space="preserve">250 cells from PITPNC1 transfected MDA-MB-231 cell line as well as transfection controls were plated and incubated for three days, after which cell numbers were counted using a hemocytometer. Bars represent summary statistics from technical replicates. </w:t>
                      </w:r>
                    </w:p>
                    <w:p w14:paraId="4467DF04" w14:textId="77777777" w:rsidR="004C6256" w:rsidRPr="00DB6AE0" w:rsidRDefault="004C6256" w:rsidP="004C6256">
                      <w:pPr>
                        <w:rPr>
                          <w:rFonts w:ascii="Calibri" w:hAnsi="Calibri"/>
                        </w:rPr>
                      </w:pPr>
                    </w:p>
                  </w:txbxContent>
                </v:textbox>
                <w10:wrap type="square"/>
              </v:shape>
            </w:pict>
          </mc:Fallback>
        </mc:AlternateContent>
      </w:r>
      <w:r w:rsidRPr="00077017">
        <w:rPr>
          <w:rFonts w:ascii="Calibri" w:hAnsi="Calibri"/>
          <w:noProof/>
        </w:rPr>
        <w:drawing>
          <wp:inline distT="0" distB="0" distL="0" distR="0" wp14:anchorId="06942C81" wp14:editId="66ADC758">
            <wp:extent cx="3709035" cy="3352794"/>
            <wp:effectExtent l="0" t="0" r="0" b="635"/>
            <wp:docPr id="7" name="Picture 7" descr="C:\Users\PEIQIW~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PEIQIW~1\AppData\Local\Temp\msohtmlclip1\02\clip_image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6497" cy="3359539"/>
                    </a:xfrm>
                    <a:prstGeom prst="rect">
                      <a:avLst/>
                    </a:prstGeom>
                    <a:noFill/>
                    <a:extLst/>
                  </pic:spPr>
                </pic:pic>
              </a:graphicData>
            </a:graphic>
          </wp:inline>
        </w:drawing>
      </w:r>
      <w:r w:rsidRPr="00077017">
        <w:rPr>
          <w:rFonts w:ascii="Calibri" w:hAnsi="Calibri"/>
          <w:noProof/>
        </w:rPr>
        <w:t xml:space="preserve"> </w:t>
      </w:r>
    </w:p>
    <w:p w14:paraId="6D477ED9" w14:textId="77777777" w:rsidR="004C6256" w:rsidRPr="00077017" w:rsidRDefault="004C6256" w:rsidP="00BA1361">
      <w:pPr>
        <w:rPr>
          <w:rFonts w:ascii="Calibri" w:hAnsi="Calibri"/>
        </w:rPr>
      </w:pPr>
    </w:p>
    <w:p w14:paraId="6ADA2D49" w14:textId="77777777" w:rsidR="004C6256" w:rsidRPr="00077017" w:rsidRDefault="004C6256" w:rsidP="00BA1361">
      <w:pPr>
        <w:rPr>
          <w:rFonts w:ascii="Calibri" w:hAnsi="Calibri"/>
        </w:rPr>
      </w:pPr>
    </w:p>
    <w:p w14:paraId="4F083D6F" w14:textId="77777777" w:rsidR="004C6256" w:rsidRPr="00077017" w:rsidRDefault="004C6256" w:rsidP="00BA1361">
      <w:pPr>
        <w:rPr>
          <w:rFonts w:ascii="Calibri" w:hAnsi="Calibri"/>
        </w:rPr>
      </w:pPr>
    </w:p>
    <w:p w14:paraId="4B2F9A37" w14:textId="77777777" w:rsidR="008661E8" w:rsidRPr="00077017" w:rsidRDefault="008661E8" w:rsidP="00BA1361">
      <w:pPr>
        <w:rPr>
          <w:rFonts w:ascii="Calibri" w:hAnsi="Calibri"/>
        </w:rPr>
      </w:pPr>
    </w:p>
    <w:p w14:paraId="7C3C108F" w14:textId="77777777" w:rsidR="008661E8" w:rsidRPr="00077017" w:rsidRDefault="008661E8" w:rsidP="00BA1361">
      <w:pPr>
        <w:rPr>
          <w:rFonts w:ascii="Calibri" w:hAnsi="Calibri"/>
        </w:rPr>
      </w:pPr>
    </w:p>
    <w:p w14:paraId="3BF6D0E5" w14:textId="0384777E" w:rsidR="00FC184E" w:rsidRPr="00077017" w:rsidRDefault="00FB2B3E" w:rsidP="00FC184E">
      <w:pPr>
        <w:rPr>
          <w:rFonts w:ascii="Calibri" w:hAnsi="Calibri"/>
        </w:rPr>
      </w:pPr>
      <w:r w:rsidRPr="00077017">
        <w:rPr>
          <w:rFonts w:ascii="Calibri" w:hAnsi="Calibri"/>
          <w:b/>
          <w:i/>
          <w:sz w:val="28"/>
        </w:rPr>
        <w:t xml:space="preserve">Overexpression of </w:t>
      </w:r>
      <w:r w:rsidR="00FC184E" w:rsidRPr="00077017">
        <w:rPr>
          <w:rFonts w:ascii="Calibri" w:hAnsi="Calibri"/>
          <w:b/>
          <w:i/>
          <w:sz w:val="28"/>
        </w:rPr>
        <w:t xml:space="preserve">PITPNC1 promotes </w:t>
      </w:r>
      <w:r w:rsidRPr="00077017">
        <w:rPr>
          <w:rFonts w:ascii="Calibri" w:hAnsi="Calibri"/>
          <w:b/>
          <w:i/>
          <w:sz w:val="28"/>
        </w:rPr>
        <w:t xml:space="preserve">cell </w:t>
      </w:r>
      <w:r w:rsidR="00FC184E" w:rsidRPr="00077017">
        <w:rPr>
          <w:rFonts w:ascii="Calibri" w:hAnsi="Calibri"/>
          <w:b/>
          <w:i/>
          <w:sz w:val="28"/>
        </w:rPr>
        <w:t>proliferation in vitro</w:t>
      </w:r>
    </w:p>
    <w:p w14:paraId="76792442" w14:textId="141CAE0C" w:rsidR="00FC184E" w:rsidRPr="00077017" w:rsidRDefault="00166AD5" w:rsidP="00FC184E">
      <w:pPr>
        <w:rPr>
          <w:rFonts w:ascii="Calibri" w:hAnsi="Calibri"/>
        </w:rPr>
      </w:pPr>
      <w:r w:rsidRPr="00077017">
        <w:rPr>
          <w:rFonts w:ascii="Calibri" w:hAnsi="Calibri"/>
        </w:rPr>
        <w:t xml:space="preserve">Since PITPNC1 is amplified in </w:t>
      </w:r>
      <w:r w:rsidR="00FB2B3E" w:rsidRPr="00077017">
        <w:rPr>
          <w:rFonts w:ascii="Calibri" w:hAnsi="Calibri"/>
        </w:rPr>
        <w:t xml:space="preserve">DCIS and IDC, we asked if PITPNC1 </w:t>
      </w:r>
      <w:r w:rsidR="00406C7C" w:rsidRPr="00077017">
        <w:rPr>
          <w:rFonts w:ascii="Calibri" w:hAnsi="Calibri"/>
        </w:rPr>
        <w:t>has a functional effect on breast cancer cell line</w:t>
      </w:r>
      <w:r w:rsidR="00FB2B3E" w:rsidRPr="00077017">
        <w:rPr>
          <w:rFonts w:ascii="Calibri" w:hAnsi="Calibri"/>
        </w:rPr>
        <w:t xml:space="preserve">. To test this hypothesis, we tested whether overexpression of PITPNC1 in </w:t>
      </w:r>
      <w:r w:rsidR="00E56796" w:rsidRPr="00077017">
        <w:rPr>
          <w:rFonts w:ascii="Calibri" w:hAnsi="Calibri"/>
        </w:rPr>
        <w:t xml:space="preserve">basal </w:t>
      </w:r>
      <w:r w:rsidR="00FB2B3E" w:rsidRPr="00077017">
        <w:rPr>
          <w:rFonts w:ascii="Calibri" w:hAnsi="Calibri"/>
        </w:rPr>
        <w:t xml:space="preserve">MDA-MB-231 cells promote cell proliferation. We generated </w:t>
      </w:r>
      <w:r w:rsidR="00E56796" w:rsidRPr="00077017">
        <w:rPr>
          <w:rFonts w:ascii="Calibri" w:hAnsi="Calibri"/>
        </w:rPr>
        <w:t>cell line</w:t>
      </w:r>
      <w:r w:rsidR="00FB2B3E" w:rsidRPr="00077017">
        <w:rPr>
          <w:rFonts w:ascii="Calibri" w:hAnsi="Calibri"/>
        </w:rPr>
        <w:t xml:space="preserve"> stably </w:t>
      </w:r>
      <w:r w:rsidR="00F84488" w:rsidRPr="00077017">
        <w:rPr>
          <w:rFonts w:ascii="Calibri" w:hAnsi="Calibri"/>
        </w:rPr>
        <w:t xml:space="preserve">overexpressing PITPNC1 </w:t>
      </w:r>
      <w:r w:rsidR="00E56796" w:rsidRPr="00077017">
        <w:rPr>
          <w:rFonts w:ascii="Calibri" w:hAnsi="Calibri"/>
        </w:rPr>
        <w:t xml:space="preserve">via viral transduction </w:t>
      </w:r>
      <w:r w:rsidR="00EC1C45">
        <w:rPr>
          <w:rFonts w:ascii="Calibri" w:hAnsi="Calibri"/>
        </w:rPr>
        <w:t>(Figure 3</w:t>
      </w:r>
      <w:r w:rsidR="00F84488" w:rsidRPr="00077017">
        <w:rPr>
          <w:rFonts w:ascii="Calibri" w:hAnsi="Calibri"/>
        </w:rPr>
        <w:t>)</w:t>
      </w:r>
      <w:r w:rsidR="00E56796" w:rsidRPr="00077017">
        <w:rPr>
          <w:rFonts w:ascii="Calibri" w:hAnsi="Calibri"/>
        </w:rPr>
        <w:t xml:space="preserve">. Overexpression of PITPNC1 strongly stimulates cell division (Figure 4). As migration and invasion are characteristics of cancer progression, we </w:t>
      </w:r>
      <w:r w:rsidR="00034182" w:rsidRPr="00077017">
        <w:rPr>
          <w:rFonts w:ascii="Calibri" w:hAnsi="Calibri"/>
        </w:rPr>
        <w:t xml:space="preserve">also </w:t>
      </w:r>
      <w:r w:rsidR="00E56796" w:rsidRPr="00077017">
        <w:rPr>
          <w:rFonts w:ascii="Calibri" w:hAnsi="Calibri"/>
        </w:rPr>
        <w:t>performed Trans-well migration assay on P</w:t>
      </w:r>
      <w:r w:rsidR="00EB39DF" w:rsidRPr="00077017">
        <w:rPr>
          <w:rFonts w:ascii="Calibri" w:hAnsi="Calibri"/>
        </w:rPr>
        <w:t xml:space="preserve">ITPNC1 overexpressed cell line. No significant increase in the number of migrated cells were observed compared to transfection controls. In fact, more cells migrated through the membrane in wells containing the transfection controls, perhaps as a result of higher starting concentration of cells. Therefore, although we verified PITPNC1’s effect on cell proliferation, we could not conclude its role in </w:t>
      </w:r>
      <w:r w:rsidR="00406C7C" w:rsidRPr="00077017">
        <w:rPr>
          <w:rFonts w:ascii="Calibri" w:hAnsi="Calibri"/>
        </w:rPr>
        <w:t>cell migration and invasion.</w:t>
      </w:r>
      <w:r w:rsidR="003B5813" w:rsidRPr="00077017">
        <w:rPr>
          <w:rFonts w:ascii="Calibri" w:hAnsi="Calibri"/>
        </w:rPr>
        <w:t xml:space="preserve"> </w:t>
      </w:r>
    </w:p>
    <w:p w14:paraId="6837B3BA" w14:textId="77777777" w:rsidR="00FC184E" w:rsidRPr="00077017" w:rsidRDefault="00FC184E" w:rsidP="00BA1361">
      <w:pPr>
        <w:rPr>
          <w:rFonts w:ascii="Calibri" w:hAnsi="Calibri"/>
          <w:b/>
        </w:rPr>
      </w:pPr>
    </w:p>
    <w:p w14:paraId="7B41A231" w14:textId="2E64768F" w:rsidR="00406C7C" w:rsidRPr="00077017" w:rsidRDefault="00BA1361" w:rsidP="00F468B8">
      <w:pPr>
        <w:pStyle w:val="Default"/>
        <w:rPr>
          <w:lang w:val="en-US"/>
        </w:rPr>
      </w:pPr>
      <w:r w:rsidRPr="00077017">
        <w:rPr>
          <w:b/>
          <w:sz w:val="28"/>
        </w:rPr>
        <w:t>Discussion</w:t>
      </w:r>
    </w:p>
    <w:p w14:paraId="04AA4567" w14:textId="4DF24192" w:rsidR="00ED36F3" w:rsidRPr="00077017" w:rsidRDefault="00406C7C" w:rsidP="00E85DDF">
      <w:pPr>
        <w:pStyle w:val="Default"/>
      </w:pPr>
      <w:bookmarkStart w:id="0" w:name="_GoBack"/>
      <w:r w:rsidRPr="00077017">
        <w:t xml:space="preserve">We showed that PITPNC1 is consistently amplified in both DCIS and IDC cases compared to normal breast samples, corroborating with the initial </w:t>
      </w:r>
      <w:proofErr w:type="spellStart"/>
      <w:r w:rsidRPr="00077017">
        <w:t>aCGH</w:t>
      </w:r>
      <w:proofErr w:type="spellEnd"/>
      <w:r w:rsidRPr="00077017">
        <w:t xml:space="preserve"> findings. </w:t>
      </w:r>
      <w:r w:rsidR="00E85DDF" w:rsidRPr="00077017">
        <w:t>Interestingly, PITPNC1 was amplified as early as DCIS and, as it is selected based on its association with poor prognosis and tumor grade, may be a candidate marker predictive of progression to invasion. Additionally,</w:t>
      </w:r>
      <w:r w:rsidR="00A815BC">
        <w:t xml:space="preserve"> we have noticed an interesting</w:t>
      </w:r>
      <w:r w:rsidR="00034182" w:rsidRPr="00077017">
        <w:t xml:space="preserve"> trend of reduced PITPNC1 copy number</w:t>
      </w:r>
      <w:r w:rsidR="00E85DDF" w:rsidRPr="00077017">
        <w:t xml:space="preserve"> associated with the DCIS to </w:t>
      </w:r>
      <w:r w:rsidR="00E85DDF" w:rsidRPr="00077017">
        <w:lastRenderedPageBreak/>
        <w:t>IDC tra</w:t>
      </w:r>
      <w:r w:rsidR="004F063A" w:rsidRPr="00077017">
        <w:t xml:space="preserve">nsition. Although it is still unclear if PITPNC1 is functionally active in this process, </w:t>
      </w:r>
      <w:r w:rsidR="00ED36F3" w:rsidRPr="00077017">
        <w:t xml:space="preserve">it is certain that </w:t>
      </w:r>
      <w:r w:rsidR="004F063A" w:rsidRPr="00077017">
        <w:t>breast cancer progression may involve temporal down- and up-regulations at the genomic level</w:t>
      </w:r>
      <w:r w:rsidR="00ED36F3" w:rsidRPr="00077017">
        <w:t>, as seen in PITPNC1 copy number fluctuations cross successive tumor stage.</w:t>
      </w:r>
      <w:r w:rsidR="0098019E" w:rsidRPr="00077017">
        <w:t xml:space="preserve"> The standard error for PITPNC1 fold difference is quite large, even with careful execution of experimental procedures on a fair large sample size. To control for unwanted confounding variables, additional quantification of PITPNC1 on matched DCIS and IDC with pure DCIS as control group </w:t>
      </w:r>
      <w:r w:rsidR="0055546D" w:rsidRPr="00077017">
        <w:t xml:space="preserve">would be necessary. </w:t>
      </w:r>
    </w:p>
    <w:p w14:paraId="5D509C69" w14:textId="77777777" w:rsidR="00ED36F3" w:rsidRPr="00077017" w:rsidRDefault="00ED36F3" w:rsidP="00E85DDF">
      <w:pPr>
        <w:pStyle w:val="Default"/>
      </w:pPr>
    </w:p>
    <w:p w14:paraId="4ADFD481" w14:textId="77777777" w:rsidR="00EB4194" w:rsidRDefault="00CD55F5" w:rsidP="00162D99">
      <w:pPr>
        <w:rPr>
          <w:rFonts w:ascii="Calibri" w:hAnsi="Calibri"/>
        </w:rPr>
      </w:pPr>
      <w:r w:rsidRPr="00077017">
        <w:rPr>
          <w:rFonts w:ascii="Calibri" w:hAnsi="Calibri"/>
        </w:rPr>
        <w:t>To test PITPNC1’S</w:t>
      </w:r>
      <w:r w:rsidR="00406C7C" w:rsidRPr="00077017">
        <w:rPr>
          <w:rFonts w:ascii="Calibri" w:hAnsi="Calibri"/>
        </w:rPr>
        <w:t xml:space="preserve"> functional importance in the early development of breast cancer, </w:t>
      </w:r>
      <w:r w:rsidR="00CE370D" w:rsidRPr="00077017">
        <w:rPr>
          <w:rFonts w:ascii="Calibri" w:hAnsi="Calibri"/>
        </w:rPr>
        <w:t>we showed that PITPNC1 overexpression alone is enough to</w:t>
      </w:r>
      <w:r w:rsidR="00406C7C" w:rsidRPr="00077017">
        <w:rPr>
          <w:rFonts w:ascii="Calibri" w:hAnsi="Calibri"/>
        </w:rPr>
        <w:t xml:space="preserve"> </w:t>
      </w:r>
      <w:r w:rsidR="00602043" w:rsidRPr="00077017">
        <w:rPr>
          <w:rFonts w:ascii="Calibri" w:hAnsi="Calibri"/>
        </w:rPr>
        <w:t xml:space="preserve">promote </w:t>
      </w:r>
      <w:r w:rsidR="00DC3C7A" w:rsidRPr="00077017">
        <w:rPr>
          <w:rFonts w:ascii="Calibri" w:hAnsi="Calibri"/>
        </w:rPr>
        <w:t>cell division and proliferation</w:t>
      </w:r>
      <w:r w:rsidR="00CE370D" w:rsidRPr="00077017">
        <w:rPr>
          <w:rFonts w:ascii="Calibri" w:hAnsi="Calibri"/>
        </w:rPr>
        <w:t xml:space="preserve"> in a basal subtype cell line</w:t>
      </w:r>
      <w:r w:rsidR="00406C7C" w:rsidRPr="00077017">
        <w:rPr>
          <w:rFonts w:ascii="Calibri" w:hAnsi="Calibri"/>
        </w:rPr>
        <w:t>.</w:t>
      </w:r>
      <w:r w:rsidR="00DC3C7A" w:rsidRPr="00077017">
        <w:rPr>
          <w:rFonts w:ascii="Calibri" w:hAnsi="Calibri"/>
        </w:rPr>
        <w:t xml:space="preserve"> </w:t>
      </w:r>
      <w:r w:rsidR="0007774D" w:rsidRPr="00077017">
        <w:rPr>
          <w:rFonts w:ascii="Calibri" w:hAnsi="Calibri"/>
        </w:rPr>
        <w:t>A</w:t>
      </w:r>
      <w:r w:rsidR="00034182" w:rsidRPr="00077017">
        <w:rPr>
          <w:rFonts w:ascii="Calibri" w:hAnsi="Calibri"/>
        </w:rPr>
        <w:t xml:space="preserve">s </w:t>
      </w:r>
      <w:r w:rsidR="0055546D" w:rsidRPr="00077017">
        <w:rPr>
          <w:rFonts w:ascii="Calibri" w:hAnsi="Calibri"/>
        </w:rPr>
        <w:t>PITPNC1 protein is</w:t>
      </w:r>
      <w:r w:rsidR="00162D99" w:rsidRPr="00077017">
        <w:rPr>
          <w:rFonts w:ascii="Calibri" w:hAnsi="Calibri"/>
        </w:rPr>
        <w:t xml:space="preserve"> known to be</w:t>
      </w:r>
      <w:r w:rsidR="0055546D" w:rsidRPr="00077017">
        <w:rPr>
          <w:rFonts w:ascii="Calibri" w:hAnsi="Calibri"/>
        </w:rPr>
        <w:t xml:space="preserve"> involved in the transport of</w:t>
      </w:r>
      <w:r w:rsidR="00162D99" w:rsidRPr="00077017">
        <w:rPr>
          <w:rFonts w:ascii="Calibri" w:hAnsi="Calibri"/>
        </w:rPr>
        <w:t xml:space="preserve"> phosphatidylinositol, an important </w:t>
      </w:r>
      <w:r w:rsidR="006E617D" w:rsidRPr="00077017">
        <w:rPr>
          <w:rFonts w:ascii="Calibri" w:hAnsi="Calibri"/>
        </w:rPr>
        <w:t>substrate</w:t>
      </w:r>
      <w:r w:rsidR="00162D99" w:rsidRPr="00077017">
        <w:rPr>
          <w:rFonts w:ascii="Calibri" w:hAnsi="Calibri"/>
        </w:rPr>
        <w:t xml:space="preserve"> </w:t>
      </w:r>
      <w:r w:rsidR="006E617D" w:rsidRPr="00077017">
        <w:rPr>
          <w:rFonts w:ascii="Calibri" w:hAnsi="Calibri"/>
        </w:rPr>
        <w:t>upstream of EGF/PI3K pathway</w:t>
      </w:r>
      <w:r w:rsidR="00034182" w:rsidRPr="00077017">
        <w:rPr>
          <w:rFonts w:ascii="Calibri" w:hAnsi="Calibri"/>
        </w:rPr>
        <w:t>, it is plausible that PITPNC1 overexpression</w:t>
      </w:r>
      <w:r w:rsidR="006E617D" w:rsidRPr="00077017">
        <w:rPr>
          <w:rFonts w:ascii="Calibri" w:hAnsi="Calibri"/>
        </w:rPr>
        <w:t xml:space="preserve"> </w:t>
      </w:r>
      <w:r w:rsidR="00C420D3" w:rsidRPr="00077017">
        <w:rPr>
          <w:rFonts w:ascii="Calibri" w:hAnsi="Calibri"/>
        </w:rPr>
        <w:t>provide sufficient amount of</w:t>
      </w:r>
      <w:r w:rsidR="00987FCE" w:rsidRPr="00077017">
        <w:rPr>
          <w:rFonts w:ascii="Calibri" w:hAnsi="Calibri"/>
        </w:rPr>
        <w:t xml:space="preserve"> precursor </w:t>
      </w:r>
      <w:r w:rsidR="00C420D3" w:rsidRPr="00077017">
        <w:rPr>
          <w:rFonts w:ascii="Calibri" w:hAnsi="Calibri"/>
        </w:rPr>
        <w:t>phosphatidylinositol to sustain</w:t>
      </w:r>
      <w:r w:rsidR="00034182" w:rsidRPr="00077017">
        <w:rPr>
          <w:rFonts w:ascii="Calibri" w:hAnsi="Calibri"/>
        </w:rPr>
        <w:t xml:space="preserve"> PI3K/</w:t>
      </w:r>
      <w:proofErr w:type="spellStart"/>
      <w:r w:rsidR="00034182" w:rsidRPr="00077017">
        <w:rPr>
          <w:rFonts w:ascii="Calibri" w:hAnsi="Calibri"/>
        </w:rPr>
        <w:t>Akt</w:t>
      </w:r>
      <w:proofErr w:type="spellEnd"/>
      <w:r w:rsidR="00034182" w:rsidRPr="00077017">
        <w:rPr>
          <w:rFonts w:ascii="Calibri" w:hAnsi="Calibri"/>
        </w:rPr>
        <w:t xml:space="preserve"> function, leading to abnormal </w:t>
      </w:r>
      <w:r w:rsidR="006E617D" w:rsidRPr="00077017">
        <w:rPr>
          <w:rFonts w:ascii="Calibri" w:hAnsi="Calibri"/>
        </w:rPr>
        <w:t>c</w:t>
      </w:r>
      <w:r w:rsidR="00034182" w:rsidRPr="00077017">
        <w:rPr>
          <w:rFonts w:ascii="Calibri" w:hAnsi="Calibri"/>
        </w:rPr>
        <w:t xml:space="preserve">ell growth and </w:t>
      </w:r>
      <w:r w:rsidR="006E617D" w:rsidRPr="00077017">
        <w:rPr>
          <w:rFonts w:ascii="Calibri" w:hAnsi="Calibri"/>
        </w:rPr>
        <w:t>proliferation</w:t>
      </w:r>
      <w:r w:rsidR="00034182" w:rsidRPr="00077017">
        <w:rPr>
          <w:rFonts w:ascii="Calibri" w:hAnsi="Calibri"/>
        </w:rPr>
        <w:t xml:space="preserve">. </w:t>
      </w:r>
      <w:r w:rsidR="00EB4194">
        <w:rPr>
          <w:rFonts w:ascii="Calibri" w:hAnsi="Calibri"/>
        </w:rPr>
        <w:t>The EGFR/PI3K/</w:t>
      </w:r>
      <w:proofErr w:type="spellStart"/>
      <w:r w:rsidR="00EB4194">
        <w:rPr>
          <w:rFonts w:ascii="Calibri" w:hAnsi="Calibri"/>
        </w:rPr>
        <w:t>Akt</w:t>
      </w:r>
      <w:proofErr w:type="spellEnd"/>
      <w:r w:rsidR="00EB4194">
        <w:rPr>
          <w:rFonts w:ascii="Calibri" w:hAnsi="Calibri"/>
        </w:rPr>
        <w:t xml:space="preserve"> pathway has a prominent role in breast cancer progression, altered by a number of important mutations such as HER2, BRCA1, BRCA2, EGFR1, PIK3CA, PTEN, TP53, RB. [16] </w:t>
      </w:r>
      <w:r w:rsidR="00C420D3" w:rsidRPr="00077017">
        <w:rPr>
          <w:rFonts w:ascii="Calibri" w:hAnsi="Calibri"/>
        </w:rPr>
        <w:t>The synergy between PITPNC1 and EGF</w:t>
      </w:r>
      <w:r w:rsidR="00EB4194">
        <w:rPr>
          <w:rFonts w:ascii="Calibri" w:hAnsi="Calibri"/>
        </w:rPr>
        <w:t>R</w:t>
      </w:r>
      <w:r w:rsidR="00C420D3" w:rsidRPr="00077017">
        <w:rPr>
          <w:rFonts w:ascii="Calibri" w:hAnsi="Calibri"/>
        </w:rPr>
        <w:t>/PI3K</w:t>
      </w:r>
      <w:r w:rsidR="00EB4194">
        <w:rPr>
          <w:rFonts w:ascii="Calibri" w:hAnsi="Calibri"/>
        </w:rPr>
        <w:t>/</w:t>
      </w:r>
      <w:proofErr w:type="spellStart"/>
      <w:r w:rsidR="00EB4194">
        <w:rPr>
          <w:rFonts w:ascii="Calibri" w:hAnsi="Calibri"/>
        </w:rPr>
        <w:t>Akt</w:t>
      </w:r>
      <w:proofErr w:type="spellEnd"/>
      <w:r w:rsidR="00C420D3" w:rsidRPr="00077017">
        <w:rPr>
          <w:rFonts w:ascii="Calibri" w:hAnsi="Calibri"/>
        </w:rPr>
        <w:t xml:space="preserve"> pathway </w:t>
      </w:r>
      <w:r w:rsidRPr="00077017">
        <w:rPr>
          <w:rFonts w:ascii="Calibri" w:hAnsi="Calibri"/>
        </w:rPr>
        <w:t xml:space="preserve">may </w:t>
      </w:r>
      <w:r w:rsidR="00672A29" w:rsidRPr="00077017">
        <w:rPr>
          <w:rFonts w:ascii="Calibri" w:hAnsi="Calibri"/>
        </w:rPr>
        <w:t xml:space="preserve">indicate </w:t>
      </w:r>
      <w:r w:rsidR="0051675E" w:rsidRPr="00077017">
        <w:rPr>
          <w:rFonts w:ascii="Calibri" w:hAnsi="Calibri"/>
        </w:rPr>
        <w:t>constitutive</w:t>
      </w:r>
      <w:r w:rsidR="00CE370D" w:rsidRPr="00077017">
        <w:rPr>
          <w:rFonts w:ascii="Calibri" w:hAnsi="Calibri"/>
        </w:rPr>
        <w:t xml:space="preserve"> mutation</w:t>
      </w:r>
      <w:r w:rsidR="0051675E" w:rsidRPr="00077017">
        <w:rPr>
          <w:rFonts w:ascii="Calibri" w:hAnsi="Calibri"/>
        </w:rPr>
        <w:t xml:space="preserve"> or </w:t>
      </w:r>
      <w:r w:rsidR="00C420D3" w:rsidRPr="00077017">
        <w:rPr>
          <w:rFonts w:ascii="Calibri" w:hAnsi="Calibri"/>
        </w:rPr>
        <w:t>up-regulation of EGFR</w:t>
      </w:r>
      <w:r w:rsidR="00AF09E0" w:rsidRPr="00077017">
        <w:rPr>
          <w:rFonts w:ascii="Calibri" w:hAnsi="Calibri"/>
        </w:rPr>
        <w:t xml:space="preserve"> and of associated enzymes along the pathway</w:t>
      </w:r>
      <w:r w:rsidR="00525B5D" w:rsidRPr="00077017">
        <w:rPr>
          <w:rFonts w:ascii="Calibri" w:hAnsi="Calibri"/>
        </w:rPr>
        <w:t>; th</w:t>
      </w:r>
      <w:r w:rsidR="00AF09E0" w:rsidRPr="00077017">
        <w:rPr>
          <w:rFonts w:ascii="Calibri" w:hAnsi="Calibri"/>
        </w:rPr>
        <w:t xml:space="preserve">is is supported by </w:t>
      </w:r>
      <w:r w:rsidR="009E27B7" w:rsidRPr="00077017">
        <w:rPr>
          <w:rFonts w:ascii="Calibri" w:hAnsi="Calibri"/>
        </w:rPr>
        <w:t>elevated</w:t>
      </w:r>
      <w:r w:rsidR="00AF09E0" w:rsidRPr="00077017">
        <w:rPr>
          <w:rFonts w:ascii="Calibri" w:hAnsi="Calibri"/>
        </w:rPr>
        <w:t xml:space="preserve"> </w:t>
      </w:r>
      <w:r w:rsidR="00525B5D" w:rsidRPr="00077017">
        <w:rPr>
          <w:rFonts w:ascii="Calibri" w:hAnsi="Calibri"/>
        </w:rPr>
        <w:t xml:space="preserve">HER2 positive staining in the NKI dataset analysis. </w:t>
      </w:r>
      <w:r w:rsidR="00987FCE" w:rsidRPr="00077017">
        <w:rPr>
          <w:rFonts w:ascii="Calibri" w:hAnsi="Calibri"/>
        </w:rPr>
        <w:t xml:space="preserve">Therefore, amplification of PITPNC1 may be a requisite for the development of aggressive breast cancer and may promote fast entry into advanced invasive tumor stage. A comparison of proliferative potential of PITPNC1 overexpressed cell lines that do not over-express EGFR/HER2 will </w:t>
      </w:r>
      <w:r w:rsidR="00CE370D" w:rsidRPr="00077017">
        <w:rPr>
          <w:rFonts w:ascii="Calibri" w:hAnsi="Calibri"/>
        </w:rPr>
        <w:t>valid</w:t>
      </w:r>
      <w:r w:rsidR="00987FCE" w:rsidRPr="00077017">
        <w:rPr>
          <w:rFonts w:ascii="Calibri" w:hAnsi="Calibri"/>
        </w:rPr>
        <w:t xml:space="preserve"> this hypothesis. Further biochemical assays, such as western blot</w:t>
      </w:r>
      <w:r w:rsidR="00CE370D" w:rsidRPr="00077017">
        <w:rPr>
          <w:rFonts w:ascii="Calibri" w:hAnsi="Calibri"/>
        </w:rPr>
        <w:t xml:space="preserve"> and mass spectrometry</w:t>
      </w:r>
      <w:r w:rsidR="00987FCE" w:rsidRPr="00077017">
        <w:rPr>
          <w:rFonts w:ascii="Calibri" w:hAnsi="Calibri"/>
        </w:rPr>
        <w:t xml:space="preserve">, of proteins and metabolic intermediates </w:t>
      </w:r>
      <w:r w:rsidR="00CE370D" w:rsidRPr="00077017">
        <w:rPr>
          <w:rFonts w:ascii="Calibri" w:hAnsi="Calibri"/>
        </w:rPr>
        <w:t xml:space="preserve">abundance will confirm the importance of PITPNC1 in this pathway. </w:t>
      </w:r>
      <w:r w:rsidR="009C76C2" w:rsidRPr="00077017">
        <w:rPr>
          <w:rFonts w:ascii="Calibri" w:hAnsi="Calibri"/>
        </w:rPr>
        <w:t xml:space="preserve">As EGFR, while overexpressed, correlates with increased tumor grade and poorer prognosis </w:t>
      </w:r>
      <w:r w:rsidR="00077017" w:rsidRPr="00077017">
        <w:rPr>
          <w:rFonts w:ascii="Calibri" w:hAnsi="Calibri"/>
        </w:rPr>
        <w:t>[9</w:t>
      </w:r>
      <w:r w:rsidR="009C76C2" w:rsidRPr="00077017">
        <w:rPr>
          <w:rFonts w:ascii="Calibri" w:hAnsi="Calibri"/>
        </w:rPr>
        <w:t xml:space="preserve">], mechanistic insights into PITPNC1 function may prove useful in anti-tumor drug development. </w:t>
      </w:r>
    </w:p>
    <w:p w14:paraId="7446D109" w14:textId="77777777" w:rsidR="00EB4194" w:rsidRDefault="00EB4194" w:rsidP="00162D99">
      <w:pPr>
        <w:rPr>
          <w:rFonts w:ascii="Calibri" w:hAnsi="Calibri"/>
        </w:rPr>
      </w:pPr>
    </w:p>
    <w:p w14:paraId="3BDD9907" w14:textId="24504953" w:rsidR="009C76C2" w:rsidRPr="00077017" w:rsidRDefault="009C76C2" w:rsidP="00162D99">
      <w:pPr>
        <w:rPr>
          <w:rFonts w:ascii="Calibri" w:hAnsi="Calibri"/>
        </w:rPr>
      </w:pPr>
      <w:r w:rsidRPr="00077017">
        <w:rPr>
          <w:rFonts w:ascii="Calibri" w:hAnsi="Calibri"/>
        </w:rPr>
        <w:t>One thing to note is that we found no correlation between PITPNC1 overexpression and enhanced cell migration and invasion capabilities, which are landmarks for the DCIS to IDC transition.</w:t>
      </w:r>
      <w:r w:rsidR="00B4536A" w:rsidRPr="00077017">
        <w:rPr>
          <w:rFonts w:ascii="Calibri" w:hAnsi="Calibri"/>
        </w:rPr>
        <w:t xml:space="preserve"> </w:t>
      </w:r>
      <w:r w:rsidR="00DE0412" w:rsidRPr="00077017">
        <w:rPr>
          <w:rFonts w:ascii="Calibri" w:hAnsi="Calibri"/>
        </w:rPr>
        <w:t>Many discrete processes are required for the development of invasive phenotype.</w:t>
      </w:r>
      <w:r w:rsidR="006B4252" w:rsidRPr="00077017">
        <w:rPr>
          <w:rFonts w:ascii="Calibri" w:hAnsi="Calibri"/>
        </w:rPr>
        <w:t xml:space="preserve"> Therefore,</w:t>
      </w:r>
      <w:r w:rsidR="00DE0412" w:rsidRPr="00077017">
        <w:rPr>
          <w:rFonts w:ascii="Calibri" w:hAnsi="Calibri"/>
        </w:rPr>
        <w:t xml:space="preserve"> PITPNC1 amplification may not serve as a key genetic alteration </w:t>
      </w:r>
      <w:r w:rsidR="006B4252" w:rsidRPr="00077017">
        <w:rPr>
          <w:rFonts w:ascii="Calibri" w:hAnsi="Calibri"/>
        </w:rPr>
        <w:t>crucial for invasion</w:t>
      </w:r>
      <w:r w:rsidR="005904EA" w:rsidRPr="00077017">
        <w:rPr>
          <w:rFonts w:ascii="Calibri" w:hAnsi="Calibri"/>
        </w:rPr>
        <w:t xml:space="preserve">. As </w:t>
      </w:r>
      <w:r w:rsidR="001D303A" w:rsidRPr="00077017">
        <w:rPr>
          <w:rFonts w:ascii="Calibri" w:hAnsi="Calibri"/>
        </w:rPr>
        <w:t>low quantity of cells was used to evaluate migration and invasion</w:t>
      </w:r>
      <w:r w:rsidR="00B4536A" w:rsidRPr="00077017">
        <w:rPr>
          <w:rFonts w:ascii="Calibri" w:hAnsi="Calibri"/>
        </w:rPr>
        <w:t xml:space="preserve">, </w:t>
      </w:r>
      <w:r w:rsidR="001D303A" w:rsidRPr="00077017">
        <w:rPr>
          <w:rFonts w:ascii="Calibri" w:hAnsi="Calibri"/>
        </w:rPr>
        <w:t xml:space="preserve">it is necessary to reinforce this conclusion </w:t>
      </w:r>
      <w:r w:rsidR="005904EA" w:rsidRPr="00077017">
        <w:rPr>
          <w:rFonts w:ascii="Calibri" w:hAnsi="Calibri"/>
        </w:rPr>
        <w:t>by performing</w:t>
      </w:r>
      <w:r w:rsidR="006B4252" w:rsidRPr="00077017">
        <w:rPr>
          <w:rFonts w:ascii="Calibri" w:hAnsi="Calibri"/>
        </w:rPr>
        <w:t xml:space="preserve"> </w:t>
      </w:r>
      <w:proofErr w:type="spellStart"/>
      <w:r w:rsidR="00B4536A" w:rsidRPr="00077017">
        <w:rPr>
          <w:rFonts w:ascii="Calibri" w:hAnsi="Calibri"/>
        </w:rPr>
        <w:t>qRT</w:t>
      </w:r>
      <w:proofErr w:type="spellEnd"/>
      <w:r w:rsidR="00B4536A" w:rsidRPr="00077017">
        <w:rPr>
          <w:rFonts w:ascii="Calibri" w:hAnsi="Calibri"/>
        </w:rPr>
        <w:t>-PCR on genes involved in cell-to-cell adhesion</w:t>
      </w:r>
      <w:r w:rsidR="005904EA" w:rsidRPr="00077017">
        <w:rPr>
          <w:rFonts w:ascii="Calibri" w:hAnsi="Calibri"/>
        </w:rPr>
        <w:t xml:space="preserve"> and </w:t>
      </w:r>
      <w:r w:rsidR="00672A29" w:rsidRPr="00077017">
        <w:rPr>
          <w:rFonts w:ascii="Calibri" w:hAnsi="Calibri"/>
        </w:rPr>
        <w:t>epithelial mesenchymal transitio</w:t>
      </w:r>
      <w:r w:rsidR="005904EA" w:rsidRPr="00077017">
        <w:rPr>
          <w:rFonts w:ascii="Calibri" w:hAnsi="Calibri"/>
        </w:rPr>
        <w:t>n</w:t>
      </w:r>
      <w:r w:rsidR="00672A29" w:rsidRPr="00077017">
        <w:rPr>
          <w:rFonts w:ascii="Calibri" w:hAnsi="Calibri"/>
        </w:rPr>
        <w:t xml:space="preserve"> (EMT)</w:t>
      </w:r>
      <w:r w:rsidR="007C3EE7">
        <w:rPr>
          <w:rFonts w:ascii="Calibri" w:hAnsi="Calibri"/>
        </w:rPr>
        <w:t xml:space="preserve"> in the transfected cell line</w:t>
      </w:r>
      <w:r w:rsidR="001D303A" w:rsidRPr="00077017">
        <w:rPr>
          <w:rFonts w:ascii="Calibri" w:hAnsi="Calibri"/>
        </w:rPr>
        <w:t xml:space="preserve">. </w:t>
      </w:r>
    </w:p>
    <w:p w14:paraId="5F252A95" w14:textId="77777777" w:rsidR="00F468B8" w:rsidRPr="00077017" w:rsidRDefault="00F468B8" w:rsidP="00162D99">
      <w:pPr>
        <w:rPr>
          <w:rFonts w:ascii="Calibri" w:hAnsi="Calibri"/>
        </w:rPr>
      </w:pPr>
    </w:p>
    <w:p w14:paraId="206B7725" w14:textId="170410DA" w:rsidR="00F468B8" w:rsidRPr="00077017" w:rsidRDefault="00090CF7" w:rsidP="00A97E52">
      <w:pPr>
        <w:pStyle w:val="Default"/>
        <w:rPr>
          <w:lang w:val="en-US"/>
        </w:rPr>
      </w:pPr>
      <w:r>
        <w:rPr>
          <w:lang w:val="en-US"/>
        </w:rPr>
        <w:t xml:space="preserve">Studies have </w:t>
      </w:r>
      <w:r w:rsidR="00F468B8" w:rsidRPr="00077017">
        <w:rPr>
          <w:lang w:val="en-US"/>
        </w:rPr>
        <w:t>established DCIS as a heterogeneous disease that can be categorized into distinct molecular subtypes.</w:t>
      </w:r>
      <w:r w:rsidR="0013452F">
        <w:rPr>
          <w:lang w:val="en-US"/>
        </w:rPr>
        <w:t xml:space="preserve"> [</w:t>
      </w:r>
      <w:r>
        <w:rPr>
          <w:lang w:val="en-US"/>
        </w:rPr>
        <w:t>10</w:t>
      </w:r>
      <w:r w:rsidR="0013452F">
        <w:rPr>
          <w:lang w:val="en-US"/>
        </w:rPr>
        <w:t>]</w:t>
      </w:r>
      <w:r w:rsidR="00F468B8" w:rsidRPr="00077017">
        <w:rPr>
          <w:lang w:val="en-US"/>
        </w:rPr>
        <w:t xml:space="preserve"> </w:t>
      </w:r>
      <w:r>
        <w:rPr>
          <w:lang w:val="en-US"/>
        </w:rPr>
        <w:t>In additional to expression profiling, studies on tumor copy number aberrations have shown to aid in stratifying cancer into respective subtypes and risk groups. [</w:t>
      </w:r>
      <w:r>
        <w:rPr>
          <w:lang w:val="en-US"/>
        </w:rPr>
        <w:t>19, 20</w:t>
      </w:r>
      <w:r>
        <w:rPr>
          <w:lang w:val="en-US"/>
        </w:rPr>
        <w:t xml:space="preserve">] </w:t>
      </w:r>
      <w:r w:rsidR="00F468B8" w:rsidRPr="00077017">
        <w:rPr>
          <w:lang w:val="en-US"/>
        </w:rPr>
        <w:t>Although some women can carry DCIS for their lifetime, many others will develop into invasive carcinomas</w:t>
      </w:r>
      <w:r>
        <w:rPr>
          <w:lang w:val="en-US"/>
        </w:rPr>
        <w:t>, driven by their respective genomic landscape</w:t>
      </w:r>
      <w:r w:rsidR="00F468B8" w:rsidRPr="00077017">
        <w:rPr>
          <w:lang w:val="en-US"/>
        </w:rPr>
        <w:t>. Prognosis at this stage is intrinsically difficult; no convincing predictors of progression to invasive breast cancer has been identified. Although copy number aberrations in certain genes – c-MYC, HER2, FGFR1 - have been implicated with triggering invasive phenotype [</w:t>
      </w:r>
      <w:r w:rsidR="00077017" w:rsidRPr="00077017">
        <w:rPr>
          <w:lang w:val="en-US"/>
        </w:rPr>
        <w:t>11</w:t>
      </w:r>
      <w:r w:rsidR="00F468B8" w:rsidRPr="00077017">
        <w:rPr>
          <w:lang w:val="en-US"/>
        </w:rPr>
        <w:t>], some proved otherwise. [</w:t>
      </w:r>
      <w:r w:rsidR="00077017" w:rsidRPr="00077017">
        <w:rPr>
          <w:lang w:val="en-US"/>
        </w:rPr>
        <w:t>12</w:t>
      </w:r>
      <w:r w:rsidR="00F468B8" w:rsidRPr="00077017">
        <w:rPr>
          <w:lang w:val="en-US"/>
        </w:rPr>
        <w:t xml:space="preserve">] </w:t>
      </w:r>
      <w:r w:rsidR="00A97E52">
        <w:rPr>
          <w:lang w:val="en-US"/>
        </w:rPr>
        <w:t xml:space="preserve">Additionally, identifying the exact timing of disease associated copy number aberrations during </w:t>
      </w:r>
      <w:r w:rsidR="00A97E52">
        <w:rPr>
          <w:lang w:val="en-US"/>
        </w:rPr>
        <w:lastRenderedPageBreak/>
        <w:t xml:space="preserve">the course of cancer progression may prove both challenging and crucial toward understanding its role in pathogenesis. </w:t>
      </w:r>
      <w:r w:rsidR="00A97E52" w:rsidRPr="00077017">
        <w:rPr>
          <w:lang w:val="en-US"/>
        </w:rPr>
        <w:t>[</w:t>
      </w:r>
      <w:r w:rsidR="00A97E52">
        <w:rPr>
          <w:lang w:val="en-US"/>
        </w:rPr>
        <w:t xml:space="preserve">13, </w:t>
      </w:r>
      <w:r w:rsidR="00077017" w:rsidRPr="00077017">
        <w:rPr>
          <w:lang w:val="en-US"/>
        </w:rPr>
        <w:t>14</w:t>
      </w:r>
      <w:r w:rsidR="00A97E52">
        <w:rPr>
          <w:lang w:val="en-US"/>
        </w:rPr>
        <w:t>] Here we showed</w:t>
      </w:r>
      <w:r w:rsidR="005904EA" w:rsidRPr="00077017">
        <w:rPr>
          <w:lang w:val="en-US"/>
        </w:rPr>
        <w:t xml:space="preserve"> that amplification of PITPNC1 occurs early in breast cancer progression and promote cell proliferation</w:t>
      </w:r>
      <w:r w:rsidR="00F93FA5" w:rsidRPr="00077017">
        <w:rPr>
          <w:lang w:val="en-US"/>
        </w:rPr>
        <w:t>,</w:t>
      </w:r>
      <w:r w:rsidR="005904EA" w:rsidRPr="00077017">
        <w:rPr>
          <w:lang w:val="en-US"/>
        </w:rPr>
        <w:t xml:space="preserve"> possibly in the EFR/PI3K pathway. </w:t>
      </w:r>
      <w:r w:rsidR="00A97E52">
        <w:rPr>
          <w:lang w:val="en-US"/>
        </w:rPr>
        <w:t xml:space="preserve">PITPNC1 is </w:t>
      </w:r>
      <w:r w:rsidR="001F64A8" w:rsidRPr="00077017">
        <w:rPr>
          <w:lang w:val="en-US"/>
        </w:rPr>
        <w:t xml:space="preserve">important in early </w:t>
      </w:r>
      <w:r w:rsidR="00A97E52">
        <w:rPr>
          <w:lang w:val="en-US"/>
        </w:rPr>
        <w:t xml:space="preserve">development of breast cancer but may not directly enhance tumor invasion. </w:t>
      </w:r>
    </w:p>
    <w:p w14:paraId="39EF81AA" w14:textId="77777777" w:rsidR="00F468B8" w:rsidRPr="00077017" w:rsidRDefault="00F468B8" w:rsidP="00DC3C7A">
      <w:pPr>
        <w:pStyle w:val="Default"/>
        <w:rPr>
          <w:lang w:val="en-US"/>
        </w:rPr>
      </w:pPr>
    </w:p>
    <w:p w14:paraId="4CCB7C62" w14:textId="5779B354" w:rsidR="005904EA" w:rsidRPr="00077017" w:rsidRDefault="001F64A8" w:rsidP="00DC3C7A">
      <w:pPr>
        <w:pStyle w:val="Default"/>
      </w:pPr>
      <w:r w:rsidRPr="00077017">
        <w:rPr>
          <w:lang w:val="en-US"/>
        </w:rPr>
        <w:t>I</w:t>
      </w:r>
      <w:r w:rsidR="00F93FA5" w:rsidRPr="00077017">
        <w:rPr>
          <w:lang w:val="en-US"/>
        </w:rPr>
        <w:t xml:space="preserve">dentification of driver mutations at a single gene level and determination of their respective contribution to the enhanced invasive potential of cancer cells, via expression profiling and functional assays, are indispensable steps toward elucidating breast cancer pathobiology. These critical </w:t>
      </w:r>
      <w:r w:rsidR="00077017" w:rsidRPr="00077017">
        <w:rPr>
          <w:lang w:val="en-US"/>
        </w:rPr>
        <w:t xml:space="preserve">molecular events underlying breast cancer </w:t>
      </w:r>
      <w:r w:rsidR="00F93FA5" w:rsidRPr="00077017">
        <w:rPr>
          <w:lang w:val="en-US"/>
        </w:rPr>
        <w:t xml:space="preserve">transition </w:t>
      </w:r>
      <w:r w:rsidR="00077017" w:rsidRPr="00077017">
        <w:rPr>
          <w:lang w:val="en-US"/>
        </w:rPr>
        <w:t xml:space="preserve">and progression </w:t>
      </w:r>
      <w:r w:rsidR="00F93FA5" w:rsidRPr="00077017">
        <w:rPr>
          <w:lang w:val="en-US"/>
        </w:rPr>
        <w:t>have profound implications for early breast cancer diagnosis</w:t>
      </w:r>
      <w:r w:rsidR="00077017" w:rsidRPr="00077017">
        <w:rPr>
          <w:lang w:val="en-US"/>
        </w:rPr>
        <w:t xml:space="preserve"> and therapeutics. </w:t>
      </w:r>
    </w:p>
    <w:bookmarkEnd w:id="0"/>
    <w:p w14:paraId="7730BEFB" w14:textId="77777777" w:rsidR="00B73780" w:rsidRDefault="00B73780" w:rsidP="00DC3C7A">
      <w:pPr>
        <w:pStyle w:val="Default"/>
        <w:rPr>
          <w:lang w:val="en-US"/>
        </w:rPr>
      </w:pPr>
    </w:p>
    <w:p w14:paraId="59346159" w14:textId="77777777" w:rsidR="00C9364E" w:rsidRPr="00077017" w:rsidRDefault="00C9364E" w:rsidP="00DC3C7A">
      <w:pPr>
        <w:pStyle w:val="Default"/>
        <w:rPr>
          <w:lang w:val="en-US"/>
        </w:rPr>
      </w:pPr>
    </w:p>
    <w:p w14:paraId="77617373" w14:textId="77777777" w:rsidR="00BA1361" w:rsidRPr="00077017" w:rsidRDefault="00BA1361" w:rsidP="00BA1361">
      <w:pPr>
        <w:pStyle w:val="Default"/>
        <w:rPr>
          <w:lang w:val="en-US"/>
        </w:rPr>
      </w:pPr>
    </w:p>
    <w:p w14:paraId="7096FD22" w14:textId="77777777" w:rsidR="00BA1361" w:rsidRPr="00077017" w:rsidRDefault="00BA1361" w:rsidP="00BA1361">
      <w:pPr>
        <w:rPr>
          <w:rFonts w:ascii="Calibri" w:hAnsi="Calibri"/>
          <w:b/>
          <w:sz w:val="28"/>
        </w:rPr>
      </w:pPr>
      <w:r w:rsidRPr="00077017">
        <w:rPr>
          <w:rFonts w:ascii="Calibri" w:hAnsi="Calibri"/>
          <w:b/>
          <w:sz w:val="28"/>
        </w:rPr>
        <w:t xml:space="preserve">References </w:t>
      </w:r>
    </w:p>
    <w:p w14:paraId="08F3A497" w14:textId="03C66E42" w:rsidR="00505ADE" w:rsidRPr="00B57F26" w:rsidRDefault="00505ADE" w:rsidP="00505ADE">
      <w:pPr>
        <w:pStyle w:val="ListParagraph"/>
        <w:numPr>
          <w:ilvl w:val="0"/>
          <w:numId w:val="2"/>
        </w:numPr>
        <w:rPr>
          <w:rFonts w:ascii="Calibri" w:eastAsia="Times New Roman" w:hAnsi="Calibri"/>
          <w:color w:val="FF0000"/>
        </w:rPr>
      </w:pPr>
      <w:r w:rsidRPr="00B57F26">
        <w:rPr>
          <w:rFonts w:ascii="Calibri" w:eastAsia="Times New Roman" w:hAnsi="Calibri"/>
          <w:color w:val="FF0000"/>
        </w:rPr>
        <w:t xml:space="preserve">Siegel, R., Miller, K. &amp; </w:t>
      </w:r>
      <w:proofErr w:type="spellStart"/>
      <w:r w:rsidRPr="00B57F26">
        <w:rPr>
          <w:rFonts w:ascii="Calibri" w:eastAsia="Times New Roman" w:hAnsi="Calibri"/>
          <w:color w:val="FF0000"/>
        </w:rPr>
        <w:t>Jemal</w:t>
      </w:r>
      <w:proofErr w:type="spellEnd"/>
      <w:r w:rsidRPr="00B57F26">
        <w:rPr>
          <w:rFonts w:ascii="Calibri" w:eastAsia="Times New Roman" w:hAnsi="Calibri"/>
          <w:color w:val="FF0000"/>
        </w:rPr>
        <w:t xml:space="preserve">, A. Cancer statistics, 2016. </w:t>
      </w:r>
      <w:r w:rsidRPr="00B57F26">
        <w:rPr>
          <w:rFonts w:ascii="Calibri" w:eastAsia="Times New Roman" w:hAnsi="Calibri"/>
          <w:i/>
          <w:iCs/>
          <w:color w:val="FF0000"/>
        </w:rPr>
        <w:t>CA: A Cancer Journal for Clinicians</w:t>
      </w:r>
      <w:r w:rsidRPr="00B57F26">
        <w:rPr>
          <w:rFonts w:ascii="Calibri" w:eastAsia="Times New Roman" w:hAnsi="Calibri"/>
          <w:color w:val="FF0000"/>
        </w:rPr>
        <w:t xml:space="preserve"> 66, 7-30 (2016).</w:t>
      </w:r>
    </w:p>
    <w:p w14:paraId="2E17A595" w14:textId="32C4B509" w:rsidR="00C73ECE" w:rsidRPr="00B57F26" w:rsidRDefault="00C73ECE" w:rsidP="00C73ECE">
      <w:pPr>
        <w:pStyle w:val="ListParagraph"/>
        <w:numPr>
          <w:ilvl w:val="0"/>
          <w:numId w:val="2"/>
        </w:numPr>
        <w:rPr>
          <w:rFonts w:ascii="Calibri" w:eastAsia="Times New Roman" w:hAnsi="Calibri"/>
          <w:color w:val="FF0000"/>
        </w:rPr>
      </w:pPr>
      <w:proofErr w:type="spellStart"/>
      <w:r w:rsidRPr="00B57F26">
        <w:rPr>
          <w:rFonts w:ascii="Calibri" w:eastAsia="Times New Roman" w:hAnsi="Calibri"/>
          <w:color w:val="FF0000"/>
        </w:rPr>
        <w:t>Bombonati</w:t>
      </w:r>
      <w:proofErr w:type="spellEnd"/>
      <w:r w:rsidRPr="00B57F26">
        <w:rPr>
          <w:rFonts w:ascii="Calibri" w:eastAsia="Times New Roman" w:hAnsi="Calibri"/>
          <w:color w:val="FF0000"/>
        </w:rPr>
        <w:t xml:space="preserve">, A. &amp; </w:t>
      </w:r>
      <w:proofErr w:type="spellStart"/>
      <w:r w:rsidRPr="00B57F26">
        <w:rPr>
          <w:rFonts w:ascii="Calibri" w:eastAsia="Times New Roman" w:hAnsi="Calibri"/>
          <w:color w:val="FF0000"/>
        </w:rPr>
        <w:t>Sgroi</w:t>
      </w:r>
      <w:proofErr w:type="spellEnd"/>
      <w:r w:rsidRPr="00B57F26">
        <w:rPr>
          <w:rFonts w:ascii="Calibri" w:eastAsia="Times New Roman" w:hAnsi="Calibri"/>
          <w:color w:val="FF0000"/>
        </w:rPr>
        <w:t xml:space="preserve">, D. The molecular pathology of breast cancer progression. </w:t>
      </w:r>
      <w:r w:rsidRPr="00B57F26">
        <w:rPr>
          <w:rFonts w:ascii="Calibri" w:eastAsia="Times New Roman" w:hAnsi="Calibri"/>
          <w:i/>
          <w:iCs/>
          <w:color w:val="FF0000"/>
        </w:rPr>
        <w:t xml:space="preserve">J. </w:t>
      </w:r>
      <w:proofErr w:type="spellStart"/>
      <w:r w:rsidRPr="00B57F26">
        <w:rPr>
          <w:rFonts w:ascii="Calibri" w:eastAsia="Times New Roman" w:hAnsi="Calibri"/>
          <w:i/>
          <w:iCs/>
          <w:color w:val="FF0000"/>
        </w:rPr>
        <w:t>Pathol</w:t>
      </w:r>
      <w:proofErr w:type="spellEnd"/>
      <w:r w:rsidRPr="00B57F26">
        <w:rPr>
          <w:rFonts w:ascii="Calibri" w:eastAsia="Times New Roman" w:hAnsi="Calibri"/>
          <w:i/>
          <w:iCs/>
          <w:color w:val="FF0000"/>
        </w:rPr>
        <w:t>.</w:t>
      </w:r>
      <w:r w:rsidRPr="00B57F26">
        <w:rPr>
          <w:rFonts w:ascii="Calibri" w:eastAsia="Times New Roman" w:hAnsi="Calibri"/>
          <w:color w:val="FF0000"/>
        </w:rPr>
        <w:t xml:space="preserve"> 223, 308-318 (2010).</w:t>
      </w:r>
    </w:p>
    <w:p w14:paraId="28D81A59" w14:textId="050A2B3D" w:rsidR="00DB6CCD" w:rsidRPr="00B57F26" w:rsidRDefault="00DB6CCD" w:rsidP="00DB6CCD">
      <w:pPr>
        <w:pStyle w:val="ListParagraph"/>
        <w:numPr>
          <w:ilvl w:val="0"/>
          <w:numId w:val="2"/>
        </w:numPr>
        <w:rPr>
          <w:rFonts w:ascii="Calibri" w:eastAsia="Times New Roman" w:hAnsi="Calibri"/>
          <w:color w:val="FF0000"/>
        </w:rPr>
      </w:pPr>
      <w:r w:rsidRPr="00B57F26">
        <w:rPr>
          <w:rStyle w:val="selectable"/>
          <w:rFonts w:ascii="Calibri" w:eastAsia="Times New Roman" w:hAnsi="Calibri"/>
          <w:color w:val="FF0000"/>
        </w:rPr>
        <w:t xml:space="preserve">Ma, X. et al. Gene expression profiles of human breast cancer progression. </w:t>
      </w:r>
      <w:r w:rsidRPr="00B57F26">
        <w:rPr>
          <w:rStyle w:val="selectable"/>
          <w:rFonts w:ascii="Calibri" w:eastAsia="Times New Roman" w:hAnsi="Calibri"/>
          <w:i/>
          <w:iCs/>
          <w:color w:val="FF0000"/>
        </w:rPr>
        <w:t>Proc. Natl. Acad. Sci. USA</w:t>
      </w:r>
      <w:r w:rsidRPr="00B57F26">
        <w:rPr>
          <w:rStyle w:val="selectable"/>
          <w:rFonts w:ascii="Calibri" w:eastAsia="Times New Roman" w:hAnsi="Calibri"/>
          <w:color w:val="FF0000"/>
        </w:rPr>
        <w:t xml:space="preserve"> 100, 5974-5979 (2003).</w:t>
      </w:r>
    </w:p>
    <w:p w14:paraId="3C108963" w14:textId="77777777" w:rsidR="00E5530D" w:rsidRPr="00B57F26" w:rsidRDefault="00DB6CCD" w:rsidP="00E5530D">
      <w:pPr>
        <w:pStyle w:val="ListParagraph"/>
        <w:numPr>
          <w:ilvl w:val="0"/>
          <w:numId w:val="2"/>
        </w:numPr>
        <w:rPr>
          <w:rFonts w:ascii="Calibri" w:hAnsi="Calibri"/>
          <w:color w:val="FF0000"/>
        </w:rPr>
      </w:pPr>
      <w:r w:rsidRPr="00B57F26">
        <w:rPr>
          <w:rFonts w:ascii="Calibri" w:hAnsi="Calibri"/>
          <w:color w:val="FF0000"/>
        </w:rPr>
        <w:t xml:space="preserve">Porter D. et al. Molecular markers in ductal carcinoma </w:t>
      </w:r>
      <w:r w:rsidRPr="00B57F26">
        <w:rPr>
          <w:rFonts w:ascii="Calibri" w:hAnsi="Calibri"/>
          <w:i/>
          <w:color w:val="FF0000"/>
        </w:rPr>
        <w:t xml:space="preserve">in situ </w:t>
      </w:r>
      <w:r w:rsidRPr="00B57F26">
        <w:rPr>
          <w:rFonts w:ascii="Calibri" w:hAnsi="Calibri"/>
          <w:color w:val="FF0000"/>
        </w:rPr>
        <w:t>of the breast</w:t>
      </w:r>
      <w:r w:rsidR="00676412" w:rsidRPr="00B57F26">
        <w:rPr>
          <w:rFonts w:ascii="Calibri" w:hAnsi="Calibri"/>
          <w:color w:val="FF0000"/>
        </w:rPr>
        <w:t>. Mol. Cancer Res. 1(5), 362-375 (2003)</w:t>
      </w:r>
    </w:p>
    <w:p w14:paraId="50D936DC" w14:textId="07C3AE97" w:rsidR="0079317D" w:rsidRPr="00077017" w:rsidRDefault="0079317D" w:rsidP="0079317D">
      <w:pPr>
        <w:pStyle w:val="ListParagraph"/>
        <w:numPr>
          <w:ilvl w:val="0"/>
          <w:numId w:val="2"/>
        </w:numPr>
        <w:rPr>
          <w:rFonts w:ascii="Calibri" w:eastAsia="Times New Roman" w:hAnsi="Calibri"/>
        </w:rPr>
      </w:pPr>
      <w:proofErr w:type="spellStart"/>
      <w:r w:rsidRPr="00077017">
        <w:rPr>
          <w:rFonts w:ascii="Calibri" w:eastAsia="Times New Roman" w:hAnsi="Calibri"/>
          <w:color w:val="000000"/>
          <w:shd w:val="clear" w:color="auto" w:fill="FFFFFF"/>
        </w:rPr>
        <w:t>Hannemann</w:t>
      </w:r>
      <w:proofErr w:type="spellEnd"/>
      <w:r w:rsidRPr="00077017">
        <w:rPr>
          <w:rFonts w:ascii="Calibri" w:eastAsia="Times New Roman" w:hAnsi="Calibri"/>
          <w:color w:val="000000"/>
          <w:shd w:val="clear" w:color="auto" w:fill="FFFFFF"/>
        </w:rPr>
        <w:t xml:space="preserve"> J, </w:t>
      </w:r>
      <w:proofErr w:type="spellStart"/>
      <w:r w:rsidRPr="00077017">
        <w:rPr>
          <w:rFonts w:ascii="Calibri" w:eastAsia="Times New Roman" w:hAnsi="Calibri"/>
          <w:color w:val="000000"/>
          <w:shd w:val="clear" w:color="auto" w:fill="FFFFFF"/>
        </w:rPr>
        <w:t>Velds</w:t>
      </w:r>
      <w:proofErr w:type="spellEnd"/>
      <w:r w:rsidRPr="00077017">
        <w:rPr>
          <w:rFonts w:ascii="Calibri" w:eastAsia="Times New Roman" w:hAnsi="Calibri"/>
          <w:color w:val="000000"/>
          <w:shd w:val="clear" w:color="auto" w:fill="FFFFFF"/>
        </w:rPr>
        <w:t xml:space="preserve"> A, </w:t>
      </w:r>
      <w:proofErr w:type="spellStart"/>
      <w:r w:rsidRPr="00077017">
        <w:rPr>
          <w:rFonts w:ascii="Calibri" w:eastAsia="Times New Roman" w:hAnsi="Calibri"/>
          <w:color w:val="000000"/>
          <w:shd w:val="clear" w:color="auto" w:fill="FFFFFF"/>
        </w:rPr>
        <w:t>Halfwerk</w:t>
      </w:r>
      <w:proofErr w:type="spellEnd"/>
      <w:r w:rsidRPr="00077017">
        <w:rPr>
          <w:rFonts w:ascii="Calibri" w:eastAsia="Times New Roman" w:hAnsi="Calibri"/>
          <w:color w:val="000000"/>
          <w:shd w:val="clear" w:color="auto" w:fill="FFFFFF"/>
        </w:rPr>
        <w:t xml:space="preserve"> JBG, </w:t>
      </w:r>
      <w:proofErr w:type="spellStart"/>
      <w:r w:rsidRPr="00077017">
        <w:rPr>
          <w:rFonts w:ascii="Calibri" w:eastAsia="Times New Roman" w:hAnsi="Calibri"/>
          <w:color w:val="000000"/>
          <w:shd w:val="clear" w:color="auto" w:fill="FFFFFF"/>
        </w:rPr>
        <w:t>Kreike</w:t>
      </w:r>
      <w:proofErr w:type="spellEnd"/>
      <w:r w:rsidRPr="00077017">
        <w:rPr>
          <w:rFonts w:ascii="Calibri" w:eastAsia="Times New Roman" w:hAnsi="Calibri"/>
          <w:color w:val="000000"/>
          <w:shd w:val="clear" w:color="auto" w:fill="FFFFFF"/>
        </w:rPr>
        <w:t xml:space="preserve"> B, </w:t>
      </w:r>
      <w:proofErr w:type="spellStart"/>
      <w:r w:rsidRPr="00077017">
        <w:rPr>
          <w:rFonts w:ascii="Calibri" w:eastAsia="Times New Roman" w:hAnsi="Calibri"/>
          <w:color w:val="000000"/>
          <w:shd w:val="clear" w:color="auto" w:fill="FFFFFF"/>
        </w:rPr>
        <w:t>Peterse</w:t>
      </w:r>
      <w:proofErr w:type="spellEnd"/>
      <w:r w:rsidRPr="00077017">
        <w:rPr>
          <w:rFonts w:ascii="Calibri" w:eastAsia="Times New Roman" w:hAnsi="Calibri"/>
          <w:color w:val="000000"/>
          <w:shd w:val="clear" w:color="auto" w:fill="FFFFFF"/>
        </w:rPr>
        <w:t xml:space="preserve"> JL, van de </w:t>
      </w:r>
      <w:proofErr w:type="spellStart"/>
      <w:r w:rsidRPr="00077017">
        <w:rPr>
          <w:rFonts w:ascii="Calibri" w:eastAsia="Times New Roman" w:hAnsi="Calibri"/>
          <w:color w:val="000000"/>
          <w:shd w:val="clear" w:color="auto" w:fill="FFFFFF"/>
        </w:rPr>
        <w:t>Vijver</w:t>
      </w:r>
      <w:proofErr w:type="spellEnd"/>
      <w:r w:rsidRPr="00077017">
        <w:rPr>
          <w:rFonts w:ascii="Calibri" w:eastAsia="Times New Roman" w:hAnsi="Calibri"/>
          <w:color w:val="000000"/>
          <w:shd w:val="clear" w:color="auto" w:fill="FFFFFF"/>
        </w:rPr>
        <w:t xml:space="preserve"> MJ. Classification of ductal carcinoma in situ by gene expression profiling.</w:t>
      </w:r>
      <w:r w:rsidRPr="00077017">
        <w:rPr>
          <w:rStyle w:val="apple-converted-space"/>
          <w:rFonts w:ascii="Calibri" w:eastAsia="Times New Roman" w:hAnsi="Calibri"/>
          <w:color w:val="000000"/>
          <w:shd w:val="clear" w:color="auto" w:fill="FFFFFF"/>
        </w:rPr>
        <w:t> </w:t>
      </w:r>
      <w:r w:rsidRPr="00077017">
        <w:rPr>
          <w:rStyle w:val="ref-journal"/>
          <w:rFonts w:ascii="Calibri" w:eastAsia="Times New Roman" w:hAnsi="Calibri"/>
          <w:color w:val="000000"/>
          <w:shd w:val="clear" w:color="auto" w:fill="FFFFFF"/>
        </w:rPr>
        <w:t>Breast Cancer Res.</w:t>
      </w:r>
      <w:r w:rsidRPr="00077017">
        <w:rPr>
          <w:rStyle w:val="apple-converted-space"/>
          <w:rFonts w:ascii="Calibri" w:eastAsia="Times New Roman" w:hAnsi="Calibri"/>
          <w:color w:val="000000"/>
          <w:shd w:val="clear" w:color="auto" w:fill="FFFFFF"/>
        </w:rPr>
        <w:t> </w:t>
      </w:r>
      <w:r w:rsidRPr="00077017">
        <w:rPr>
          <w:rStyle w:val="ref-vol"/>
          <w:rFonts w:ascii="Calibri" w:eastAsia="Times New Roman" w:hAnsi="Calibri"/>
          <w:color w:val="000000"/>
          <w:shd w:val="clear" w:color="auto" w:fill="FFFFFF"/>
        </w:rPr>
        <w:t>8</w:t>
      </w:r>
      <w:r w:rsidR="00560AA6" w:rsidRPr="00077017">
        <w:rPr>
          <w:rFonts w:ascii="Calibri" w:eastAsia="Times New Roman" w:hAnsi="Calibri"/>
          <w:color w:val="000000"/>
          <w:shd w:val="clear" w:color="auto" w:fill="FFFFFF"/>
        </w:rPr>
        <w:t>,</w:t>
      </w:r>
      <w:r w:rsidRPr="00077017">
        <w:rPr>
          <w:rFonts w:ascii="Calibri" w:eastAsia="Times New Roman" w:hAnsi="Calibri"/>
          <w:color w:val="000000"/>
          <w:shd w:val="clear" w:color="auto" w:fill="FFFFFF"/>
        </w:rPr>
        <w:t>R61</w:t>
      </w:r>
      <w:r w:rsidR="00560AA6" w:rsidRPr="00077017">
        <w:rPr>
          <w:rFonts w:ascii="Calibri" w:eastAsia="Times New Roman" w:hAnsi="Calibri"/>
          <w:color w:val="000000"/>
          <w:shd w:val="clear" w:color="auto" w:fill="FFFFFF"/>
        </w:rPr>
        <w:t xml:space="preserve"> (2006)</w:t>
      </w:r>
      <w:r w:rsidRPr="00077017">
        <w:rPr>
          <w:rStyle w:val="apple-converted-space"/>
          <w:rFonts w:ascii="Calibri" w:eastAsia="Times New Roman" w:hAnsi="Calibri"/>
          <w:color w:val="000000"/>
          <w:shd w:val="clear" w:color="auto" w:fill="FFFFFF"/>
        </w:rPr>
        <w:t> </w:t>
      </w:r>
    </w:p>
    <w:p w14:paraId="6825E335" w14:textId="0E23FD93" w:rsidR="00560AA6" w:rsidRPr="00077017" w:rsidRDefault="00F93FA5" w:rsidP="00560AA6">
      <w:pPr>
        <w:pStyle w:val="ListParagraph"/>
        <w:numPr>
          <w:ilvl w:val="0"/>
          <w:numId w:val="2"/>
        </w:numPr>
        <w:rPr>
          <w:rStyle w:val="selectable"/>
          <w:rFonts w:ascii="Calibri" w:hAnsi="Calibri"/>
        </w:rPr>
      </w:pPr>
      <w:proofErr w:type="spellStart"/>
      <w:r w:rsidRPr="00077017">
        <w:rPr>
          <w:rStyle w:val="selectable"/>
          <w:rFonts w:ascii="Calibri" w:hAnsi="Calibri"/>
        </w:rPr>
        <w:t>Iakovlev</w:t>
      </w:r>
      <w:proofErr w:type="spellEnd"/>
      <w:r w:rsidRPr="00077017">
        <w:rPr>
          <w:rStyle w:val="selectable"/>
          <w:rFonts w:ascii="Calibri" w:hAnsi="Calibri"/>
        </w:rPr>
        <w:t>, V. et al. Genomic differences between p</w:t>
      </w:r>
      <w:r w:rsidR="00560AA6" w:rsidRPr="00077017">
        <w:rPr>
          <w:rStyle w:val="selectable"/>
          <w:rFonts w:ascii="Calibri" w:hAnsi="Calibri"/>
        </w:rPr>
        <w:t xml:space="preserve">ure </w:t>
      </w:r>
      <w:r w:rsidRPr="00077017">
        <w:rPr>
          <w:rStyle w:val="selectable"/>
          <w:rFonts w:ascii="Calibri" w:hAnsi="Calibri"/>
        </w:rPr>
        <w:t>d</w:t>
      </w:r>
      <w:r w:rsidR="00560AA6" w:rsidRPr="00077017">
        <w:rPr>
          <w:rStyle w:val="selectable"/>
          <w:rFonts w:ascii="Calibri" w:hAnsi="Calibri"/>
        </w:rPr>
        <w:t xml:space="preserve">uctal </w:t>
      </w:r>
      <w:r w:rsidRPr="00077017">
        <w:rPr>
          <w:rStyle w:val="selectable"/>
          <w:rFonts w:ascii="Calibri" w:hAnsi="Calibri"/>
        </w:rPr>
        <w:t>carcinoma in situ of the breast and that associated with invasive d</w:t>
      </w:r>
      <w:r w:rsidR="00560AA6" w:rsidRPr="00077017">
        <w:rPr>
          <w:rStyle w:val="selectable"/>
          <w:rFonts w:ascii="Calibri" w:hAnsi="Calibri"/>
        </w:rPr>
        <w:t xml:space="preserve">isease: </w:t>
      </w:r>
      <w:proofErr w:type="gramStart"/>
      <w:r w:rsidR="00560AA6" w:rsidRPr="00077017">
        <w:rPr>
          <w:rStyle w:val="selectable"/>
          <w:rFonts w:ascii="Calibri" w:hAnsi="Calibri"/>
        </w:rPr>
        <w:t>a</w:t>
      </w:r>
      <w:proofErr w:type="gramEnd"/>
      <w:r w:rsidR="00560AA6" w:rsidRPr="00077017">
        <w:rPr>
          <w:rStyle w:val="selectable"/>
          <w:rFonts w:ascii="Calibri" w:hAnsi="Calibri"/>
        </w:rPr>
        <w:t xml:space="preserve"> Calibrated </w:t>
      </w:r>
      <w:proofErr w:type="spellStart"/>
      <w:r w:rsidR="00560AA6" w:rsidRPr="00077017">
        <w:rPr>
          <w:rStyle w:val="selectable"/>
          <w:rFonts w:ascii="Calibri" w:hAnsi="Calibri"/>
        </w:rPr>
        <w:t>aCGH</w:t>
      </w:r>
      <w:proofErr w:type="spellEnd"/>
      <w:r w:rsidR="00560AA6" w:rsidRPr="00077017">
        <w:rPr>
          <w:rStyle w:val="selectable"/>
          <w:rFonts w:ascii="Calibri" w:hAnsi="Calibri"/>
        </w:rPr>
        <w:t xml:space="preserve"> Study. </w:t>
      </w:r>
      <w:r w:rsidR="00560AA6" w:rsidRPr="00077017">
        <w:rPr>
          <w:rStyle w:val="selectable"/>
          <w:rFonts w:ascii="Calibri" w:hAnsi="Calibri"/>
          <w:i/>
          <w:iCs/>
        </w:rPr>
        <w:t>Clinical Cancer Research</w:t>
      </w:r>
      <w:r w:rsidR="00560AA6" w:rsidRPr="00077017">
        <w:rPr>
          <w:rStyle w:val="selectable"/>
          <w:rFonts w:ascii="Calibri" w:hAnsi="Calibri"/>
        </w:rPr>
        <w:t xml:space="preserve"> 14, 4446-4454 (2008)</w:t>
      </w:r>
    </w:p>
    <w:p w14:paraId="75C478EE" w14:textId="77777777" w:rsidR="0058746D" w:rsidRPr="00077017" w:rsidRDefault="00BA1361" w:rsidP="0058746D">
      <w:pPr>
        <w:pStyle w:val="ListParagraph"/>
        <w:numPr>
          <w:ilvl w:val="0"/>
          <w:numId w:val="2"/>
        </w:numPr>
        <w:rPr>
          <w:rStyle w:val="selectable"/>
          <w:rFonts w:ascii="Calibri" w:hAnsi="Calibri"/>
        </w:rPr>
      </w:pPr>
      <w:proofErr w:type="spellStart"/>
      <w:r w:rsidRPr="00077017">
        <w:rPr>
          <w:rStyle w:val="selectable"/>
          <w:rFonts w:ascii="Calibri" w:hAnsi="Calibri"/>
        </w:rPr>
        <w:t>Liscovitch</w:t>
      </w:r>
      <w:proofErr w:type="spellEnd"/>
      <w:r w:rsidRPr="00077017">
        <w:rPr>
          <w:rStyle w:val="selectable"/>
          <w:rFonts w:ascii="Calibri" w:hAnsi="Calibri"/>
        </w:rPr>
        <w:t xml:space="preserve">, M. &amp; </w:t>
      </w:r>
      <w:proofErr w:type="spellStart"/>
      <w:r w:rsidRPr="00077017">
        <w:rPr>
          <w:rStyle w:val="selectable"/>
          <w:rFonts w:ascii="Calibri" w:hAnsi="Calibri"/>
        </w:rPr>
        <w:t>Cantley</w:t>
      </w:r>
      <w:proofErr w:type="spellEnd"/>
      <w:r w:rsidRPr="00077017">
        <w:rPr>
          <w:rStyle w:val="selectable"/>
          <w:rFonts w:ascii="Calibri" w:hAnsi="Calibri"/>
        </w:rPr>
        <w:t xml:space="preserve">, L. Signal transduction and membrane traffic: The PITP/phosphoinositide connection. </w:t>
      </w:r>
      <w:r w:rsidRPr="00077017">
        <w:rPr>
          <w:rStyle w:val="selectable"/>
          <w:rFonts w:ascii="Calibri" w:hAnsi="Calibri"/>
          <w:i/>
          <w:iCs/>
        </w:rPr>
        <w:t>Cell</w:t>
      </w:r>
      <w:r w:rsidRPr="00077017">
        <w:rPr>
          <w:rStyle w:val="selectable"/>
          <w:rFonts w:ascii="Calibri" w:hAnsi="Calibri"/>
        </w:rPr>
        <w:t xml:space="preserve"> 81, 659-662 (1995).</w:t>
      </w:r>
    </w:p>
    <w:p w14:paraId="295E3C86" w14:textId="0D6039AD" w:rsidR="00BA1361" w:rsidRPr="00077017" w:rsidRDefault="00BA1361" w:rsidP="0058746D">
      <w:pPr>
        <w:pStyle w:val="ListParagraph"/>
        <w:numPr>
          <w:ilvl w:val="0"/>
          <w:numId w:val="2"/>
        </w:numPr>
        <w:rPr>
          <w:rStyle w:val="selectable"/>
          <w:rFonts w:ascii="Calibri" w:hAnsi="Calibri"/>
        </w:rPr>
      </w:pPr>
      <w:proofErr w:type="spellStart"/>
      <w:r w:rsidRPr="00077017">
        <w:rPr>
          <w:rStyle w:val="selectable"/>
          <w:rFonts w:ascii="Calibri" w:hAnsi="Calibri"/>
        </w:rPr>
        <w:t>Png</w:t>
      </w:r>
      <w:proofErr w:type="spellEnd"/>
      <w:r w:rsidRPr="00077017">
        <w:rPr>
          <w:rStyle w:val="selectable"/>
          <w:rFonts w:ascii="Calibri" w:hAnsi="Calibri"/>
        </w:rPr>
        <w:t xml:space="preserve">, K., </w:t>
      </w:r>
      <w:proofErr w:type="spellStart"/>
      <w:r w:rsidRPr="00077017">
        <w:rPr>
          <w:rStyle w:val="selectable"/>
          <w:rFonts w:ascii="Calibri" w:hAnsi="Calibri"/>
        </w:rPr>
        <w:t>Halberg</w:t>
      </w:r>
      <w:proofErr w:type="spellEnd"/>
      <w:r w:rsidRPr="00077017">
        <w:rPr>
          <w:rStyle w:val="selectable"/>
          <w:rFonts w:ascii="Calibri" w:hAnsi="Calibri"/>
        </w:rPr>
        <w:t xml:space="preserve">, N., Yoshida, M. &amp; </w:t>
      </w:r>
      <w:proofErr w:type="spellStart"/>
      <w:r w:rsidRPr="00077017">
        <w:rPr>
          <w:rStyle w:val="selectable"/>
          <w:rFonts w:ascii="Calibri" w:hAnsi="Calibri"/>
        </w:rPr>
        <w:t>Tavazoie</w:t>
      </w:r>
      <w:proofErr w:type="spellEnd"/>
      <w:r w:rsidRPr="00077017">
        <w:rPr>
          <w:rStyle w:val="selectable"/>
          <w:rFonts w:ascii="Calibri" w:hAnsi="Calibri"/>
        </w:rPr>
        <w:t xml:space="preserve">, S. A microRNA regulon that mediates endothelial recruitment and metastasis by cancer cells. </w:t>
      </w:r>
      <w:r w:rsidRPr="00077017">
        <w:rPr>
          <w:rStyle w:val="selectable"/>
          <w:rFonts w:ascii="Calibri" w:hAnsi="Calibri"/>
          <w:i/>
          <w:iCs/>
        </w:rPr>
        <w:t>Nature</w:t>
      </w:r>
      <w:r w:rsidRPr="00077017">
        <w:rPr>
          <w:rStyle w:val="selectable"/>
          <w:rFonts w:ascii="Calibri" w:hAnsi="Calibri"/>
        </w:rPr>
        <w:t xml:space="preserve"> 481, 190-194 (2011).</w:t>
      </w:r>
    </w:p>
    <w:p w14:paraId="4C09101B" w14:textId="77777777" w:rsidR="00077017" w:rsidRPr="00B57F26" w:rsidRDefault="00077017" w:rsidP="00077017">
      <w:pPr>
        <w:pStyle w:val="ListParagraph"/>
        <w:numPr>
          <w:ilvl w:val="0"/>
          <w:numId w:val="2"/>
        </w:numPr>
        <w:rPr>
          <w:rFonts w:ascii="Calibri" w:eastAsia="Times New Roman" w:hAnsi="Calibri"/>
          <w:color w:val="FF0000"/>
        </w:rPr>
      </w:pPr>
      <w:r w:rsidRPr="00B57F26">
        <w:rPr>
          <w:rStyle w:val="selectable"/>
          <w:rFonts w:ascii="Calibri" w:eastAsia="Times New Roman" w:hAnsi="Calibri"/>
          <w:color w:val="FF0000"/>
        </w:rPr>
        <w:t xml:space="preserve">Richard, J. et al. Epidermal-growth-factor receptor status as predictor of early recurrence of and death from breast cancer. </w:t>
      </w:r>
      <w:r w:rsidRPr="00B57F26">
        <w:rPr>
          <w:rStyle w:val="selectable"/>
          <w:rFonts w:ascii="Calibri" w:eastAsia="Times New Roman" w:hAnsi="Calibri"/>
          <w:i/>
          <w:iCs/>
          <w:color w:val="FF0000"/>
        </w:rPr>
        <w:t>The Lancet</w:t>
      </w:r>
      <w:r w:rsidRPr="00B57F26">
        <w:rPr>
          <w:rStyle w:val="selectable"/>
          <w:rFonts w:ascii="Calibri" w:eastAsia="Times New Roman" w:hAnsi="Calibri"/>
          <w:color w:val="FF0000"/>
        </w:rPr>
        <w:t xml:space="preserve"> 329, 1398-1402 (1987).</w:t>
      </w:r>
    </w:p>
    <w:p w14:paraId="14F1199C" w14:textId="1F5F0769" w:rsidR="00085F44" w:rsidRPr="00DD6FC4" w:rsidRDefault="00085F44" w:rsidP="00085F44">
      <w:pPr>
        <w:pStyle w:val="ListParagraph"/>
        <w:numPr>
          <w:ilvl w:val="0"/>
          <w:numId w:val="2"/>
        </w:numPr>
        <w:rPr>
          <w:rFonts w:ascii="Calibri" w:eastAsia="Times New Roman" w:hAnsi="Calibri"/>
          <w:color w:val="FF0000"/>
        </w:rPr>
      </w:pPr>
      <w:r w:rsidRPr="00DD6FC4">
        <w:rPr>
          <w:rStyle w:val="selectable"/>
          <w:rFonts w:ascii="Calibri" w:eastAsia="Times New Roman" w:hAnsi="Calibri"/>
          <w:color w:val="FF0000"/>
        </w:rPr>
        <w:t xml:space="preserve">Clark, S. et al. Molecular subtyping of DCIS: heterogeneity of breast cancer reflected in pre-invasive disease. </w:t>
      </w:r>
      <w:r w:rsidRPr="00DD6FC4">
        <w:rPr>
          <w:rStyle w:val="selectable"/>
          <w:rFonts w:ascii="Calibri" w:eastAsia="Times New Roman" w:hAnsi="Calibri"/>
          <w:i/>
          <w:iCs/>
          <w:color w:val="FF0000"/>
        </w:rPr>
        <w:t>Br J Cancer</w:t>
      </w:r>
      <w:r w:rsidRPr="00DD6FC4">
        <w:rPr>
          <w:rStyle w:val="selectable"/>
          <w:rFonts w:ascii="Calibri" w:eastAsia="Times New Roman" w:hAnsi="Calibri"/>
          <w:color w:val="FF0000"/>
        </w:rPr>
        <w:t xml:space="preserve"> 104, 120-127 (2010).</w:t>
      </w:r>
    </w:p>
    <w:p w14:paraId="167EE034" w14:textId="77777777" w:rsidR="00DE0412" w:rsidRPr="00077017" w:rsidRDefault="00DE0412" w:rsidP="00DE0412">
      <w:pPr>
        <w:pStyle w:val="ListParagraph"/>
        <w:numPr>
          <w:ilvl w:val="0"/>
          <w:numId w:val="2"/>
        </w:numPr>
        <w:rPr>
          <w:rStyle w:val="selectable"/>
          <w:rFonts w:ascii="Calibri" w:hAnsi="Calibri"/>
          <w:lang w:val="en-CA"/>
        </w:rPr>
      </w:pPr>
      <w:r w:rsidRPr="00077017">
        <w:rPr>
          <w:rStyle w:val="selectable"/>
          <w:rFonts w:ascii="Calibri" w:hAnsi="Calibri"/>
        </w:rPr>
        <w:t xml:space="preserve">Cowell, C. et al. Progression from ductal carcinoma in situ to invasive breast cancer: Revisited. </w:t>
      </w:r>
      <w:r w:rsidRPr="00077017">
        <w:rPr>
          <w:rStyle w:val="selectable"/>
          <w:rFonts w:ascii="Calibri" w:hAnsi="Calibri"/>
          <w:i/>
          <w:iCs/>
        </w:rPr>
        <w:t>Molecular Oncology</w:t>
      </w:r>
      <w:r w:rsidRPr="00077017">
        <w:rPr>
          <w:rStyle w:val="selectable"/>
          <w:rFonts w:ascii="Calibri" w:hAnsi="Calibri"/>
        </w:rPr>
        <w:t xml:space="preserve"> 7, 859-869 (2013).</w:t>
      </w:r>
    </w:p>
    <w:p w14:paraId="1783D7AA" w14:textId="2E1BA4DF" w:rsidR="00F93FA5" w:rsidRPr="00B57F26" w:rsidRDefault="00F93FA5" w:rsidP="00F93FA5">
      <w:pPr>
        <w:pStyle w:val="ListParagraph"/>
        <w:numPr>
          <w:ilvl w:val="0"/>
          <w:numId w:val="2"/>
        </w:numPr>
        <w:rPr>
          <w:rStyle w:val="selectable"/>
          <w:rFonts w:ascii="Calibri" w:eastAsia="Times New Roman" w:hAnsi="Calibri"/>
          <w:color w:val="FF0000"/>
        </w:rPr>
      </w:pPr>
      <w:proofErr w:type="spellStart"/>
      <w:r w:rsidRPr="00B57F26">
        <w:rPr>
          <w:rStyle w:val="selectable"/>
          <w:rFonts w:ascii="Calibri" w:eastAsia="Times New Roman" w:hAnsi="Calibri"/>
          <w:color w:val="FF0000"/>
        </w:rPr>
        <w:t>Latta</w:t>
      </w:r>
      <w:proofErr w:type="spellEnd"/>
      <w:r w:rsidRPr="00B57F26">
        <w:rPr>
          <w:rStyle w:val="selectable"/>
          <w:rFonts w:ascii="Calibri" w:eastAsia="Times New Roman" w:hAnsi="Calibri"/>
          <w:color w:val="FF0000"/>
        </w:rPr>
        <w:t xml:space="preserve">, E., </w:t>
      </w:r>
      <w:proofErr w:type="spellStart"/>
      <w:r w:rsidRPr="00B57F26">
        <w:rPr>
          <w:rStyle w:val="selectable"/>
          <w:rFonts w:ascii="Calibri" w:eastAsia="Times New Roman" w:hAnsi="Calibri"/>
          <w:color w:val="FF0000"/>
        </w:rPr>
        <w:t>Tjan</w:t>
      </w:r>
      <w:proofErr w:type="spellEnd"/>
      <w:r w:rsidRPr="00B57F26">
        <w:rPr>
          <w:rStyle w:val="selectable"/>
          <w:rFonts w:ascii="Calibri" w:eastAsia="Times New Roman" w:hAnsi="Calibri"/>
          <w:color w:val="FF0000"/>
        </w:rPr>
        <w:t xml:space="preserve">, S., </w:t>
      </w:r>
      <w:proofErr w:type="spellStart"/>
      <w:r w:rsidRPr="00B57F26">
        <w:rPr>
          <w:rStyle w:val="selectable"/>
          <w:rFonts w:ascii="Calibri" w:eastAsia="Times New Roman" w:hAnsi="Calibri"/>
          <w:color w:val="FF0000"/>
        </w:rPr>
        <w:t>Parkes</w:t>
      </w:r>
      <w:proofErr w:type="spellEnd"/>
      <w:r w:rsidRPr="00B57F26">
        <w:rPr>
          <w:rStyle w:val="selectable"/>
          <w:rFonts w:ascii="Calibri" w:eastAsia="Times New Roman" w:hAnsi="Calibri"/>
          <w:color w:val="FF0000"/>
        </w:rPr>
        <w:t>, R. &amp; O’Malley, F. The Role of HER2/</w:t>
      </w:r>
      <w:proofErr w:type="spellStart"/>
      <w:r w:rsidRPr="00B57F26">
        <w:rPr>
          <w:rStyle w:val="selectable"/>
          <w:rFonts w:ascii="Calibri" w:eastAsia="Times New Roman" w:hAnsi="Calibri"/>
          <w:color w:val="FF0000"/>
        </w:rPr>
        <w:t>neu</w:t>
      </w:r>
      <w:proofErr w:type="spellEnd"/>
      <w:r w:rsidRPr="00B57F26">
        <w:rPr>
          <w:rStyle w:val="selectable"/>
          <w:rFonts w:ascii="Calibri" w:eastAsia="Times New Roman" w:hAnsi="Calibri"/>
          <w:color w:val="FF0000"/>
        </w:rPr>
        <w:t xml:space="preserve"> Overexpression/Amplification in the progression of ductal carcinoma in situ to invasive carcinoma of the breast. </w:t>
      </w:r>
      <w:r w:rsidRPr="00B57F26">
        <w:rPr>
          <w:rStyle w:val="selectable"/>
          <w:rFonts w:ascii="Calibri" w:eastAsia="Times New Roman" w:hAnsi="Calibri"/>
          <w:i/>
          <w:iCs/>
          <w:color w:val="FF0000"/>
        </w:rPr>
        <w:t xml:space="preserve">Mod </w:t>
      </w:r>
      <w:proofErr w:type="spellStart"/>
      <w:r w:rsidRPr="00B57F26">
        <w:rPr>
          <w:rStyle w:val="selectable"/>
          <w:rFonts w:ascii="Calibri" w:eastAsia="Times New Roman" w:hAnsi="Calibri"/>
          <w:i/>
          <w:iCs/>
          <w:color w:val="FF0000"/>
        </w:rPr>
        <w:t>Pathol</w:t>
      </w:r>
      <w:proofErr w:type="spellEnd"/>
      <w:r w:rsidRPr="00B57F26">
        <w:rPr>
          <w:rStyle w:val="selectable"/>
          <w:rFonts w:ascii="Calibri" w:eastAsia="Times New Roman" w:hAnsi="Calibri"/>
          <w:color w:val="FF0000"/>
        </w:rPr>
        <w:t xml:space="preserve"> 15, 1318-1325 (2002).</w:t>
      </w:r>
    </w:p>
    <w:p w14:paraId="12791998" w14:textId="50867445" w:rsidR="00F468B8" w:rsidRPr="00B57F26" w:rsidRDefault="00F468B8" w:rsidP="00F468B8">
      <w:pPr>
        <w:pStyle w:val="ListParagraph"/>
        <w:numPr>
          <w:ilvl w:val="0"/>
          <w:numId w:val="2"/>
        </w:numPr>
        <w:rPr>
          <w:rFonts w:ascii="Calibri" w:eastAsia="Times New Roman" w:hAnsi="Calibri"/>
          <w:color w:val="FF0000"/>
        </w:rPr>
      </w:pPr>
      <w:proofErr w:type="spellStart"/>
      <w:r w:rsidRPr="00B57F26">
        <w:rPr>
          <w:rStyle w:val="selectable"/>
          <w:rFonts w:ascii="Calibri" w:eastAsia="Times New Roman" w:hAnsi="Calibri"/>
          <w:color w:val="FF0000"/>
        </w:rPr>
        <w:t>Corzo</w:t>
      </w:r>
      <w:proofErr w:type="spellEnd"/>
      <w:r w:rsidRPr="00B57F26">
        <w:rPr>
          <w:rStyle w:val="selectable"/>
          <w:rFonts w:ascii="Calibri" w:eastAsia="Times New Roman" w:hAnsi="Calibri"/>
          <w:color w:val="FF0000"/>
        </w:rPr>
        <w:t xml:space="preserve">, C. et al. The MYC oncogene in breast cancer progression: from benign epithelium to invasive carcinoma. </w:t>
      </w:r>
      <w:r w:rsidRPr="00B57F26">
        <w:rPr>
          <w:rStyle w:val="selectable"/>
          <w:rFonts w:ascii="Calibri" w:eastAsia="Times New Roman" w:hAnsi="Calibri"/>
          <w:i/>
          <w:iCs/>
          <w:color w:val="FF0000"/>
        </w:rPr>
        <w:t xml:space="preserve">Cancer Genetics and </w:t>
      </w:r>
      <w:proofErr w:type="spellStart"/>
      <w:r w:rsidRPr="00B57F26">
        <w:rPr>
          <w:rStyle w:val="selectable"/>
          <w:rFonts w:ascii="Calibri" w:eastAsia="Times New Roman" w:hAnsi="Calibri"/>
          <w:i/>
          <w:iCs/>
          <w:color w:val="FF0000"/>
        </w:rPr>
        <w:t>Cytogenetics</w:t>
      </w:r>
      <w:proofErr w:type="spellEnd"/>
      <w:r w:rsidRPr="00B57F26">
        <w:rPr>
          <w:rStyle w:val="selectable"/>
          <w:rFonts w:ascii="Calibri" w:eastAsia="Times New Roman" w:hAnsi="Calibri"/>
          <w:color w:val="FF0000"/>
        </w:rPr>
        <w:t xml:space="preserve"> 165, 151-156 (2006).</w:t>
      </w:r>
    </w:p>
    <w:p w14:paraId="6EBA7CC9" w14:textId="2E456DC5" w:rsidR="00F468B8" w:rsidRDefault="00F468B8" w:rsidP="00F468B8">
      <w:pPr>
        <w:pStyle w:val="ListParagraph"/>
        <w:numPr>
          <w:ilvl w:val="0"/>
          <w:numId w:val="2"/>
        </w:numPr>
        <w:rPr>
          <w:rStyle w:val="selectable"/>
          <w:rFonts w:ascii="Calibri" w:eastAsia="Times New Roman" w:hAnsi="Calibri"/>
          <w:color w:val="FF0000"/>
        </w:rPr>
      </w:pPr>
      <w:proofErr w:type="spellStart"/>
      <w:r w:rsidRPr="00B57F26">
        <w:rPr>
          <w:rStyle w:val="selectable"/>
          <w:rFonts w:ascii="Calibri" w:eastAsia="Times New Roman" w:hAnsi="Calibri"/>
          <w:color w:val="FF0000"/>
        </w:rPr>
        <w:lastRenderedPageBreak/>
        <w:t>Robanus-Maandag</w:t>
      </w:r>
      <w:proofErr w:type="spellEnd"/>
      <w:r w:rsidRPr="00B57F26">
        <w:rPr>
          <w:rStyle w:val="selectable"/>
          <w:rFonts w:ascii="Calibri" w:eastAsia="Times New Roman" w:hAnsi="Calibri"/>
          <w:color w:val="FF0000"/>
        </w:rPr>
        <w:t xml:space="preserve">, E. et al. Association of C-MYC amplification with progression from the in situ to the invasive stage in C-MYC-amplified breast carcinomas. </w:t>
      </w:r>
      <w:r w:rsidRPr="00B57F26">
        <w:rPr>
          <w:rStyle w:val="selectable"/>
          <w:rFonts w:ascii="Calibri" w:eastAsia="Times New Roman" w:hAnsi="Calibri"/>
          <w:i/>
          <w:iCs/>
          <w:color w:val="FF0000"/>
        </w:rPr>
        <w:t xml:space="preserve">J. </w:t>
      </w:r>
      <w:proofErr w:type="spellStart"/>
      <w:r w:rsidRPr="00B57F26">
        <w:rPr>
          <w:rStyle w:val="selectable"/>
          <w:rFonts w:ascii="Calibri" w:eastAsia="Times New Roman" w:hAnsi="Calibri"/>
          <w:i/>
          <w:iCs/>
          <w:color w:val="FF0000"/>
        </w:rPr>
        <w:t>Pathol</w:t>
      </w:r>
      <w:proofErr w:type="spellEnd"/>
      <w:r w:rsidRPr="00B57F26">
        <w:rPr>
          <w:rStyle w:val="selectable"/>
          <w:rFonts w:ascii="Calibri" w:eastAsia="Times New Roman" w:hAnsi="Calibri"/>
          <w:i/>
          <w:iCs/>
          <w:color w:val="FF0000"/>
        </w:rPr>
        <w:t>.</w:t>
      </w:r>
      <w:r w:rsidRPr="00B57F26">
        <w:rPr>
          <w:rStyle w:val="selectable"/>
          <w:rFonts w:ascii="Calibri" w:eastAsia="Times New Roman" w:hAnsi="Calibri"/>
          <w:color w:val="FF0000"/>
        </w:rPr>
        <w:t xml:space="preserve"> 201, 75-82 (2003).</w:t>
      </w:r>
    </w:p>
    <w:p w14:paraId="3517B046" w14:textId="77777777" w:rsidR="00985451" w:rsidRPr="00985451" w:rsidRDefault="00985451" w:rsidP="00985451">
      <w:pPr>
        <w:pStyle w:val="ListParagraph"/>
        <w:numPr>
          <w:ilvl w:val="0"/>
          <w:numId w:val="2"/>
        </w:numPr>
        <w:rPr>
          <w:rFonts w:eastAsia="Times New Roman"/>
        </w:rPr>
      </w:pPr>
      <w:proofErr w:type="spellStart"/>
      <w:r w:rsidRPr="00985451">
        <w:rPr>
          <w:rStyle w:val="selectable"/>
          <w:rFonts w:eastAsia="Times New Roman"/>
        </w:rPr>
        <w:t>DePinho</w:t>
      </w:r>
      <w:proofErr w:type="spellEnd"/>
      <w:r w:rsidRPr="00985451">
        <w:rPr>
          <w:rStyle w:val="selectable"/>
          <w:rFonts w:eastAsia="Times New Roman"/>
        </w:rPr>
        <w:t xml:space="preserve">, R., &amp; </w:t>
      </w:r>
      <w:proofErr w:type="spellStart"/>
      <w:r w:rsidRPr="00985451">
        <w:rPr>
          <w:rStyle w:val="selectable"/>
          <w:rFonts w:eastAsia="Times New Roman"/>
        </w:rPr>
        <w:t>Polyak</w:t>
      </w:r>
      <w:proofErr w:type="spellEnd"/>
      <w:r w:rsidRPr="00985451">
        <w:rPr>
          <w:rStyle w:val="selectable"/>
          <w:rFonts w:eastAsia="Times New Roman"/>
        </w:rPr>
        <w:t xml:space="preserve">, K. (2002). Genomic instability: Chromosome crisis. </w:t>
      </w:r>
      <w:r w:rsidRPr="00985451">
        <w:rPr>
          <w:rStyle w:val="selectable"/>
          <w:rFonts w:eastAsia="Times New Roman"/>
          <w:i/>
          <w:iCs/>
        </w:rPr>
        <w:t>Nature Reviews Cancer</w:t>
      </w:r>
      <w:r w:rsidRPr="00985451">
        <w:rPr>
          <w:rStyle w:val="selectable"/>
          <w:rFonts w:eastAsia="Times New Roman"/>
        </w:rPr>
        <w:t xml:space="preserve">, </w:t>
      </w:r>
      <w:r w:rsidRPr="00985451">
        <w:rPr>
          <w:rStyle w:val="selectable"/>
          <w:rFonts w:eastAsia="Times New Roman"/>
          <w:i/>
          <w:iCs/>
        </w:rPr>
        <w:t>2</w:t>
      </w:r>
      <w:r w:rsidRPr="00985451">
        <w:rPr>
          <w:rStyle w:val="selectable"/>
          <w:rFonts w:eastAsia="Times New Roman"/>
        </w:rPr>
        <w:t>(9), 638-638. http://dx.doi.org/10.1038/nrc888</w:t>
      </w:r>
    </w:p>
    <w:p w14:paraId="198D5A9C" w14:textId="77777777" w:rsidR="00EB4194" w:rsidRPr="00EB4194" w:rsidRDefault="00EB4194" w:rsidP="00EB4194">
      <w:pPr>
        <w:pStyle w:val="ListParagraph"/>
        <w:numPr>
          <w:ilvl w:val="0"/>
          <w:numId w:val="2"/>
        </w:numPr>
        <w:rPr>
          <w:rFonts w:eastAsia="Times New Roman"/>
        </w:rPr>
      </w:pPr>
      <w:r w:rsidRPr="00EB4194">
        <w:rPr>
          <w:rStyle w:val="selectable"/>
          <w:rFonts w:eastAsia="Times New Roman"/>
        </w:rPr>
        <w:t xml:space="preserve">Davis, N., </w:t>
      </w:r>
      <w:proofErr w:type="spellStart"/>
      <w:r w:rsidRPr="00EB4194">
        <w:rPr>
          <w:rStyle w:val="selectable"/>
          <w:rFonts w:eastAsia="Times New Roman"/>
        </w:rPr>
        <w:t>Sokolosky</w:t>
      </w:r>
      <w:proofErr w:type="spellEnd"/>
      <w:r w:rsidRPr="00EB4194">
        <w:rPr>
          <w:rStyle w:val="selectable"/>
          <w:rFonts w:eastAsia="Times New Roman"/>
        </w:rPr>
        <w:t xml:space="preserve">, M., </w:t>
      </w:r>
      <w:proofErr w:type="spellStart"/>
      <w:r w:rsidRPr="00EB4194">
        <w:rPr>
          <w:rStyle w:val="selectable"/>
          <w:rFonts w:eastAsia="Times New Roman"/>
        </w:rPr>
        <w:t>Stadelman</w:t>
      </w:r>
      <w:proofErr w:type="spellEnd"/>
      <w:r w:rsidRPr="00EB4194">
        <w:rPr>
          <w:rStyle w:val="selectable"/>
          <w:rFonts w:eastAsia="Times New Roman"/>
        </w:rPr>
        <w:t xml:space="preserve">, K., Abrams, S., Libra, M., &amp; </w:t>
      </w:r>
      <w:proofErr w:type="spellStart"/>
      <w:r w:rsidRPr="00EB4194">
        <w:rPr>
          <w:rStyle w:val="selectable"/>
          <w:rFonts w:eastAsia="Times New Roman"/>
        </w:rPr>
        <w:t>Candido</w:t>
      </w:r>
      <w:proofErr w:type="spellEnd"/>
      <w:r w:rsidRPr="00EB4194">
        <w:rPr>
          <w:rStyle w:val="selectable"/>
          <w:rFonts w:eastAsia="Times New Roman"/>
        </w:rPr>
        <w:t>, S. et al. (2014). Deregulation of the EGFR/PI3K/PTEN/</w:t>
      </w:r>
      <w:proofErr w:type="spellStart"/>
      <w:r w:rsidRPr="00EB4194">
        <w:rPr>
          <w:rStyle w:val="selectable"/>
          <w:rFonts w:eastAsia="Times New Roman"/>
        </w:rPr>
        <w:t>Akt</w:t>
      </w:r>
      <w:proofErr w:type="spellEnd"/>
      <w:r w:rsidRPr="00EB4194">
        <w:rPr>
          <w:rStyle w:val="selectable"/>
          <w:rFonts w:eastAsia="Times New Roman"/>
        </w:rPr>
        <w:t xml:space="preserve">/mTORC1 pathway in breast cancer: possibilities for therapeutic intervention. </w:t>
      </w:r>
      <w:proofErr w:type="spellStart"/>
      <w:r w:rsidRPr="00EB4194">
        <w:rPr>
          <w:rStyle w:val="selectable"/>
          <w:rFonts w:eastAsia="Times New Roman"/>
          <w:i/>
          <w:iCs/>
        </w:rPr>
        <w:t>Oncotarget</w:t>
      </w:r>
      <w:proofErr w:type="spellEnd"/>
      <w:r w:rsidRPr="00EB4194">
        <w:rPr>
          <w:rStyle w:val="selectable"/>
          <w:rFonts w:eastAsia="Times New Roman"/>
        </w:rPr>
        <w:t xml:space="preserve">, </w:t>
      </w:r>
      <w:r w:rsidRPr="00EB4194">
        <w:rPr>
          <w:rStyle w:val="selectable"/>
          <w:rFonts w:eastAsia="Times New Roman"/>
          <w:i/>
          <w:iCs/>
        </w:rPr>
        <w:t>5</w:t>
      </w:r>
      <w:r w:rsidRPr="00EB4194">
        <w:rPr>
          <w:rStyle w:val="selectable"/>
          <w:rFonts w:eastAsia="Times New Roman"/>
        </w:rPr>
        <w:t>(13), 4603-4650. http://dx.doi.org/10.18632/oncotarget.2209</w:t>
      </w:r>
    </w:p>
    <w:p w14:paraId="0DA43F6E" w14:textId="77777777" w:rsidR="00B64881" w:rsidRPr="00B64881" w:rsidRDefault="00B64881" w:rsidP="00B64881">
      <w:pPr>
        <w:pStyle w:val="ListParagraph"/>
        <w:numPr>
          <w:ilvl w:val="0"/>
          <w:numId w:val="2"/>
        </w:numPr>
        <w:rPr>
          <w:rFonts w:eastAsia="Times New Roman"/>
        </w:rPr>
      </w:pPr>
      <w:r w:rsidRPr="00B64881">
        <w:rPr>
          <w:rStyle w:val="selectable"/>
          <w:rFonts w:eastAsia="Times New Roman"/>
        </w:rPr>
        <w:t xml:space="preserve">Chin, K., </w:t>
      </w:r>
      <w:proofErr w:type="spellStart"/>
      <w:r w:rsidRPr="00B64881">
        <w:rPr>
          <w:rStyle w:val="selectable"/>
          <w:rFonts w:eastAsia="Times New Roman"/>
        </w:rPr>
        <w:t>DeVries</w:t>
      </w:r>
      <w:proofErr w:type="spellEnd"/>
      <w:r w:rsidRPr="00B64881">
        <w:rPr>
          <w:rStyle w:val="selectable"/>
          <w:rFonts w:eastAsia="Times New Roman"/>
        </w:rPr>
        <w:t xml:space="preserve">, S., </w:t>
      </w:r>
      <w:proofErr w:type="spellStart"/>
      <w:r w:rsidRPr="00B64881">
        <w:rPr>
          <w:rStyle w:val="selectable"/>
          <w:rFonts w:eastAsia="Times New Roman"/>
        </w:rPr>
        <w:t>Fridlyand</w:t>
      </w:r>
      <w:proofErr w:type="spellEnd"/>
      <w:r w:rsidRPr="00B64881">
        <w:rPr>
          <w:rStyle w:val="selectable"/>
          <w:rFonts w:eastAsia="Times New Roman"/>
        </w:rPr>
        <w:t xml:space="preserve">, J., Spellman, P., </w:t>
      </w:r>
      <w:proofErr w:type="spellStart"/>
      <w:r w:rsidRPr="00B64881">
        <w:rPr>
          <w:rStyle w:val="selectable"/>
          <w:rFonts w:eastAsia="Times New Roman"/>
        </w:rPr>
        <w:t>Roydasgupta</w:t>
      </w:r>
      <w:proofErr w:type="spellEnd"/>
      <w:r w:rsidRPr="00B64881">
        <w:rPr>
          <w:rStyle w:val="selectable"/>
          <w:rFonts w:eastAsia="Times New Roman"/>
        </w:rPr>
        <w:t xml:space="preserve">, R., &amp; </w:t>
      </w:r>
      <w:proofErr w:type="spellStart"/>
      <w:r w:rsidRPr="00B64881">
        <w:rPr>
          <w:rStyle w:val="selectable"/>
          <w:rFonts w:eastAsia="Times New Roman"/>
        </w:rPr>
        <w:t>Kuo</w:t>
      </w:r>
      <w:proofErr w:type="spellEnd"/>
      <w:r w:rsidRPr="00B64881">
        <w:rPr>
          <w:rStyle w:val="selectable"/>
          <w:rFonts w:eastAsia="Times New Roman"/>
        </w:rPr>
        <w:t xml:space="preserve">, W. et al. (2006). Genomic and transcriptional aberrations linked to breast cancer </w:t>
      </w:r>
      <w:proofErr w:type="spellStart"/>
      <w:r w:rsidRPr="00B64881">
        <w:rPr>
          <w:rStyle w:val="selectable"/>
          <w:rFonts w:eastAsia="Times New Roman"/>
        </w:rPr>
        <w:t>pathophysiologies</w:t>
      </w:r>
      <w:proofErr w:type="spellEnd"/>
      <w:r w:rsidRPr="00B64881">
        <w:rPr>
          <w:rStyle w:val="selectable"/>
          <w:rFonts w:eastAsia="Times New Roman"/>
        </w:rPr>
        <w:t xml:space="preserve">. </w:t>
      </w:r>
      <w:r w:rsidRPr="00B64881">
        <w:rPr>
          <w:rStyle w:val="selectable"/>
          <w:rFonts w:eastAsia="Times New Roman"/>
          <w:i/>
          <w:iCs/>
        </w:rPr>
        <w:t>Cancer Cell</w:t>
      </w:r>
      <w:r w:rsidRPr="00B64881">
        <w:rPr>
          <w:rStyle w:val="selectable"/>
          <w:rFonts w:eastAsia="Times New Roman"/>
        </w:rPr>
        <w:t xml:space="preserve">, </w:t>
      </w:r>
      <w:r w:rsidRPr="00B64881">
        <w:rPr>
          <w:rStyle w:val="selectable"/>
          <w:rFonts w:eastAsia="Times New Roman"/>
          <w:i/>
          <w:iCs/>
        </w:rPr>
        <w:t>10</w:t>
      </w:r>
      <w:r w:rsidRPr="00B64881">
        <w:rPr>
          <w:rStyle w:val="selectable"/>
          <w:rFonts w:eastAsia="Times New Roman"/>
        </w:rPr>
        <w:t>(6), 529-541. http://dx.doi.org/10.1016/j.ccr.2006.10.009</w:t>
      </w:r>
    </w:p>
    <w:p w14:paraId="3BBE8645" w14:textId="77777777" w:rsidR="000D2EC3" w:rsidRPr="000D2EC3" w:rsidRDefault="000D2EC3" w:rsidP="000D2EC3">
      <w:pPr>
        <w:pStyle w:val="ListParagraph"/>
        <w:numPr>
          <w:ilvl w:val="0"/>
          <w:numId w:val="2"/>
        </w:numPr>
        <w:rPr>
          <w:rFonts w:eastAsia="Times New Roman"/>
        </w:rPr>
      </w:pPr>
      <w:proofErr w:type="spellStart"/>
      <w:r w:rsidRPr="000D2EC3">
        <w:rPr>
          <w:rStyle w:val="selectable"/>
          <w:rFonts w:eastAsia="Times New Roman"/>
        </w:rPr>
        <w:t>Kallioniemi</w:t>
      </w:r>
      <w:proofErr w:type="spellEnd"/>
      <w:r w:rsidRPr="000D2EC3">
        <w:rPr>
          <w:rStyle w:val="selectable"/>
          <w:rFonts w:eastAsia="Times New Roman"/>
        </w:rPr>
        <w:t xml:space="preserve">, A., </w:t>
      </w:r>
      <w:proofErr w:type="spellStart"/>
      <w:r w:rsidRPr="000D2EC3">
        <w:rPr>
          <w:rStyle w:val="selectable"/>
          <w:rFonts w:eastAsia="Times New Roman"/>
        </w:rPr>
        <w:t>Kallioniemi</w:t>
      </w:r>
      <w:proofErr w:type="spellEnd"/>
      <w:r w:rsidRPr="000D2EC3">
        <w:rPr>
          <w:rStyle w:val="selectable"/>
          <w:rFonts w:eastAsia="Times New Roman"/>
        </w:rPr>
        <w:t xml:space="preserve">, O., Piper, J., Tanner, M., </w:t>
      </w:r>
      <w:proofErr w:type="spellStart"/>
      <w:r w:rsidRPr="000D2EC3">
        <w:rPr>
          <w:rStyle w:val="selectable"/>
          <w:rFonts w:eastAsia="Times New Roman"/>
        </w:rPr>
        <w:t>Stokke</w:t>
      </w:r>
      <w:proofErr w:type="spellEnd"/>
      <w:r w:rsidRPr="000D2EC3">
        <w:rPr>
          <w:rStyle w:val="selectable"/>
          <w:rFonts w:eastAsia="Times New Roman"/>
        </w:rPr>
        <w:t xml:space="preserve">, T., &amp; Chen, L. et al. (1994). Detection and mapping of amplified DNA sequences in breast cancer by comparative genomic hybridization. </w:t>
      </w:r>
      <w:r w:rsidRPr="000D2EC3">
        <w:rPr>
          <w:rStyle w:val="selectable"/>
          <w:rFonts w:eastAsia="Times New Roman"/>
          <w:i/>
          <w:iCs/>
        </w:rPr>
        <w:t xml:space="preserve">Proceedings </w:t>
      </w:r>
      <w:proofErr w:type="gramStart"/>
      <w:r w:rsidRPr="000D2EC3">
        <w:rPr>
          <w:rStyle w:val="selectable"/>
          <w:rFonts w:eastAsia="Times New Roman"/>
          <w:i/>
          <w:iCs/>
        </w:rPr>
        <w:t>Of</w:t>
      </w:r>
      <w:proofErr w:type="gramEnd"/>
      <w:r w:rsidRPr="000D2EC3">
        <w:rPr>
          <w:rStyle w:val="selectable"/>
          <w:rFonts w:eastAsia="Times New Roman"/>
          <w:i/>
          <w:iCs/>
        </w:rPr>
        <w:t xml:space="preserve"> The National Academy Of Sciences</w:t>
      </w:r>
      <w:r w:rsidRPr="000D2EC3">
        <w:rPr>
          <w:rStyle w:val="selectable"/>
          <w:rFonts w:eastAsia="Times New Roman"/>
        </w:rPr>
        <w:t xml:space="preserve">, </w:t>
      </w:r>
      <w:r w:rsidRPr="000D2EC3">
        <w:rPr>
          <w:rStyle w:val="selectable"/>
          <w:rFonts w:eastAsia="Times New Roman"/>
          <w:i/>
          <w:iCs/>
        </w:rPr>
        <w:t>91</w:t>
      </w:r>
      <w:r w:rsidRPr="000D2EC3">
        <w:rPr>
          <w:rStyle w:val="selectable"/>
          <w:rFonts w:eastAsia="Times New Roman"/>
        </w:rPr>
        <w:t>(6), 2156-2160. http://dx.doi.org/10.1073/pnas.91.6.2156</w:t>
      </w:r>
    </w:p>
    <w:p w14:paraId="4C1CBDD7" w14:textId="77777777" w:rsidR="0013452F" w:rsidRPr="0013452F" w:rsidRDefault="0013452F" w:rsidP="0013452F">
      <w:pPr>
        <w:pStyle w:val="ListParagraph"/>
        <w:numPr>
          <w:ilvl w:val="0"/>
          <w:numId w:val="2"/>
        </w:numPr>
        <w:rPr>
          <w:rFonts w:eastAsia="Times New Roman"/>
        </w:rPr>
      </w:pPr>
      <w:r w:rsidRPr="0013452F">
        <w:rPr>
          <w:rStyle w:val="selectable"/>
          <w:rFonts w:eastAsia="Times New Roman"/>
        </w:rPr>
        <w:t xml:space="preserve">Wood, L., Parsons, D., Jones, S., Lin, J., </w:t>
      </w:r>
      <w:proofErr w:type="spellStart"/>
      <w:r w:rsidRPr="0013452F">
        <w:rPr>
          <w:rStyle w:val="selectable"/>
          <w:rFonts w:eastAsia="Times New Roman"/>
        </w:rPr>
        <w:t>Sjoblom</w:t>
      </w:r>
      <w:proofErr w:type="spellEnd"/>
      <w:r w:rsidRPr="0013452F">
        <w:rPr>
          <w:rStyle w:val="selectable"/>
          <w:rFonts w:eastAsia="Times New Roman"/>
        </w:rPr>
        <w:t xml:space="preserve">, T., &amp; Leary, R. et al. (2007). The Genomic Landscapes of Human Breast and Colorectal Cancers. </w:t>
      </w:r>
      <w:r w:rsidRPr="0013452F">
        <w:rPr>
          <w:rStyle w:val="selectable"/>
          <w:rFonts w:eastAsia="Times New Roman"/>
          <w:i/>
          <w:iCs/>
        </w:rPr>
        <w:t>Science</w:t>
      </w:r>
      <w:r w:rsidRPr="0013452F">
        <w:rPr>
          <w:rStyle w:val="selectable"/>
          <w:rFonts w:eastAsia="Times New Roman"/>
        </w:rPr>
        <w:t xml:space="preserve">, </w:t>
      </w:r>
      <w:r w:rsidRPr="0013452F">
        <w:rPr>
          <w:rStyle w:val="selectable"/>
          <w:rFonts w:eastAsia="Times New Roman"/>
          <w:i/>
          <w:iCs/>
        </w:rPr>
        <w:t>318</w:t>
      </w:r>
      <w:r w:rsidRPr="0013452F">
        <w:rPr>
          <w:rStyle w:val="selectable"/>
          <w:rFonts w:eastAsia="Times New Roman"/>
        </w:rPr>
        <w:t>(5853), 1108-1113. http://dx.doi.org/10.1126/science.1145720</w:t>
      </w:r>
    </w:p>
    <w:p w14:paraId="3C48152D" w14:textId="77777777" w:rsidR="00090CF7" w:rsidRPr="00090CF7" w:rsidRDefault="00090CF7" w:rsidP="00090CF7">
      <w:pPr>
        <w:pStyle w:val="ListParagraph"/>
        <w:numPr>
          <w:ilvl w:val="0"/>
          <w:numId w:val="2"/>
        </w:numPr>
        <w:rPr>
          <w:rFonts w:eastAsia="Times New Roman"/>
        </w:rPr>
      </w:pPr>
      <w:proofErr w:type="spellStart"/>
      <w:r w:rsidRPr="00090CF7">
        <w:rPr>
          <w:rStyle w:val="selectable"/>
          <w:rFonts w:eastAsia="Times New Roman"/>
        </w:rPr>
        <w:t>Koboldt</w:t>
      </w:r>
      <w:proofErr w:type="spellEnd"/>
      <w:r w:rsidRPr="00090CF7">
        <w:rPr>
          <w:rStyle w:val="selectable"/>
          <w:rFonts w:eastAsia="Times New Roman"/>
        </w:rPr>
        <w:t xml:space="preserve">, D., Fulton, R., McLellan, M., Schmidt, H., </w:t>
      </w:r>
      <w:proofErr w:type="spellStart"/>
      <w:r w:rsidRPr="00090CF7">
        <w:rPr>
          <w:rStyle w:val="selectable"/>
          <w:rFonts w:eastAsia="Times New Roman"/>
        </w:rPr>
        <w:t>Kalicki-Veizer</w:t>
      </w:r>
      <w:proofErr w:type="spellEnd"/>
      <w:r w:rsidRPr="00090CF7">
        <w:rPr>
          <w:rStyle w:val="selectable"/>
          <w:rFonts w:eastAsia="Times New Roman"/>
        </w:rPr>
        <w:t xml:space="preserve">, J., &amp; McMichael, J. et al. (2012). Comprehensive molecular portraits of human breast </w:t>
      </w:r>
      <w:proofErr w:type="spellStart"/>
      <w:r w:rsidRPr="00090CF7">
        <w:rPr>
          <w:rStyle w:val="selectable"/>
          <w:rFonts w:eastAsia="Times New Roman"/>
        </w:rPr>
        <w:t>tumours</w:t>
      </w:r>
      <w:proofErr w:type="spellEnd"/>
      <w:r w:rsidRPr="00090CF7">
        <w:rPr>
          <w:rStyle w:val="selectable"/>
          <w:rFonts w:eastAsia="Times New Roman"/>
        </w:rPr>
        <w:t xml:space="preserve">. </w:t>
      </w:r>
      <w:r w:rsidRPr="00090CF7">
        <w:rPr>
          <w:rStyle w:val="selectable"/>
          <w:rFonts w:eastAsia="Times New Roman"/>
          <w:i/>
          <w:iCs/>
        </w:rPr>
        <w:t>Nature</w:t>
      </w:r>
      <w:r w:rsidRPr="00090CF7">
        <w:rPr>
          <w:rStyle w:val="selectable"/>
          <w:rFonts w:eastAsia="Times New Roman"/>
        </w:rPr>
        <w:t xml:space="preserve">, </w:t>
      </w:r>
      <w:r w:rsidRPr="00090CF7">
        <w:rPr>
          <w:rStyle w:val="selectable"/>
          <w:rFonts w:eastAsia="Times New Roman"/>
          <w:i/>
          <w:iCs/>
        </w:rPr>
        <w:t>490</w:t>
      </w:r>
      <w:r w:rsidRPr="00090CF7">
        <w:rPr>
          <w:rStyle w:val="selectable"/>
          <w:rFonts w:eastAsia="Times New Roman"/>
        </w:rPr>
        <w:t>(7418), 61-70. http://dx.doi.org/10.1038/nature11412</w:t>
      </w:r>
    </w:p>
    <w:p w14:paraId="084EEEF0" w14:textId="77777777" w:rsidR="00C76686" w:rsidRPr="00C76686" w:rsidRDefault="00C76686" w:rsidP="00C76686">
      <w:pPr>
        <w:pStyle w:val="ListParagraph"/>
        <w:numPr>
          <w:ilvl w:val="0"/>
          <w:numId w:val="2"/>
        </w:numPr>
        <w:rPr>
          <w:rFonts w:eastAsia="Times New Roman"/>
        </w:rPr>
      </w:pPr>
      <w:proofErr w:type="spellStart"/>
      <w:r w:rsidRPr="00C76686">
        <w:rPr>
          <w:rStyle w:val="selectable"/>
          <w:rFonts w:eastAsia="Times New Roman"/>
        </w:rPr>
        <w:t>Gorringe</w:t>
      </w:r>
      <w:proofErr w:type="spellEnd"/>
      <w:r w:rsidRPr="00C76686">
        <w:rPr>
          <w:rStyle w:val="selectable"/>
          <w:rFonts w:eastAsia="Times New Roman"/>
        </w:rPr>
        <w:t xml:space="preserve">, K., Hunter, S., Pang, J., </w:t>
      </w:r>
      <w:proofErr w:type="spellStart"/>
      <w:r w:rsidRPr="00C76686">
        <w:rPr>
          <w:rStyle w:val="selectable"/>
          <w:rFonts w:eastAsia="Times New Roman"/>
        </w:rPr>
        <w:t>Opeskin</w:t>
      </w:r>
      <w:proofErr w:type="spellEnd"/>
      <w:r w:rsidRPr="00C76686">
        <w:rPr>
          <w:rStyle w:val="selectable"/>
          <w:rFonts w:eastAsia="Times New Roman"/>
        </w:rPr>
        <w:t xml:space="preserve">, K., Hill, P., &amp; Rowley, S. et al. (2015). Copy number analysis of ductal carcinoma in situ with and without recurrence. </w:t>
      </w:r>
      <w:r w:rsidRPr="00C76686">
        <w:rPr>
          <w:rStyle w:val="selectable"/>
          <w:rFonts w:eastAsia="Times New Roman"/>
          <w:i/>
          <w:iCs/>
        </w:rPr>
        <w:t xml:space="preserve">Mod </w:t>
      </w:r>
      <w:proofErr w:type="spellStart"/>
      <w:r w:rsidRPr="00C76686">
        <w:rPr>
          <w:rStyle w:val="selectable"/>
          <w:rFonts w:eastAsia="Times New Roman"/>
          <w:i/>
          <w:iCs/>
        </w:rPr>
        <w:t>Pathol</w:t>
      </w:r>
      <w:proofErr w:type="spellEnd"/>
      <w:r w:rsidRPr="00C76686">
        <w:rPr>
          <w:rStyle w:val="selectable"/>
          <w:rFonts w:eastAsia="Times New Roman"/>
        </w:rPr>
        <w:t xml:space="preserve">, </w:t>
      </w:r>
      <w:r w:rsidRPr="00C76686">
        <w:rPr>
          <w:rStyle w:val="selectable"/>
          <w:rFonts w:eastAsia="Times New Roman"/>
          <w:i/>
          <w:iCs/>
        </w:rPr>
        <w:t>28</w:t>
      </w:r>
      <w:r w:rsidRPr="00C76686">
        <w:rPr>
          <w:rStyle w:val="selectable"/>
          <w:rFonts w:eastAsia="Times New Roman"/>
        </w:rPr>
        <w:t>(9), 1174-1184. http://dx.doi.org/10.1038/modpathol.2015.75</w:t>
      </w:r>
    </w:p>
    <w:p w14:paraId="13E29715" w14:textId="77777777" w:rsidR="00C76686" w:rsidRPr="00C76686" w:rsidRDefault="00C76686" w:rsidP="00C76686">
      <w:pPr>
        <w:pStyle w:val="ListParagraph"/>
        <w:numPr>
          <w:ilvl w:val="0"/>
          <w:numId w:val="2"/>
        </w:numPr>
        <w:rPr>
          <w:rFonts w:eastAsia="Times New Roman"/>
        </w:rPr>
      </w:pPr>
      <w:r w:rsidRPr="00C76686">
        <w:rPr>
          <w:rStyle w:val="selectable"/>
          <w:rFonts w:eastAsia="Times New Roman"/>
        </w:rPr>
        <w:t xml:space="preserve">Johnson, C., </w:t>
      </w:r>
      <w:proofErr w:type="spellStart"/>
      <w:r w:rsidRPr="00C76686">
        <w:rPr>
          <w:rStyle w:val="selectable"/>
          <w:rFonts w:eastAsia="Times New Roman"/>
        </w:rPr>
        <w:t>Gorringe</w:t>
      </w:r>
      <w:proofErr w:type="spellEnd"/>
      <w:r w:rsidRPr="00C76686">
        <w:rPr>
          <w:rStyle w:val="selectable"/>
          <w:rFonts w:eastAsia="Times New Roman"/>
        </w:rPr>
        <w:t xml:space="preserve">, K., Thompson, E., </w:t>
      </w:r>
      <w:proofErr w:type="spellStart"/>
      <w:r w:rsidRPr="00C76686">
        <w:rPr>
          <w:rStyle w:val="selectable"/>
          <w:rFonts w:eastAsia="Times New Roman"/>
        </w:rPr>
        <w:t>Opeskin</w:t>
      </w:r>
      <w:proofErr w:type="spellEnd"/>
      <w:r w:rsidRPr="00C76686">
        <w:rPr>
          <w:rStyle w:val="selectable"/>
          <w:rFonts w:eastAsia="Times New Roman"/>
        </w:rPr>
        <w:t xml:space="preserve">, K., Boyle, S., &amp; Wang, Y. et al. (2012). Identification of copy number alterations associated with the progression of DCIS to invasive ductal carcinoma. </w:t>
      </w:r>
      <w:proofErr w:type="spellStart"/>
      <w:r w:rsidRPr="00C76686">
        <w:rPr>
          <w:rStyle w:val="selectable"/>
          <w:rFonts w:eastAsia="Times New Roman"/>
          <w:i/>
          <w:iCs/>
        </w:rPr>
        <w:t>Hered</w:t>
      </w:r>
      <w:proofErr w:type="spellEnd"/>
      <w:r w:rsidRPr="00C76686">
        <w:rPr>
          <w:rStyle w:val="selectable"/>
          <w:rFonts w:eastAsia="Times New Roman"/>
          <w:i/>
          <w:iCs/>
        </w:rPr>
        <w:t xml:space="preserve"> Cancer </w:t>
      </w:r>
      <w:proofErr w:type="spellStart"/>
      <w:r w:rsidRPr="00C76686">
        <w:rPr>
          <w:rStyle w:val="selectable"/>
          <w:rFonts w:eastAsia="Times New Roman"/>
          <w:i/>
          <w:iCs/>
        </w:rPr>
        <w:t>Clin</w:t>
      </w:r>
      <w:proofErr w:type="spellEnd"/>
      <w:r w:rsidRPr="00C76686">
        <w:rPr>
          <w:rStyle w:val="selectable"/>
          <w:rFonts w:eastAsia="Times New Roman"/>
          <w:i/>
          <w:iCs/>
        </w:rPr>
        <w:t xml:space="preserve"> </w:t>
      </w:r>
      <w:proofErr w:type="spellStart"/>
      <w:r w:rsidRPr="00C76686">
        <w:rPr>
          <w:rStyle w:val="selectable"/>
          <w:rFonts w:eastAsia="Times New Roman"/>
          <w:i/>
          <w:iCs/>
        </w:rPr>
        <w:t>Pract</w:t>
      </w:r>
      <w:proofErr w:type="spellEnd"/>
      <w:r w:rsidRPr="00C76686">
        <w:rPr>
          <w:rStyle w:val="selectable"/>
          <w:rFonts w:eastAsia="Times New Roman"/>
        </w:rPr>
        <w:t xml:space="preserve">, </w:t>
      </w:r>
      <w:r w:rsidRPr="00C76686">
        <w:rPr>
          <w:rStyle w:val="selectable"/>
          <w:rFonts w:eastAsia="Times New Roman"/>
          <w:i/>
          <w:iCs/>
        </w:rPr>
        <w:t>10</w:t>
      </w:r>
      <w:r w:rsidRPr="00C76686">
        <w:rPr>
          <w:rStyle w:val="selectable"/>
          <w:rFonts w:eastAsia="Times New Roman"/>
        </w:rPr>
        <w:t>(</w:t>
      </w:r>
      <w:proofErr w:type="spellStart"/>
      <w:r w:rsidRPr="00C76686">
        <w:rPr>
          <w:rStyle w:val="selectable"/>
          <w:rFonts w:eastAsia="Times New Roman"/>
        </w:rPr>
        <w:t>Suppl</w:t>
      </w:r>
      <w:proofErr w:type="spellEnd"/>
      <w:r w:rsidRPr="00C76686">
        <w:rPr>
          <w:rStyle w:val="selectable"/>
          <w:rFonts w:eastAsia="Times New Roman"/>
        </w:rPr>
        <w:t xml:space="preserve"> 2), A93. http://dx.doi.org/10.1186/1897-4287-10-s2-a93</w:t>
      </w:r>
    </w:p>
    <w:p w14:paraId="270CACEE" w14:textId="77777777" w:rsidR="00C76686" w:rsidRPr="00C76686" w:rsidRDefault="00C76686" w:rsidP="00C76686">
      <w:pPr>
        <w:pStyle w:val="ListParagraph"/>
        <w:numPr>
          <w:ilvl w:val="0"/>
          <w:numId w:val="2"/>
        </w:numPr>
        <w:rPr>
          <w:rFonts w:eastAsia="Times New Roman"/>
        </w:rPr>
      </w:pPr>
      <w:r w:rsidRPr="00C76686">
        <w:rPr>
          <w:rStyle w:val="selectable"/>
          <w:rFonts w:eastAsia="Times New Roman"/>
        </w:rPr>
        <w:t xml:space="preserve">Hernandez, L., Wilkerson, P., </w:t>
      </w:r>
      <w:proofErr w:type="spellStart"/>
      <w:r w:rsidRPr="00C76686">
        <w:rPr>
          <w:rStyle w:val="selectable"/>
          <w:rFonts w:eastAsia="Times New Roman"/>
        </w:rPr>
        <w:t>Lambros</w:t>
      </w:r>
      <w:proofErr w:type="spellEnd"/>
      <w:r w:rsidRPr="00C76686">
        <w:rPr>
          <w:rStyle w:val="selectable"/>
          <w:rFonts w:eastAsia="Times New Roman"/>
        </w:rPr>
        <w:t>, M., Campion-Flora, A., Rodrigues, D., &amp; Gauthier, A. et al. (2012). Genomic and mutational profiling of ductal carcinomas in situ and matched adjacent invasive breast cancers reveals intra-</w:t>
      </w:r>
      <w:proofErr w:type="spellStart"/>
      <w:r w:rsidRPr="00C76686">
        <w:rPr>
          <w:rStyle w:val="selectable"/>
          <w:rFonts w:eastAsia="Times New Roman"/>
        </w:rPr>
        <w:t>tumour</w:t>
      </w:r>
      <w:proofErr w:type="spellEnd"/>
      <w:r w:rsidRPr="00C76686">
        <w:rPr>
          <w:rStyle w:val="selectable"/>
          <w:rFonts w:eastAsia="Times New Roman"/>
        </w:rPr>
        <w:t xml:space="preserve"> genetic heterogeneity and clonal selection. </w:t>
      </w:r>
      <w:r w:rsidRPr="00C76686">
        <w:rPr>
          <w:rStyle w:val="selectable"/>
          <w:rFonts w:eastAsia="Times New Roman"/>
          <w:i/>
          <w:iCs/>
        </w:rPr>
        <w:t xml:space="preserve">J. </w:t>
      </w:r>
      <w:proofErr w:type="spellStart"/>
      <w:r w:rsidRPr="00C76686">
        <w:rPr>
          <w:rStyle w:val="selectable"/>
          <w:rFonts w:eastAsia="Times New Roman"/>
          <w:i/>
          <w:iCs/>
        </w:rPr>
        <w:t>Pathol</w:t>
      </w:r>
      <w:proofErr w:type="spellEnd"/>
      <w:r w:rsidRPr="00C76686">
        <w:rPr>
          <w:rStyle w:val="selectable"/>
          <w:rFonts w:eastAsia="Times New Roman"/>
          <w:i/>
          <w:iCs/>
        </w:rPr>
        <w:t>.</w:t>
      </w:r>
      <w:r w:rsidRPr="00C76686">
        <w:rPr>
          <w:rStyle w:val="selectable"/>
          <w:rFonts w:eastAsia="Times New Roman"/>
        </w:rPr>
        <w:t xml:space="preserve">, </w:t>
      </w:r>
      <w:r w:rsidRPr="00C76686">
        <w:rPr>
          <w:rStyle w:val="selectable"/>
          <w:rFonts w:eastAsia="Times New Roman"/>
          <w:i/>
          <w:iCs/>
        </w:rPr>
        <w:t>227</w:t>
      </w:r>
      <w:r w:rsidRPr="00C76686">
        <w:rPr>
          <w:rStyle w:val="selectable"/>
          <w:rFonts w:eastAsia="Times New Roman"/>
        </w:rPr>
        <w:t>(1), 42-52. http://dx.doi.org/10.1002/path.3990</w:t>
      </w:r>
    </w:p>
    <w:p w14:paraId="3E4F488B" w14:textId="77777777" w:rsidR="00985451" w:rsidRPr="00B57F26" w:rsidRDefault="00985451" w:rsidP="00F468B8">
      <w:pPr>
        <w:pStyle w:val="ListParagraph"/>
        <w:numPr>
          <w:ilvl w:val="0"/>
          <w:numId w:val="2"/>
        </w:numPr>
        <w:rPr>
          <w:rFonts w:ascii="Calibri" w:eastAsia="Times New Roman" w:hAnsi="Calibri"/>
          <w:color w:val="FF0000"/>
        </w:rPr>
      </w:pPr>
    </w:p>
    <w:p w14:paraId="3BDEEF74" w14:textId="77777777" w:rsidR="00085F44" w:rsidRPr="00077017" w:rsidRDefault="00085F44" w:rsidP="007C3EE7">
      <w:pPr>
        <w:pStyle w:val="ListParagraph"/>
        <w:rPr>
          <w:rFonts w:ascii="Calibri" w:eastAsia="Times New Roman" w:hAnsi="Calibri"/>
        </w:rPr>
      </w:pPr>
    </w:p>
    <w:p w14:paraId="7900E0EA" w14:textId="77777777" w:rsidR="00C93236" w:rsidRPr="00077017" w:rsidRDefault="00C93236" w:rsidP="00F93FA5">
      <w:pPr>
        <w:ind w:left="360"/>
        <w:rPr>
          <w:rStyle w:val="selectable"/>
          <w:rFonts w:ascii="Calibri" w:hAnsi="Calibri"/>
          <w:lang w:val="en-CA"/>
        </w:rPr>
      </w:pPr>
    </w:p>
    <w:p w14:paraId="29FF3A23" w14:textId="77777777" w:rsidR="00BA1361" w:rsidRPr="00077017" w:rsidRDefault="00BA1361" w:rsidP="00BA1361">
      <w:pPr>
        <w:pStyle w:val="ListParagraph"/>
        <w:rPr>
          <w:rStyle w:val="selectable"/>
          <w:rFonts w:ascii="Calibri" w:hAnsi="Calibri"/>
        </w:rPr>
      </w:pPr>
    </w:p>
    <w:p w14:paraId="3F662130" w14:textId="77777777" w:rsidR="00BA1361" w:rsidRPr="00077017" w:rsidRDefault="00BA1361" w:rsidP="00BA1361">
      <w:pPr>
        <w:rPr>
          <w:rFonts w:ascii="Calibri" w:hAnsi="Calibri"/>
        </w:rPr>
      </w:pPr>
    </w:p>
    <w:p w14:paraId="7194F659" w14:textId="77777777" w:rsidR="00AE3079" w:rsidRPr="00077017" w:rsidRDefault="00AE3079">
      <w:pPr>
        <w:rPr>
          <w:rFonts w:ascii="Calibri" w:hAnsi="Calibri"/>
        </w:rPr>
      </w:pPr>
    </w:p>
    <w:sectPr w:rsidR="00AE3079" w:rsidRPr="00077017" w:rsidSect="006926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F0076" w14:textId="77777777" w:rsidR="00C32D03" w:rsidRDefault="00C32D03" w:rsidP="00686C76">
      <w:r>
        <w:separator/>
      </w:r>
    </w:p>
  </w:endnote>
  <w:endnote w:type="continuationSeparator" w:id="0">
    <w:p w14:paraId="5377A934" w14:textId="77777777" w:rsidR="00C32D03" w:rsidRDefault="00C32D03" w:rsidP="00686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32028" w14:textId="77777777" w:rsidR="00C32D03" w:rsidRDefault="00C32D03" w:rsidP="00686C76">
      <w:r>
        <w:separator/>
      </w:r>
    </w:p>
  </w:footnote>
  <w:footnote w:type="continuationSeparator" w:id="0">
    <w:p w14:paraId="327C98AE" w14:textId="77777777" w:rsidR="00C32D03" w:rsidRDefault="00C32D03" w:rsidP="00686C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62422"/>
    <w:multiLevelType w:val="multilevel"/>
    <w:tmpl w:val="B20A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C7AC8"/>
    <w:multiLevelType w:val="hybridMultilevel"/>
    <w:tmpl w:val="EB00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3368F"/>
    <w:multiLevelType w:val="hybridMultilevel"/>
    <w:tmpl w:val="AFEEAC0A"/>
    <w:lvl w:ilvl="0" w:tplc="90F0D3AA">
      <w:start w:val="1"/>
      <w:numFmt w:val="decimal"/>
      <w:lvlText w:val="%1."/>
      <w:lvlJc w:val="left"/>
      <w:pPr>
        <w:tabs>
          <w:tab w:val="num" w:pos="720"/>
        </w:tabs>
        <w:ind w:left="720" w:hanging="360"/>
      </w:pPr>
    </w:lvl>
    <w:lvl w:ilvl="1" w:tplc="D890C60A" w:tentative="1">
      <w:start w:val="1"/>
      <w:numFmt w:val="decimal"/>
      <w:lvlText w:val="%2."/>
      <w:lvlJc w:val="left"/>
      <w:pPr>
        <w:tabs>
          <w:tab w:val="num" w:pos="1440"/>
        </w:tabs>
        <w:ind w:left="1440" w:hanging="360"/>
      </w:pPr>
    </w:lvl>
    <w:lvl w:ilvl="2" w:tplc="114043A0" w:tentative="1">
      <w:start w:val="1"/>
      <w:numFmt w:val="decimal"/>
      <w:lvlText w:val="%3."/>
      <w:lvlJc w:val="left"/>
      <w:pPr>
        <w:tabs>
          <w:tab w:val="num" w:pos="2160"/>
        </w:tabs>
        <w:ind w:left="2160" w:hanging="360"/>
      </w:pPr>
    </w:lvl>
    <w:lvl w:ilvl="3" w:tplc="AAAE4B00" w:tentative="1">
      <w:start w:val="1"/>
      <w:numFmt w:val="decimal"/>
      <w:lvlText w:val="%4."/>
      <w:lvlJc w:val="left"/>
      <w:pPr>
        <w:tabs>
          <w:tab w:val="num" w:pos="2880"/>
        </w:tabs>
        <w:ind w:left="2880" w:hanging="360"/>
      </w:pPr>
    </w:lvl>
    <w:lvl w:ilvl="4" w:tplc="B754C8D0" w:tentative="1">
      <w:start w:val="1"/>
      <w:numFmt w:val="decimal"/>
      <w:lvlText w:val="%5."/>
      <w:lvlJc w:val="left"/>
      <w:pPr>
        <w:tabs>
          <w:tab w:val="num" w:pos="3600"/>
        </w:tabs>
        <w:ind w:left="3600" w:hanging="360"/>
      </w:pPr>
    </w:lvl>
    <w:lvl w:ilvl="5" w:tplc="787479F6" w:tentative="1">
      <w:start w:val="1"/>
      <w:numFmt w:val="decimal"/>
      <w:lvlText w:val="%6."/>
      <w:lvlJc w:val="left"/>
      <w:pPr>
        <w:tabs>
          <w:tab w:val="num" w:pos="4320"/>
        </w:tabs>
        <w:ind w:left="4320" w:hanging="360"/>
      </w:pPr>
    </w:lvl>
    <w:lvl w:ilvl="6" w:tplc="712C3298" w:tentative="1">
      <w:start w:val="1"/>
      <w:numFmt w:val="decimal"/>
      <w:lvlText w:val="%7."/>
      <w:lvlJc w:val="left"/>
      <w:pPr>
        <w:tabs>
          <w:tab w:val="num" w:pos="5040"/>
        </w:tabs>
        <w:ind w:left="5040" w:hanging="360"/>
      </w:pPr>
    </w:lvl>
    <w:lvl w:ilvl="7" w:tplc="428ED7B4" w:tentative="1">
      <w:start w:val="1"/>
      <w:numFmt w:val="decimal"/>
      <w:lvlText w:val="%8."/>
      <w:lvlJc w:val="left"/>
      <w:pPr>
        <w:tabs>
          <w:tab w:val="num" w:pos="5760"/>
        </w:tabs>
        <w:ind w:left="5760" w:hanging="360"/>
      </w:pPr>
    </w:lvl>
    <w:lvl w:ilvl="8" w:tplc="8E3E8842" w:tentative="1">
      <w:start w:val="1"/>
      <w:numFmt w:val="decimal"/>
      <w:lvlText w:val="%9."/>
      <w:lvlJc w:val="left"/>
      <w:pPr>
        <w:tabs>
          <w:tab w:val="num" w:pos="6480"/>
        </w:tabs>
        <w:ind w:left="6480" w:hanging="360"/>
      </w:pPr>
    </w:lvl>
  </w:abstractNum>
  <w:abstractNum w:abstractNumId="3">
    <w:nsid w:val="20C31255"/>
    <w:multiLevelType w:val="hybridMultilevel"/>
    <w:tmpl w:val="193EADEC"/>
    <w:lvl w:ilvl="0" w:tplc="E2DA50A6">
      <w:start w:val="1"/>
      <w:numFmt w:val="decimal"/>
      <w:lvlText w:val="%1."/>
      <w:lvlJc w:val="left"/>
      <w:pPr>
        <w:tabs>
          <w:tab w:val="num" w:pos="720"/>
        </w:tabs>
        <w:ind w:left="720" w:hanging="360"/>
      </w:pPr>
    </w:lvl>
    <w:lvl w:ilvl="1" w:tplc="4796D158" w:tentative="1">
      <w:start w:val="1"/>
      <w:numFmt w:val="decimal"/>
      <w:lvlText w:val="%2."/>
      <w:lvlJc w:val="left"/>
      <w:pPr>
        <w:tabs>
          <w:tab w:val="num" w:pos="1440"/>
        </w:tabs>
        <w:ind w:left="1440" w:hanging="360"/>
      </w:pPr>
    </w:lvl>
    <w:lvl w:ilvl="2" w:tplc="D03E68A6" w:tentative="1">
      <w:start w:val="1"/>
      <w:numFmt w:val="decimal"/>
      <w:lvlText w:val="%3."/>
      <w:lvlJc w:val="left"/>
      <w:pPr>
        <w:tabs>
          <w:tab w:val="num" w:pos="2160"/>
        </w:tabs>
        <w:ind w:left="2160" w:hanging="360"/>
      </w:pPr>
    </w:lvl>
    <w:lvl w:ilvl="3" w:tplc="16DAED02" w:tentative="1">
      <w:start w:val="1"/>
      <w:numFmt w:val="decimal"/>
      <w:lvlText w:val="%4."/>
      <w:lvlJc w:val="left"/>
      <w:pPr>
        <w:tabs>
          <w:tab w:val="num" w:pos="2880"/>
        </w:tabs>
        <w:ind w:left="2880" w:hanging="360"/>
      </w:pPr>
    </w:lvl>
    <w:lvl w:ilvl="4" w:tplc="212C0D8E" w:tentative="1">
      <w:start w:val="1"/>
      <w:numFmt w:val="decimal"/>
      <w:lvlText w:val="%5."/>
      <w:lvlJc w:val="left"/>
      <w:pPr>
        <w:tabs>
          <w:tab w:val="num" w:pos="3600"/>
        </w:tabs>
        <w:ind w:left="3600" w:hanging="360"/>
      </w:pPr>
    </w:lvl>
    <w:lvl w:ilvl="5" w:tplc="4FFC0E82" w:tentative="1">
      <w:start w:val="1"/>
      <w:numFmt w:val="decimal"/>
      <w:lvlText w:val="%6."/>
      <w:lvlJc w:val="left"/>
      <w:pPr>
        <w:tabs>
          <w:tab w:val="num" w:pos="4320"/>
        </w:tabs>
        <w:ind w:left="4320" w:hanging="360"/>
      </w:pPr>
    </w:lvl>
    <w:lvl w:ilvl="6" w:tplc="DB8C13A2" w:tentative="1">
      <w:start w:val="1"/>
      <w:numFmt w:val="decimal"/>
      <w:lvlText w:val="%7."/>
      <w:lvlJc w:val="left"/>
      <w:pPr>
        <w:tabs>
          <w:tab w:val="num" w:pos="5040"/>
        </w:tabs>
        <w:ind w:left="5040" w:hanging="360"/>
      </w:pPr>
    </w:lvl>
    <w:lvl w:ilvl="7" w:tplc="7592FC66" w:tentative="1">
      <w:start w:val="1"/>
      <w:numFmt w:val="decimal"/>
      <w:lvlText w:val="%8."/>
      <w:lvlJc w:val="left"/>
      <w:pPr>
        <w:tabs>
          <w:tab w:val="num" w:pos="5760"/>
        </w:tabs>
        <w:ind w:left="5760" w:hanging="360"/>
      </w:pPr>
    </w:lvl>
    <w:lvl w:ilvl="8" w:tplc="6A20EF64" w:tentative="1">
      <w:start w:val="1"/>
      <w:numFmt w:val="decimal"/>
      <w:lvlText w:val="%9."/>
      <w:lvlJc w:val="left"/>
      <w:pPr>
        <w:tabs>
          <w:tab w:val="num" w:pos="6480"/>
        </w:tabs>
        <w:ind w:left="6480" w:hanging="360"/>
      </w:pPr>
    </w:lvl>
  </w:abstractNum>
  <w:abstractNum w:abstractNumId="4">
    <w:nsid w:val="497F45AB"/>
    <w:multiLevelType w:val="hybridMultilevel"/>
    <w:tmpl w:val="F8F2EF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23A"/>
    <w:rsid w:val="000330BD"/>
    <w:rsid w:val="00034182"/>
    <w:rsid w:val="00077017"/>
    <w:rsid w:val="0007774D"/>
    <w:rsid w:val="00081787"/>
    <w:rsid w:val="00085F44"/>
    <w:rsid w:val="00090CF7"/>
    <w:rsid w:val="000D2EC3"/>
    <w:rsid w:val="000D41F6"/>
    <w:rsid w:val="0011490A"/>
    <w:rsid w:val="0013452F"/>
    <w:rsid w:val="00162D99"/>
    <w:rsid w:val="00166AD5"/>
    <w:rsid w:val="001816D6"/>
    <w:rsid w:val="001867DC"/>
    <w:rsid w:val="001D303A"/>
    <w:rsid w:val="001F4056"/>
    <w:rsid w:val="001F64A8"/>
    <w:rsid w:val="00226EA2"/>
    <w:rsid w:val="002720DA"/>
    <w:rsid w:val="00286684"/>
    <w:rsid w:val="002C6BE6"/>
    <w:rsid w:val="002E722E"/>
    <w:rsid w:val="002F3782"/>
    <w:rsid w:val="002F5E59"/>
    <w:rsid w:val="00310E59"/>
    <w:rsid w:val="00321F5F"/>
    <w:rsid w:val="00394674"/>
    <w:rsid w:val="003A352D"/>
    <w:rsid w:val="003B5813"/>
    <w:rsid w:val="003D0DF6"/>
    <w:rsid w:val="003F0949"/>
    <w:rsid w:val="003F3371"/>
    <w:rsid w:val="00406C7C"/>
    <w:rsid w:val="0044233B"/>
    <w:rsid w:val="00452B22"/>
    <w:rsid w:val="00473731"/>
    <w:rsid w:val="0049127C"/>
    <w:rsid w:val="004C5400"/>
    <w:rsid w:val="004C6256"/>
    <w:rsid w:val="004D033A"/>
    <w:rsid w:val="004D2F8A"/>
    <w:rsid w:val="004F063A"/>
    <w:rsid w:val="00505ADE"/>
    <w:rsid w:val="0051675E"/>
    <w:rsid w:val="00525B5D"/>
    <w:rsid w:val="0054110A"/>
    <w:rsid w:val="0055546D"/>
    <w:rsid w:val="00560AA6"/>
    <w:rsid w:val="0056336F"/>
    <w:rsid w:val="005716B9"/>
    <w:rsid w:val="0058746D"/>
    <w:rsid w:val="0058788E"/>
    <w:rsid w:val="005904EA"/>
    <w:rsid w:val="005E4036"/>
    <w:rsid w:val="00602043"/>
    <w:rsid w:val="00652B89"/>
    <w:rsid w:val="00672A29"/>
    <w:rsid w:val="00676412"/>
    <w:rsid w:val="00686C76"/>
    <w:rsid w:val="00692696"/>
    <w:rsid w:val="006A46B6"/>
    <w:rsid w:val="006B4252"/>
    <w:rsid w:val="006E617D"/>
    <w:rsid w:val="00721BE3"/>
    <w:rsid w:val="00730F68"/>
    <w:rsid w:val="0079317D"/>
    <w:rsid w:val="007C3EE7"/>
    <w:rsid w:val="007D5853"/>
    <w:rsid w:val="00823C4F"/>
    <w:rsid w:val="00832EDB"/>
    <w:rsid w:val="008602C0"/>
    <w:rsid w:val="008661E8"/>
    <w:rsid w:val="00880CA9"/>
    <w:rsid w:val="00904E47"/>
    <w:rsid w:val="0093719D"/>
    <w:rsid w:val="009517EC"/>
    <w:rsid w:val="00973D99"/>
    <w:rsid w:val="0098019E"/>
    <w:rsid w:val="00985451"/>
    <w:rsid w:val="00987FCE"/>
    <w:rsid w:val="009B4E30"/>
    <w:rsid w:val="009C76C2"/>
    <w:rsid w:val="009E27B7"/>
    <w:rsid w:val="009E7C2F"/>
    <w:rsid w:val="00A338D1"/>
    <w:rsid w:val="00A362B3"/>
    <w:rsid w:val="00A815BC"/>
    <w:rsid w:val="00A97E52"/>
    <w:rsid w:val="00AB3B7B"/>
    <w:rsid w:val="00AB6161"/>
    <w:rsid w:val="00AE29DE"/>
    <w:rsid w:val="00AE3079"/>
    <w:rsid w:val="00AF09E0"/>
    <w:rsid w:val="00B146EA"/>
    <w:rsid w:val="00B4536A"/>
    <w:rsid w:val="00B57F26"/>
    <w:rsid w:val="00B64881"/>
    <w:rsid w:val="00B73780"/>
    <w:rsid w:val="00BA1361"/>
    <w:rsid w:val="00BE3E57"/>
    <w:rsid w:val="00C32D03"/>
    <w:rsid w:val="00C420D3"/>
    <w:rsid w:val="00C73ECE"/>
    <w:rsid w:val="00C76686"/>
    <w:rsid w:val="00C93236"/>
    <w:rsid w:val="00C9364E"/>
    <w:rsid w:val="00CD55F5"/>
    <w:rsid w:val="00CE370D"/>
    <w:rsid w:val="00D07FC9"/>
    <w:rsid w:val="00D148B9"/>
    <w:rsid w:val="00D223C2"/>
    <w:rsid w:val="00DA2418"/>
    <w:rsid w:val="00DA3C4C"/>
    <w:rsid w:val="00DB6AE0"/>
    <w:rsid w:val="00DB6CCD"/>
    <w:rsid w:val="00DC3C7A"/>
    <w:rsid w:val="00DD6FC4"/>
    <w:rsid w:val="00DE0412"/>
    <w:rsid w:val="00E13BAA"/>
    <w:rsid w:val="00E41C4E"/>
    <w:rsid w:val="00E43E54"/>
    <w:rsid w:val="00E5143C"/>
    <w:rsid w:val="00E5530D"/>
    <w:rsid w:val="00E56796"/>
    <w:rsid w:val="00E85DDF"/>
    <w:rsid w:val="00EB39DF"/>
    <w:rsid w:val="00EB4194"/>
    <w:rsid w:val="00EC1C45"/>
    <w:rsid w:val="00ED36F3"/>
    <w:rsid w:val="00ED5EA7"/>
    <w:rsid w:val="00F25A05"/>
    <w:rsid w:val="00F265B5"/>
    <w:rsid w:val="00F468B8"/>
    <w:rsid w:val="00F4723A"/>
    <w:rsid w:val="00F84488"/>
    <w:rsid w:val="00F905A1"/>
    <w:rsid w:val="00F93FA5"/>
    <w:rsid w:val="00FA05F5"/>
    <w:rsid w:val="00FB2B3E"/>
    <w:rsid w:val="00FC1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BE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0BD"/>
    <w:rPr>
      <w:rFonts w:ascii="Times New Roman" w:hAnsi="Times New Roman" w:cs="Times New Roman"/>
    </w:rPr>
  </w:style>
  <w:style w:type="paragraph" w:styleId="Heading1">
    <w:name w:val="heading 1"/>
    <w:basedOn w:val="Normal"/>
    <w:next w:val="Normal"/>
    <w:link w:val="Heading1Char"/>
    <w:uiPriority w:val="9"/>
    <w:qFormat/>
    <w:rsid w:val="00DB6CC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F378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361"/>
    <w:pPr>
      <w:ind w:left="720"/>
      <w:contextualSpacing/>
    </w:pPr>
  </w:style>
  <w:style w:type="paragraph" w:customStyle="1" w:styleId="Default">
    <w:name w:val="Default"/>
    <w:rsid w:val="00BA1361"/>
    <w:pPr>
      <w:autoSpaceDE w:val="0"/>
      <w:autoSpaceDN w:val="0"/>
      <w:adjustRightInd w:val="0"/>
    </w:pPr>
    <w:rPr>
      <w:rFonts w:ascii="Calibri" w:hAnsi="Calibri" w:cs="Calibri"/>
      <w:color w:val="000000"/>
      <w:lang w:val="en-CA"/>
    </w:rPr>
  </w:style>
  <w:style w:type="character" w:customStyle="1" w:styleId="selectable">
    <w:name w:val="selectable"/>
    <w:basedOn w:val="DefaultParagraphFont"/>
    <w:rsid w:val="00BA1361"/>
  </w:style>
  <w:style w:type="character" w:customStyle="1" w:styleId="apple-converted-space">
    <w:name w:val="apple-converted-space"/>
    <w:basedOn w:val="DefaultParagraphFont"/>
    <w:rsid w:val="00394674"/>
  </w:style>
  <w:style w:type="character" w:customStyle="1" w:styleId="Heading3Char">
    <w:name w:val="Heading 3 Char"/>
    <w:basedOn w:val="DefaultParagraphFont"/>
    <w:link w:val="Heading3"/>
    <w:uiPriority w:val="9"/>
    <w:rsid w:val="002F3782"/>
    <w:rPr>
      <w:rFonts w:ascii="Times New Roman" w:hAnsi="Times New Roman" w:cs="Times New Roman"/>
      <w:b/>
      <w:bCs/>
      <w:sz w:val="27"/>
      <w:szCs w:val="27"/>
    </w:rPr>
  </w:style>
  <w:style w:type="paragraph" w:customStyle="1" w:styleId="p">
    <w:name w:val="p"/>
    <w:basedOn w:val="Normal"/>
    <w:rsid w:val="002F3782"/>
    <w:pPr>
      <w:spacing w:before="100" w:beforeAutospacing="1" w:after="100" w:afterAutospacing="1"/>
    </w:pPr>
  </w:style>
  <w:style w:type="character" w:styleId="Hyperlink">
    <w:name w:val="Hyperlink"/>
    <w:basedOn w:val="DefaultParagraphFont"/>
    <w:uiPriority w:val="99"/>
    <w:unhideWhenUsed/>
    <w:rsid w:val="002F3782"/>
    <w:rPr>
      <w:color w:val="0000FF"/>
      <w:u w:val="single"/>
    </w:rPr>
  </w:style>
  <w:style w:type="paragraph" w:styleId="NormalWeb">
    <w:name w:val="Normal (Web)"/>
    <w:basedOn w:val="Normal"/>
    <w:uiPriority w:val="99"/>
    <w:semiHidden/>
    <w:unhideWhenUsed/>
    <w:rsid w:val="002F3782"/>
    <w:pPr>
      <w:spacing w:before="100" w:beforeAutospacing="1" w:after="100" w:afterAutospacing="1"/>
    </w:pPr>
  </w:style>
  <w:style w:type="character" w:customStyle="1" w:styleId="figpopup-sensitive-area">
    <w:name w:val="figpopup-sensitive-area"/>
    <w:basedOn w:val="DefaultParagraphFont"/>
    <w:rsid w:val="00973D99"/>
  </w:style>
  <w:style w:type="character" w:customStyle="1" w:styleId="Heading1Char">
    <w:name w:val="Heading 1 Char"/>
    <w:basedOn w:val="DefaultParagraphFont"/>
    <w:link w:val="Heading1"/>
    <w:uiPriority w:val="9"/>
    <w:rsid w:val="00DB6CCD"/>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DB6CCD"/>
    <w:rPr>
      <w:i/>
      <w:iCs/>
    </w:rPr>
  </w:style>
  <w:style w:type="character" w:customStyle="1" w:styleId="cit-name-surname">
    <w:name w:val="cit-name-surname"/>
    <w:basedOn w:val="DefaultParagraphFont"/>
    <w:rsid w:val="00676412"/>
  </w:style>
  <w:style w:type="character" w:customStyle="1" w:styleId="cit-name-given-names">
    <w:name w:val="cit-name-given-names"/>
    <w:basedOn w:val="DefaultParagraphFont"/>
    <w:rsid w:val="00676412"/>
  </w:style>
  <w:style w:type="character" w:customStyle="1" w:styleId="cit-etal">
    <w:name w:val="cit-etal"/>
    <w:basedOn w:val="DefaultParagraphFont"/>
    <w:rsid w:val="00676412"/>
  </w:style>
  <w:style w:type="character" w:styleId="HTMLCite">
    <w:name w:val="HTML Cite"/>
    <w:basedOn w:val="DefaultParagraphFont"/>
    <w:uiPriority w:val="99"/>
    <w:semiHidden/>
    <w:unhideWhenUsed/>
    <w:rsid w:val="00676412"/>
    <w:rPr>
      <w:i/>
      <w:iCs/>
    </w:rPr>
  </w:style>
  <w:style w:type="character" w:customStyle="1" w:styleId="cit-article-title">
    <w:name w:val="cit-article-title"/>
    <w:basedOn w:val="DefaultParagraphFont"/>
    <w:rsid w:val="00676412"/>
  </w:style>
  <w:style w:type="character" w:customStyle="1" w:styleId="cit-pub-date">
    <w:name w:val="cit-pub-date"/>
    <w:basedOn w:val="DefaultParagraphFont"/>
    <w:rsid w:val="00676412"/>
  </w:style>
  <w:style w:type="character" w:customStyle="1" w:styleId="cit-vol">
    <w:name w:val="cit-vol"/>
    <w:basedOn w:val="DefaultParagraphFont"/>
    <w:rsid w:val="00676412"/>
  </w:style>
  <w:style w:type="character" w:customStyle="1" w:styleId="cit-issue">
    <w:name w:val="cit-issue"/>
    <w:basedOn w:val="DefaultParagraphFont"/>
    <w:rsid w:val="00676412"/>
  </w:style>
  <w:style w:type="character" w:customStyle="1" w:styleId="cit-fpage">
    <w:name w:val="cit-fpage"/>
    <w:basedOn w:val="DefaultParagraphFont"/>
    <w:rsid w:val="00676412"/>
  </w:style>
  <w:style w:type="character" w:customStyle="1" w:styleId="cit-lpage">
    <w:name w:val="cit-lpage"/>
    <w:basedOn w:val="DefaultParagraphFont"/>
    <w:rsid w:val="00676412"/>
  </w:style>
  <w:style w:type="character" w:customStyle="1" w:styleId="ref-journal">
    <w:name w:val="ref-journal"/>
    <w:basedOn w:val="DefaultParagraphFont"/>
    <w:rsid w:val="0079317D"/>
  </w:style>
  <w:style w:type="character" w:customStyle="1" w:styleId="ref-vol">
    <w:name w:val="ref-vol"/>
    <w:basedOn w:val="DefaultParagraphFont"/>
    <w:rsid w:val="0079317D"/>
  </w:style>
  <w:style w:type="paragraph" w:styleId="Header">
    <w:name w:val="header"/>
    <w:basedOn w:val="Normal"/>
    <w:link w:val="HeaderChar"/>
    <w:uiPriority w:val="99"/>
    <w:unhideWhenUsed/>
    <w:rsid w:val="00686C76"/>
    <w:pPr>
      <w:tabs>
        <w:tab w:val="center" w:pos="4680"/>
        <w:tab w:val="right" w:pos="9360"/>
      </w:tabs>
    </w:pPr>
  </w:style>
  <w:style w:type="character" w:customStyle="1" w:styleId="HeaderChar">
    <w:name w:val="Header Char"/>
    <w:basedOn w:val="DefaultParagraphFont"/>
    <w:link w:val="Header"/>
    <w:uiPriority w:val="99"/>
    <w:rsid w:val="00686C76"/>
    <w:rPr>
      <w:rFonts w:ascii="Times New Roman" w:hAnsi="Times New Roman" w:cs="Times New Roman"/>
    </w:rPr>
  </w:style>
  <w:style w:type="paragraph" w:styleId="Footer">
    <w:name w:val="footer"/>
    <w:basedOn w:val="Normal"/>
    <w:link w:val="FooterChar"/>
    <w:uiPriority w:val="99"/>
    <w:unhideWhenUsed/>
    <w:rsid w:val="00686C76"/>
    <w:pPr>
      <w:tabs>
        <w:tab w:val="center" w:pos="4680"/>
        <w:tab w:val="right" w:pos="9360"/>
      </w:tabs>
    </w:pPr>
  </w:style>
  <w:style w:type="character" w:customStyle="1" w:styleId="FooterChar">
    <w:name w:val="Footer Char"/>
    <w:basedOn w:val="DefaultParagraphFont"/>
    <w:link w:val="Footer"/>
    <w:uiPriority w:val="99"/>
    <w:rsid w:val="00686C7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8955">
      <w:bodyDiv w:val="1"/>
      <w:marLeft w:val="0"/>
      <w:marRight w:val="0"/>
      <w:marTop w:val="0"/>
      <w:marBottom w:val="0"/>
      <w:divBdr>
        <w:top w:val="none" w:sz="0" w:space="0" w:color="auto"/>
        <w:left w:val="none" w:sz="0" w:space="0" w:color="auto"/>
        <w:bottom w:val="none" w:sz="0" w:space="0" w:color="auto"/>
        <w:right w:val="none" w:sz="0" w:space="0" w:color="auto"/>
      </w:divBdr>
    </w:div>
    <w:div w:id="131288433">
      <w:bodyDiv w:val="1"/>
      <w:marLeft w:val="0"/>
      <w:marRight w:val="0"/>
      <w:marTop w:val="0"/>
      <w:marBottom w:val="0"/>
      <w:divBdr>
        <w:top w:val="none" w:sz="0" w:space="0" w:color="auto"/>
        <w:left w:val="none" w:sz="0" w:space="0" w:color="auto"/>
        <w:bottom w:val="none" w:sz="0" w:space="0" w:color="auto"/>
        <w:right w:val="none" w:sz="0" w:space="0" w:color="auto"/>
      </w:divBdr>
    </w:div>
    <w:div w:id="150997084">
      <w:bodyDiv w:val="1"/>
      <w:marLeft w:val="0"/>
      <w:marRight w:val="0"/>
      <w:marTop w:val="0"/>
      <w:marBottom w:val="0"/>
      <w:divBdr>
        <w:top w:val="none" w:sz="0" w:space="0" w:color="auto"/>
        <w:left w:val="none" w:sz="0" w:space="0" w:color="auto"/>
        <w:bottom w:val="none" w:sz="0" w:space="0" w:color="auto"/>
        <w:right w:val="none" w:sz="0" w:space="0" w:color="auto"/>
      </w:divBdr>
    </w:div>
    <w:div w:id="205720508">
      <w:bodyDiv w:val="1"/>
      <w:marLeft w:val="0"/>
      <w:marRight w:val="0"/>
      <w:marTop w:val="0"/>
      <w:marBottom w:val="0"/>
      <w:divBdr>
        <w:top w:val="none" w:sz="0" w:space="0" w:color="auto"/>
        <w:left w:val="none" w:sz="0" w:space="0" w:color="auto"/>
        <w:bottom w:val="none" w:sz="0" w:space="0" w:color="auto"/>
        <w:right w:val="none" w:sz="0" w:space="0" w:color="auto"/>
      </w:divBdr>
    </w:div>
    <w:div w:id="255140847">
      <w:bodyDiv w:val="1"/>
      <w:marLeft w:val="0"/>
      <w:marRight w:val="0"/>
      <w:marTop w:val="0"/>
      <w:marBottom w:val="0"/>
      <w:divBdr>
        <w:top w:val="none" w:sz="0" w:space="0" w:color="auto"/>
        <w:left w:val="none" w:sz="0" w:space="0" w:color="auto"/>
        <w:bottom w:val="none" w:sz="0" w:space="0" w:color="auto"/>
        <w:right w:val="none" w:sz="0" w:space="0" w:color="auto"/>
      </w:divBdr>
    </w:div>
    <w:div w:id="285701709">
      <w:bodyDiv w:val="1"/>
      <w:marLeft w:val="0"/>
      <w:marRight w:val="0"/>
      <w:marTop w:val="0"/>
      <w:marBottom w:val="0"/>
      <w:divBdr>
        <w:top w:val="none" w:sz="0" w:space="0" w:color="auto"/>
        <w:left w:val="none" w:sz="0" w:space="0" w:color="auto"/>
        <w:bottom w:val="none" w:sz="0" w:space="0" w:color="auto"/>
        <w:right w:val="none" w:sz="0" w:space="0" w:color="auto"/>
      </w:divBdr>
    </w:div>
    <w:div w:id="298460012">
      <w:bodyDiv w:val="1"/>
      <w:marLeft w:val="0"/>
      <w:marRight w:val="0"/>
      <w:marTop w:val="0"/>
      <w:marBottom w:val="0"/>
      <w:divBdr>
        <w:top w:val="none" w:sz="0" w:space="0" w:color="auto"/>
        <w:left w:val="none" w:sz="0" w:space="0" w:color="auto"/>
        <w:bottom w:val="none" w:sz="0" w:space="0" w:color="auto"/>
        <w:right w:val="none" w:sz="0" w:space="0" w:color="auto"/>
      </w:divBdr>
    </w:div>
    <w:div w:id="304511612">
      <w:bodyDiv w:val="1"/>
      <w:marLeft w:val="0"/>
      <w:marRight w:val="0"/>
      <w:marTop w:val="0"/>
      <w:marBottom w:val="0"/>
      <w:divBdr>
        <w:top w:val="none" w:sz="0" w:space="0" w:color="auto"/>
        <w:left w:val="none" w:sz="0" w:space="0" w:color="auto"/>
        <w:bottom w:val="none" w:sz="0" w:space="0" w:color="auto"/>
        <w:right w:val="none" w:sz="0" w:space="0" w:color="auto"/>
      </w:divBdr>
    </w:div>
    <w:div w:id="304706597">
      <w:bodyDiv w:val="1"/>
      <w:marLeft w:val="0"/>
      <w:marRight w:val="0"/>
      <w:marTop w:val="0"/>
      <w:marBottom w:val="0"/>
      <w:divBdr>
        <w:top w:val="none" w:sz="0" w:space="0" w:color="auto"/>
        <w:left w:val="none" w:sz="0" w:space="0" w:color="auto"/>
        <w:bottom w:val="none" w:sz="0" w:space="0" w:color="auto"/>
        <w:right w:val="none" w:sz="0" w:space="0" w:color="auto"/>
      </w:divBdr>
    </w:div>
    <w:div w:id="375350897">
      <w:bodyDiv w:val="1"/>
      <w:marLeft w:val="0"/>
      <w:marRight w:val="0"/>
      <w:marTop w:val="0"/>
      <w:marBottom w:val="0"/>
      <w:divBdr>
        <w:top w:val="none" w:sz="0" w:space="0" w:color="auto"/>
        <w:left w:val="none" w:sz="0" w:space="0" w:color="auto"/>
        <w:bottom w:val="none" w:sz="0" w:space="0" w:color="auto"/>
        <w:right w:val="none" w:sz="0" w:space="0" w:color="auto"/>
      </w:divBdr>
    </w:div>
    <w:div w:id="376200700">
      <w:bodyDiv w:val="1"/>
      <w:marLeft w:val="0"/>
      <w:marRight w:val="0"/>
      <w:marTop w:val="0"/>
      <w:marBottom w:val="0"/>
      <w:divBdr>
        <w:top w:val="none" w:sz="0" w:space="0" w:color="auto"/>
        <w:left w:val="none" w:sz="0" w:space="0" w:color="auto"/>
        <w:bottom w:val="none" w:sz="0" w:space="0" w:color="auto"/>
        <w:right w:val="none" w:sz="0" w:space="0" w:color="auto"/>
      </w:divBdr>
    </w:div>
    <w:div w:id="411007092">
      <w:bodyDiv w:val="1"/>
      <w:marLeft w:val="0"/>
      <w:marRight w:val="0"/>
      <w:marTop w:val="0"/>
      <w:marBottom w:val="0"/>
      <w:divBdr>
        <w:top w:val="none" w:sz="0" w:space="0" w:color="auto"/>
        <w:left w:val="none" w:sz="0" w:space="0" w:color="auto"/>
        <w:bottom w:val="none" w:sz="0" w:space="0" w:color="auto"/>
        <w:right w:val="none" w:sz="0" w:space="0" w:color="auto"/>
      </w:divBdr>
    </w:div>
    <w:div w:id="501315953">
      <w:bodyDiv w:val="1"/>
      <w:marLeft w:val="0"/>
      <w:marRight w:val="0"/>
      <w:marTop w:val="0"/>
      <w:marBottom w:val="0"/>
      <w:divBdr>
        <w:top w:val="none" w:sz="0" w:space="0" w:color="auto"/>
        <w:left w:val="none" w:sz="0" w:space="0" w:color="auto"/>
        <w:bottom w:val="none" w:sz="0" w:space="0" w:color="auto"/>
        <w:right w:val="none" w:sz="0" w:space="0" w:color="auto"/>
      </w:divBdr>
    </w:div>
    <w:div w:id="531919973">
      <w:bodyDiv w:val="1"/>
      <w:marLeft w:val="0"/>
      <w:marRight w:val="0"/>
      <w:marTop w:val="0"/>
      <w:marBottom w:val="0"/>
      <w:divBdr>
        <w:top w:val="none" w:sz="0" w:space="0" w:color="auto"/>
        <w:left w:val="none" w:sz="0" w:space="0" w:color="auto"/>
        <w:bottom w:val="none" w:sz="0" w:space="0" w:color="auto"/>
        <w:right w:val="none" w:sz="0" w:space="0" w:color="auto"/>
      </w:divBdr>
    </w:div>
    <w:div w:id="570039038">
      <w:bodyDiv w:val="1"/>
      <w:marLeft w:val="0"/>
      <w:marRight w:val="0"/>
      <w:marTop w:val="0"/>
      <w:marBottom w:val="0"/>
      <w:divBdr>
        <w:top w:val="none" w:sz="0" w:space="0" w:color="auto"/>
        <w:left w:val="none" w:sz="0" w:space="0" w:color="auto"/>
        <w:bottom w:val="none" w:sz="0" w:space="0" w:color="auto"/>
        <w:right w:val="none" w:sz="0" w:space="0" w:color="auto"/>
      </w:divBdr>
    </w:div>
    <w:div w:id="692611385">
      <w:bodyDiv w:val="1"/>
      <w:marLeft w:val="0"/>
      <w:marRight w:val="0"/>
      <w:marTop w:val="0"/>
      <w:marBottom w:val="0"/>
      <w:divBdr>
        <w:top w:val="none" w:sz="0" w:space="0" w:color="auto"/>
        <w:left w:val="none" w:sz="0" w:space="0" w:color="auto"/>
        <w:bottom w:val="none" w:sz="0" w:space="0" w:color="auto"/>
        <w:right w:val="none" w:sz="0" w:space="0" w:color="auto"/>
      </w:divBdr>
    </w:div>
    <w:div w:id="702829740">
      <w:bodyDiv w:val="1"/>
      <w:marLeft w:val="0"/>
      <w:marRight w:val="0"/>
      <w:marTop w:val="0"/>
      <w:marBottom w:val="0"/>
      <w:divBdr>
        <w:top w:val="none" w:sz="0" w:space="0" w:color="auto"/>
        <w:left w:val="none" w:sz="0" w:space="0" w:color="auto"/>
        <w:bottom w:val="none" w:sz="0" w:space="0" w:color="auto"/>
        <w:right w:val="none" w:sz="0" w:space="0" w:color="auto"/>
      </w:divBdr>
      <w:divsChild>
        <w:div w:id="1902642271">
          <w:marLeft w:val="806"/>
          <w:marRight w:val="0"/>
          <w:marTop w:val="360"/>
          <w:marBottom w:val="0"/>
          <w:divBdr>
            <w:top w:val="none" w:sz="0" w:space="0" w:color="auto"/>
            <w:left w:val="none" w:sz="0" w:space="0" w:color="auto"/>
            <w:bottom w:val="none" w:sz="0" w:space="0" w:color="auto"/>
            <w:right w:val="none" w:sz="0" w:space="0" w:color="auto"/>
          </w:divBdr>
        </w:div>
        <w:div w:id="231887535">
          <w:marLeft w:val="806"/>
          <w:marRight w:val="0"/>
          <w:marTop w:val="360"/>
          <w:marBottom w:val="0"/>
          <w:divBdr>
            <w:top w:val="none" w:sz="0" w:space="0" w:color="auto"/>
            <w:left w:val="none" w:sz="0" w:space="0" w:color="auto"/>
            <w:bottom w:val="none" w:sz="0" w:space="0" w:color="auto"/>
            <w:right w:val="none" w:sz="0" w:space="0" w:color="auto"/>
          </w:divBdr>
        </w:div>
      </w:divsChild>
    </w:div>
    <w:div w:id="725026640">
      <w:bodyDiv w:val="1"/>
      <w:marLeft w:val="0"/>
      <w:marRight w:val="0"/>
      <w:marTop w:val="0"/>
      <w:marBottom w:val="0"/>
      <w:divBdr>
        <w:top w:val="none" w:sz="0" w:space="0" w:color="auto"/>
        <w:left w:val="none" w:sz="0" w:space="0" w:color="auto"/>
        <w:bottom w:val="none" w:sz="0" w:space="0" w:color="auto"/>
        <w:right w:val="none" w:sz="0" w:space="0" w:color="auto"/>
      </w:divBdr>
      <w:divsChild>
        <w:div w:id="1608463967">
          <w:marLeft w:val="806"/>
          <w:marRight w:val="0"/>
          <w:marTop w:val="360"/>
          <w:marBottom w:val="0"/>
          <w:divBdr>
            <w:top w:val="none" w:sz="0" w:space="0" w:color="auto"/>
            <w:left w:val="none" w:sz="0" w:space="0" w:color="auto"/>
            <w:bottom w:val="none" w:sz="0" w:space="0" w:color="auto"/>
            <w:right w:val="none" w:sz="0" w:space="0" w:color="auto"/>
          </w:divBdr>
        </w:div>
        <w:div w:id="884484026">
          <w:marLeft w:val="806"/>
          <w:marRight w:val="0"/>
          <w:marTop w:val="360"/>
          <w:marBottom w:val="0"/>
          <w:divBdr>
            <w:top w:val="none" w:sz="0" w:space="0" w:color="auto"/>
            <w:left w:val="none" w:sz="0" w:space="0" w:color="auto"/>
            <w:bottom w:val="none" w:sz="0" w:space="0" w:color="auto"/>
            <w:right w:val="none" w:sz="0" w:space="0" w:color="auto"/>
          </w:divBdr>
        </w:div>
      </w:divsChild>
    </w:div>
    <w:div w:id="731462128">
      <w:bodyDiv w:val="1"/>
      <w:marLeft w:val="0"/>
      <w:marRight w:val="0"/>
      <w:marTop w:val="0"/>
      <w:marBottom w:val="0"/>
      <w:divBdr>
        <w:top w:val="none" w:sz="0" w:space="0" w:color="auto"/>
        <w:left w:val="none" w:sz="0" w:space="0" w:color="auto"/>
        <w:bottom w:val="none" w:sz="0" w:space="0" w:color="auto"/>
        <w:right w:val="none" w:sz="0" w:space="0" w:color="auto"/>
      </w:divBdr>
    </w:div>
    <w:div w:id="770275871">
      <w:bodyDiv w:val="1"/>
      <w:marLeft w:val="0"/>
      <w:marRight w:val="0"/>
      <w:marTop w:val="0"/>
      <w:marBottom w:val="0"/>
      <w:divBdr>
        <w:top w:val="none" w:sz="0" w:space="0" w:color="auto"/>
        <w:left w:val="none" w:sz="0" w:space="0" w:color="auto"/>
        <w:bottom w:val="none" w:sz="0" w:space="0" w:color="auto"/>
        <w:right w:val="none" w:sz="0" w:space="0" w:color="auto"/>
      </w:divBdr>
    </w:div>
    <w:div w:id="777679928">
      <w:bodyDiv w:val="1"/>
      <w:marLeft w:val="0"/>
      <w:marRight w:val="0"/>
      <w:marTop w:val="0"/>
      <w:marBottom w:val="0"/>
      <w:divBdr>
        <w:top w:val="none" w:sz="0" w:space="0" w:color="auto"/>
        <w:left w:val="none" w:sz="0" w:space="0" w:color="auto"/>
        <w:bottom w:val="none" w:sz="0" w:space="0" w:color="auto"/>
        <w:right w:val="none" w:sz="0" w:space="0" w:color="auto"/>
      </w:divBdr>
    </w:div>
    <w:div w:id="794980033">
      <w:bodyDiv w:val="1"/>
      <w:marLeft w:val="0"/>
      <w:marRight w:val="0"/>
      <w:marTop w:val="0"/>
      <w:marBottom w:val="0"/>
      <w:divBdr>
        <w:top w:val="none" w:sz="0" w:space="0" w:color="auto"/>
        <w:left w:val="none" w:sz="0" w:space="0" w:color="auto"/>
        <w:bottom w:val="none" w:sz="0" w:space="0" w:color="auto"/>
        <w:right w:val="none" w:sz="0" w:space="0" w:color="auto"/>
      </w:divBdr>
    </w:div>
    <w:div w:id="835998354">
      <w:bodyDiv w:val="1"/>
      <w:marLeft w:val="0"/>
      <w:marRight w:val="0"/>
      <w:marTop w:val="0"/>
      <w:marBottom w:val="0"/>
      <w:divBdr>
        <w:top w:val="none" w:sz="0" w:space="0" w:color="auto"/>
        <w:left w:val="none" w:sz="0" w:space="0" w:color="auto"/>
        <w:bottom w:val="none" w:sz="0" w:space="0" w:color="auto"/>
        <w:right w:val="none" w:sz="0" w:space="0" w:color="auto"/>
      </w:divBdr>
    </w:div>
    <w:div w:id="858816227">
      <w:bodyDiv w:val="1"/>
      <w:marLeft w:val="0"/>
      <w:marRight w:val="0"/>
      <w:marTop w:val="0"/>
      <w:marBottom w:val="0"/>
      <w:divBdr>
        <w:top w:val="none" w:sz="0" w:space="0" w:color="auto"/>
        <w:left w:val="none" w:sz="0" w:space="0" w:color="auto"/>
        <w:bottom w:val="none" w:sz="0" w:space="0" w:color="auto"/>
        <w:right w:val="none" w:sz="0" w:space="0" w:color="auto"/>
      </w:divBdr>
    </w:div>
    <w:div w:id="986592000">
      <w:bodyDiv w:val="1"/>
      <w:marLeft w:val="0"/>
      <w:marRight w:val="0"/>
      <w:marTop w:val="0"/>
      <w:marBottom w:val="0"/>
      <w:divBdr>
        <w:top w:val="none" w:sz="0" w:space="0" w:color="auto"/>
        <w:left w:val="none" w:sz="0" w:space="0" w:color="auto"/>
        <w:bottom w:val="none" w:sz="0" w:space="0" w:color="auto"/>
        <w:right w:val="none" w:sz="0" w:space="0" w:color="auto"/>
      </w:divBdr>
    </w:div>
    <w:div w:id="999622360">
      <w:bodyDiv w:val="1"/>
      <w:marLeft w:val="0"/>
      <w:marRight w:val="0"/>
      <w:marTop w:val="0"/>
      <w:marBottom w:val="0"/>
      <w:divBdr>
        <w:top w:val="none" w:sz="0" w:space="0" w:color="auto"/>
        <w:left w:val="none" w:sz="0" w:space="0" w:color="auto"/>
        <w:bottom w:val="none" w:sz="0" w:space="0" w:color="auto"/>
        <w:right w:val="none" w:sz="0" w:space="0" w:color="auto"/>
      </w:divBdr>
    </w:div>
    <w:div w:id="1026978707">
      <w:bodyDiv w:val="1"/>
      <w:marLeft w:val="0"/>
      <w:marRight w:val="0"/>
      <w:marTop w:val="0"/>
      <w:marBottom w:val="0"/>
      <w:divBdr>
        <w:top w:val="none" w:sz="0" w:space="0" w:color="auto"/>
        <w:left w:val="none" w:sz="0" w:space="0" w:color="auto"/>
        <w:bottom w:val="none" w:sz="0" w:space="0" w:color="auto"/>
        <w:right w:val="none" w:sz="0" w:space="0" w:color="auto"/>
      </w:divBdr>
    </w:div>
    <w:div w:id="1108087477">
      <w:bodyDiv w:val="1"/>
      <w:marLeft w:val="0"/>
      <w:marRight w:val="0"/>
      <w:marTop w:val="0"/>
      <w:marBottom w:val="0"/>
      <w:divBdr>
        <w:top w:val="none" w:sz="0" w:space="0" w:color="auto"/>
        <w:left w:val="none" w:sz="0" w:space="0" w:color="auto"/>
        <w:bottom w:val="none" w:sz="0" w:space="0" w:color="auto"/>
        <w:right w:val="none" w:sz="0" w:space="0" w:color="auto"/>
      </w:divBdr>
    </w:div>
    <w:div w:id="1185443123">
      <w:bodyDiv w:val="1"/>
      <w:marLeft w:val="0"/>
      <w:marRight w:val="0"/>
      <w:marTop w:val="0"/>
      <w:marBottom w:val="0"/>
      <w:divBdr>
        <w:top w:val="none" w:sz="0" w:space="0" w:color="auto"/>
        <w:left w:val="none" w:sz="0" w:space="0" w:color="auto"/>
        <w:bottom w:val="none" w:sz="0" w:space="0" w:color="auto"/>
        <w:right w:val="none" w:sz="0" w:space="0" w:color="auto"/>
      </w:divBdr>
    </w:div>
    <w:div w:id="1209957211">
      <w:bodyDiv w:val="1"/>
      <w:marLeft w:val="0"/>
      <w:marRight w:val="0"/>
      <w:marTop w:val="0"/>
      <w:marBottom w:val="0"/>
      <w:divBdr>
        <w:top w:val="none" w:sz="0" w:space="0" w:color="auto"/>
        <w:left w:val="none" w:sz="0" w:space="0" w:color="auto"/>
        <w:bottom w:val="none" w:sz="0" w:space="0" w:color="auto"/>
        <w:right w:val="none" w:sz="0" w:space="0" w:color="auto"/>
      </w:divBdr>
    </w:div>
    <w:div w:id="1291479435">
      <w:bodyDiv w:val="1"/>
      <w:marLeft w:val="0"/>
      <w:marRight w:val="0"/>
      <w:marTop w:val="0"/>
      <w:marBottom w:val="0"/>
      <w:divBdr>
        <w:top w:val="none" w:sz="0" w:space="0" w:color="auto"/>
        <w:left w:val="none" w:sz="0" w:space="0" w:color="auto"/>
        <w:bottom w:val="none" w:sz="0" w:space="0" w:color="auto"/>
        <w:right w:val="none" w:sz="0" w:space="0" w:color="auto"/>
      </w:divBdr>
    </w:div>
    <w:div w:id="1324621930">
      <w:bodyDiv w:val="1"/>
      <w:marLeft w:val="0"/>
      <w:marRight w:val="0"/>
      <w:marTop w:val="0"/>
      <w:marBottom w:val="0"/>
      <w:divBdr>
        <w:top w:val="none" w:sz="0" w:space="0" w:color="auto"/>
        <w:left w:val="none" w:sz="0" w:space="0" w:color="auto"/>
        <w:bottom w:val="none" w:sz="0" w:space="0" w:color="auto"/>
        <w:right w:val="none" w:sz="0" w:space="0" w:color="auto"/>
      </w:divBdr>
    </w:div>
    <w:div w:id="1364282694">
      <w:bodyDiv w:val="1"/>
      <w:marLeft w:val="0"/>
      <w:marRight w:val="0"/>
      <w:marTop w:val="0"/>
      <w:marBottom w:val="0"/>
      <w:divBdr>
        <w:top w:val="none" w:sz="0" w:space="0" w:color="auto"/>
        <w:left w:val="none" w:sz="0" w:space="0" w:color="auto"/>
        <w:bottom w:val="none" w:sz="0" w:space="0" w:color="auto"/>
        <w:right w:val="none" w:sz="0" w:space="0" w:color="auto"/>
      </w:divBdr>
    </w:div>
    <w:div w:id="1402366057">
      <w:bodyDiv w:val="1"/>
      <w:marLeft w:val="0"/>
      <w:marRight w:val="0"/>
      <w:marTop w:val="0"/>
      <w:marBottom w:val="0"/>
      <w:divBdr>
        <w:top w:val="none" w:sz="0" w:space="0" w:color="auto"/>
        <w:left w:val="none" w:sz="0" w:space="0" w:color="auto"/>
        <w:bottom w:val="none" w:sz="0" w:space="0" w:color="auto"/>
        <w:right w:val="none" w:sz="0" w:space="0" w:color="auto"/>
      </w:divBdr>
    </w:div>
    <w:div w:id="1451166137">
      <w:bodyDiv w:val="1"/>
      <w:marLeft w:val="0"/>
      <w:marRight w:val="0"/>
      <w:marTop w:val="0"/>
      <w:marBottom w:val="0"/>
      <w:divBdr>
        <w:top w:val="none" w:sz="0" w:space="0" w:color="auto"/>
        <w:left w:val="none" w:sz="0" w:space="0" w:color="auto"/>
        <w:bottom w:val="none" w:sz="0" w:space="0" w:color="auto"/>
        <w:right w:val="none" w:sz="0" w:space="0" w:color="auto"/>
      </w:divBdr>
    </w:div>
    <w:div w:id="1656763403">
      <w:bodyDiv w:val="1"/>
      <w:marLeft w:val="0"/>
      <w:marRight w:val="0"/>
      <w:marTop w:val="0"/>
      <w:marBottom w:val="0"/>
      <w:divBdr>
        <w:top w:val="none" w:sz="0" w:space="0" w:color="auto"/>
        <w:left w:val="none" w:sz="0" w:space="0" w:color="auto"/>
        <w:bottom w:val="none" w:sz="0" w:space="0" w:color="auto"/>
        <w:right w:val="none" w:sz="0" w:space="0" w:color="auto"/>
      </w:divBdr>
    </w:div>
    <w:div w:id="1688750398">
      <w:bodyDiv w:val="1"/>
      <w:marLeft w:val="0"/>
      <w:marRight w:val="0"/>
      <w:marTop w:val="0"/>
      <w:marBottom w:val="0"/>
      <w:divBdr>
        <w:top w:val="none" w:sz="0" w:space="0" w:color="auto"/>
        <w:left w:val="none" w:sz="0" w:space="0" w:color="auto"/>
        <w:bottom w:val="none" w:sz="0" w:space="0" w:color="auto"/>
        <w:right w:val="none" w:sz="0" w:space="0" w:color="auto"/>
      </w:divBdr>
    </w:div>
    <w:div w:id="1872911244">
      <w:bodyDiv w:val="1"/>
      <w:marLeft w:val="0"/>
      <w:marRight w:val="0"/>
      <w:marTop w:val="0"/>
      <w:marBottom w:val="0"/>
      <w:divBdr>
        <w:top w:val="none" w:sz="0" w:space="0" w:color="auto"/>
        <w:left w:val="none" w:sz="0" w:space="0" w:color="auto"/>
        <w:bottom w:val="none" w:sz="0" w:space="0" w:color="auto"/>
        <w:right w:val="none" w:sz="0" w:space="0" w:color="auto"/>
      </w:divBdr>
    </w:div>
    <w:div w:id="1901941397">
      <w:bodyDiv w:val="1"/>
      <w:marLeft w:val="0"/>
      <w:marRight w:val="0"/>
      <w:marTop w:val="0"/>
      <w:marBottom w:val="0"/>
      <w:divBdr>
        <w:top w:val="none" w:sz="0" w:space="0" w:color="auto"/>
        <w:left w:val="none" w:sz="0" w:space="0" w:color="auto"/>
        <w:bottom w:val="none" w:sz="0" w:space="0" w:color="auto"/>
        <w:right w:val="none" w:sz="0" w:space="0" w:color="auto"/>
      </w:divBdr>
      <w:divsChild>
        <w:div w:id="267278892">
          <w:marLeft w:val="806"/>
          <w:marRight w:val="0"/>
          <w:marTop w:val="360"/>
          <w:marBottom w:val="0"/>
          <w:divBdr>
            <w:top w:val="none" w:sz="0" w:space="0" w:color="auto"/>
            <w:left w:val="none" w:sz="0" w:space="0" w:color="auto"/>
            <w:bottom w:val="none" w:sz="0" w:space="0" w:color="auto"/>
            <w:right w:val="none" w:sz="0" w:space="0" w:color="auto"/>
          </w:divBdr>
        </w:div>
      </w:divsChild>
    </w:div>
    <w:div w:id="2000692547">
      <w:bodyDiv w:val="1"/>
      <w:marLeft w:val="0"/>
      <w:marRight w:val="0"/>
      <w:marTop w:val="0"/>
      <w:marBottom w:val="0"/>
      <w:divBdr>
        <w:top w:val="none" w:sz="0" w:space="0" w:color="auto"/>
        <w:left w:val="none" w:sz="0" w:space="0" w:color="auto"/>
        <w:bottom w:val="none" w:sz="0" w:space="0" w:color="auto"/>
        <w:right w:val="none" w:sz="0" w:space="0" w:color="auto"/>
      </w:divBdr>
    </w:div>
    <w:div w:id="2011256640">
      <w:bodyDiv w:val="1"/>
      <w:marLeft w:val="0"/>
      <w:marRight w:val="0"/>
      <w:marTop w:val="0"/>
      <w:marBottom w:val="0"/>
      <w:divBdr>
        <w:top w:val="none" w:sz="0" w:space="0" w:color="auto"/>
        <w:left w:val="none" w:sz="0" w:space="0" w:color="auto"/>
        <w:bottom w:val="none" w:sz="0" w:space="0" w:color="auto"/>
        <w:right w:val="none" w:sz="0" w:space="0" w:color="auto"/>
      </w:divBdr>
    </w:div>
    <w:div w:id="2022782924">
      <w:bodyDiv w:val="1"/>
      <w:marLeft w:val="0"/>
      <w:marRight w:val="0"/>
      <w:marTop w:val="0"/>
      <w:marBottom w:val="0"/>
      <w:divBdr>
        <w:top w:val="none" w:sz="0" w:space="0" w:color="auto"/>
        <w:left w:val="none" w:sz="0" w:space="0" w:color="auto"/>
        <w:bottom w:val="none" w:sz="0" w:space="0" w:color="auto"/>
        <w:right w:val="none" w:sz="0" w:space="0" w:color="auto"/>
      </w:divBdr>
    </w:div>
    <w:div w:id="2029601053">
      <w:bodyDiv w:val="1"/>
      <w:marLeft w:val="0"/>
      <w:marRight w:val="0"/>
      <w:marTop w:val="0"/>
      <w:marBottom w:val="0"/>
      <w:divBdr>
        <w:top w:val="none" w:sz="0" w:space="0" w:color="auto"/>
        <w:left w:val="none" w:sz="0" w:space="0" w:color="auto"/>
        <w:bottom w:val="none" w:sz="0" w:space="0" w:color="auto"/>
        <w:right w:val="none" w:sz="0" w:space="0" w:color="auto"/>
      </w:divBdr>
    </w:div>
    <w:div w:id="2055692108">
      <w:bodyDiv w:val="1"/>
      <w:marLeft w:val="0"/>
      <w:marRight w:val="0"/>
      <w:marTop w:val="0"/>
      <w:marBottom w:val="0"/>
      <w:divBdr>
        <w:top w:val="none" w:sz="0" w:space="0" w:color="auto"/>
        <w:left w:val="none" w:sz="0" w:space="0" w:color="auto"/>
        <w:bottom w:val="none" w:sz="0" w:space="0" w:color="auto"/>
        <w:right w:val="none" w:sz="0" w:space="0" w:color="auto"/>
      </w:divBdr>
    </w:div>
    <w:div w:id="2072340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9</Pages>
  <Words>3070</Words>
  <Characters>17500</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Peiqi Wang</dc:creator>
  <cp:keywords/>
  <dc:description/>
  <cp:lastModifiedBy>Peiqi Wang</cp:lastModifiedBy>
  <cp:revision>10</cp:revision>
  <dcterms:created xsi:type="dcterms:W3CDTF">2016-04-02T19:24:00Z</dcterms:created>
  <dcterms:modified xsi:type="dcterms:W3CDTF">2016-04-07T20:52:00Z</dcterms:modified>
</cp:coreProperties>
</file>