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xlsx" ContentType="application/vnd.openxmlformats-officedocument.spreadsheetml.sheet"/>
  <Override PartName="/docProps/app.xml" ContentType="application/vnd.openxmlformats-officedocument.extended-properties+xml"/>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drawings/drawing1.xml" ContentType="application/vnd.openxmlformats-officedocument.drawingml.chartshap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895" w:rsidRPr="00CA1895" w:rsidRDefault="00CA1895">
      <w:pPr>
        <w:rPr>
          <w:rFonts w:asciiTheme="majorHAnsi" w:hAnsiTheme="majorHAnsi"/>
          <w:b/>
        </w:rPr>
      </w:pPr>
      <w:r w:rsidRPr="00CA1895">
        <w:rPr>
          <w:rFonts w:asciiTheme="majorHAnsi" w:hAnsiTheme="majorHAnsi"/>
          <w:b/>
        </w:rPr>
        <w:t>University of Hawaii at Manoa</w:t>
      </w:r>
    </w:p>
    <w:p w:rsidR="00CA1895" w:rsidRPr="00CA1895" w:rsidRDefault="00CA1895">
      <w:pPr>
        <w:rPr>
          <w:rFonts w:asciiTheme="majorHAnsi" w:hAnsiTheme="majorHAnsi"/>
          <w:b/>
        </w:rPr>
      </w:pPr>
    </w:p>
    <w:p w:rsidR="002E3030" w:rsidRDefault="00CA1895">
      <w:pPr>
        <w:rPr>
          <w:rFonts w:asciiTheme="majorHAnsi" w:hAnsiTheme="majorHAnsi"/>
          <w:b/>
        </w:rPr>
      </w:pPr>
      <w:r w:rsidRPr="00CA1895">
        <w:rPr>
          <w:rFonts w:asciiTheme="majorHAnsi" w:hAnsiTheme="majorHAnsi"/>
          <w:b/>
        </w:rPr>
        <w:t>DRAFT Thermal Comfort Standard, for consideration in Kuykendall Hall Renovation Project</w:t>
      </w:r>
      <w:r w:rsidR="009A7EC4">
        <w:rPr>
          <w:rFonts w:asciiTheme="majorHAnsi" w:hAnsiTheme="majorHAnsi"/>
          <w:b/>
        </w:rPr>
        <w:t xml:space="preserve"> – January 20, 2011</w:t>
      </w:r>
    </w:p>
    <w:p w:rsidR="00CA1895" w:rsidRPr="00CA1895" w:rsidRDefault="002E3030">
      <w:pPr>
        <w:rPr>
          <w:rFonts w:asciiTheme="majorHAnsi" w:hAnsiTheme="majorHAnsi"/>
          <w:b/>
        </w:rPr>
      </w:pPr>
      <w:r>
        <w:rPr>
          <w:rFonts w:asciiTheme="majorHAnsi" w:hAnsiTheme="majorHAnsi"/>
          <w:b/>
        </w:rPr>
        <w:t>For Inclusion with the Architectural Design Program</w:t>
      </w:r>
    </w:p>
    <w:p w:rsidR="00CA1895" w:rsidRPr="00CA1895" w:rsidRDefault="00CA1895">
      <w:pPr>
        <w:rPr>
          <w:rFonts w:asciiTheme="majorHAnsi" w:hAnsiTheme="majorHAnsi"/>
        </w:rPr>
      </w:pPr>
    </w:p>
    <w:p w:rsidR="00CA1895" w:rsidRDefault="00CA1895">
      <w:pPr>
        <w:rPr>
          <w:rFonts w:asciiTheme="majorHAnsi" w:hAnsiTheme="majorHAnsi"/>
        </w:rPr>
      </w:pPr>
      <w:r>
        <w:rPr>
          <w:rFonts w:asciiTheme="majorHAnsi" w:hAnsiTheme="majorHAnsi"/>
        </w:rPr>
        <w:t>The following criteria have been developed to set a thermal comfort standard for interior</w:t>
      </w:r>
      <w:r w:rsidR="00D74361">
        <w:rPr>
          <w:rFonts w:asciiTheme="majorHAnsi" w:hAnsiTheme="majorHAnsi"/>
        </w:rPr>
        <w:t xml:space="preserve"> environmental conditions.  Criteria are described for three different environmental classifications, based on the approach used for space conditioning.  These</w:t>
      </w:r>
      <w:r>
        <w:rPr>
          <w:rFonts w:asciiTheme="majorHAnsi" w:hAnsiTheme="majorHAnsi"/>
        </w:rPr>
        <w:t xml:space="preserve"> criteria </w:t>
      </w:r>
      <w:r w:rsidR="002E3030">
        <w:rPr>
          <w:rFonts w:asciiTheme="majorHAnsi" w:hAnsiTheme="majorHAnsi"/>
        </w:rPr>
        <w:t xml:space="preserve">will be further refined to address the particular nature of the Hawaiian climate </w:t>
      </w:r>
      <w:r w:rsidR="001B3D38">
        <w:rPr>
          <w:rFonts w:asciiTheme="majorHAnsi" w:hAnsiTheme="majorHAnsi"/>
        </w:rPr>
        <w:t>in a future amendment to the ADP.</w:t>
      </w:r>
    </w:p>
    <w:p w:rsidR="00CA1895" w:rsidRDefault="00CA1895">
      <w:pPr>
        <w:rPr>
          <w:rFonts w:asciiTheme="majorHAnsi" w:hAnsiTheme="majorHAnsi"/>
        </w:rPr>
      </w:pPr>
    </w:p>
    <w:p w:rsidR="00CA1895" w:rsidRPr="00D74361" w:rsidRDefault="00CA1895" w:rsidP="00D74361">
      <w:pPr>
        <w:pStyle w:val="ListParagraph"/>
        <w:numPr>
          <w:ilvl w:val="0"/>
          <w:numId w:val="1"/>
          <w:numberingChange w:id="0" w:author="Gail Brager" w:date="2011-02-17T15:53:00Z" w:original="%1:1:0:."/>
        </w:numPr>
        <w:rPr>
          <w:rFonts w:asciiTheme="majorHAnsi" w:hAnsiTheme="majorHAnsi"/>
          <w:u w:val="single"/>
        </w:rPr>
      </w:pPr>
      <w:r w:rsidRPr="00D74361">
        <w:rPr>
          <w:rFonts w:asciiTheme="majorHAnsi" w:hAnsiTheme="majorHAnsi"/>
          <w:u w:val="single"/>
        </w:rPr>
        <w:t>Spaces that are Conditioned Sole</w:t>
      </w:r>
      <w:r w:rsidR="009023AD" w:rsidRPr="00D74361">
        <w:rPr>
          <w:rFonts w:asciiTheme="majorHAnsi" w:hAnsiTheme="majorHAnsi"/>
          <w:u w:val="single"/>
        </w:rPr>
        <w:t>l</w:t>
      </w:r>
      <w:r w:rsidRPr="00D74361">
        <w:rPr>
          <w:rFonts w:asciiTheme="majorHAnsi" w:hAnsiTheme="majorHAnsi"/>
          <w:u w:val="single"/>
        </w:rPr>
        <w:t>y by Natural Ventilation</w:t>
      </w:r>
    </w:p>
    <w:p w:rsidR="00D74361" w:rsidRDefault="00D74361" w:rsidP="00B72AC2">
      <w:pPr>
        <w:rPr>
          <w:rFonts w:asciiTheme="majorHAnsi" w:hAnsiTheme="majorHAnsi"/>
        </w:rPr>
      </w:pPr>
    </w:p>
    <w:p w:rsidR="00B72AC2" w:rsidRPr="00B72AC2" w:rsidRDefault="001B3D38" w:rsidP="00B72AC2">
      <w:pPr>
        <w:rPr>
          <w:rFonts w:asciiTheme="majorHAnsi" w:hAnsiTheme="majorHAnsi"/>
          <w:lang w:val="en-AU"/>
        </w:rPr>
      </w:pPr>
      <w:r>
        <w:rPr>
          <w:rFonts w:asciiTheme="majorHAnsi" w:hAnsiTheme="majorHAnsi"/>
        </w:rPr>
        <w:t>Interior spaces shall meet the Adaptive Comfort criteria as outlined in ASHRAE Standard 55-</w:t>
      </w:r>
      <w:r w:rsidR="004E4996">
        <w:rPr>
          <w:rFonts w:asciiTheme="majorHAnsi" w:hAnsiTheme="majorHAnsi"/>
        </w:rPr>
        <w:t>2010</w:t>
      </w:r>
      <w:r w:rsidR="00B72AC2">
        <w:rPr>
          <w:rFonts w:asciiTheme="majorHAnsi" w:hAnsiTheme="majorHAnsi"/>
        </w:rPr>
        <w:t xml:space="preserve"> (</w:t>
      </w:r>
      <w:r w:rsidR="00463A21">
        <w:rPr>
          <w:rFonts w:asciiTheme="majorHAnsi" w:hAnsiTheme="majorHAnsi"/>
        </w:rPr>
        <w:t>Section 5.3</w:t>
      </w:r>
      <w:r w:rsidR="00B72AC2">
        <w:rPr>
          <w:rFonts w:asciiTheme="majorHAnsi" w:hAnsiTheme="majorHAnsi"/>
        </w:rPr>
        <w:t xml:space="preserve">).  </w:t>
      </w:r>
      <w:r w:rsidR="00B72AC2" w:rsidRPr="00B72AC2">
        <w:rPr>
          <w:rFonts w:asciiTheme="majorHAnsi" w:hAnsiTheme="majorHAnsi"/>
          <w:lang w:val="en-AU"/>
        </w:rPr>
        <w:t>Recent years have seen a significant shift in international standards towards the concept of adaptive thermal comfort, particularly in the U</w:t>
      </w:r>
      <w:r w:rsidR="00F050E9">
        <w:rPr>
          <w:rFonts w:asciiTheme="majorHAnsi" w:hAnsiTheme="majorHAnsi"/>
          <w:lang w:val="en-AU"/>
        </w:rPr>
        <w:t>.</w:t>
      </w:r>
      <w:r w:rsidR="00B72AC2" w:rsidRPr="00B72AC2">
        <w:rPr>
          <w:rFonts w:asciiTheme="majorHAnsi" w:hAnsiTheme="majorHAnsi"/>
          <w:lang w:val="en-AU"/>
        </w:rPr>
        <w:t>S</w:t>
      </w:r>
      <w:r w:rsidR="00F050E9">
        <w:rPr>
          <w:rFonts w:asciiTheme="majorHAnsi" w:hAnsiTheme="majorHAnsi"/>
          <w:lang w:val="en-AU"/>
        </w:rPr>
        <w:t>.</w:t>
      </w:r>
      <w:r w:rsidR="00B72AC2" w:rsidRPr="00B72AC2">
        <w:rPr>
          <w:rFonts w:asciiTheme="majorHAnsi" w:hAnsiTheme="majorHAnsi"/>
          <w:lang w:val="en-AU"/>
        </w:rPr>
        <w:t xml:space="preserve"> and </w:t>
      </w:r>
      <w:r w:rsidR="00B72AC2">
        <w:rPr>
          <w:rFonts w:asciiTheme="majorHAnsi" w:hAnsiTheme="majorHAnsi"/>
          <w:lang w:val="en-AU"/>
        </w:rPr>
        <w:t>Europe</w:t>
      </w:r>
      <w:r w:rsidR="00B72AC2" w:rsidRPr="00B72AC2">
        <w:rPr>
          <w:rFonts w:asciiTheme="majorHAnsi" w:hAnsiTheme="majorHAnsi"/>
          <w:lang w:val="en-AU"/>
        </w:rPr>
        <w:t xml:space="preserve"> </w:t>
      </w:r>
      <w:r w:rsidR="003067FC" w:rsidRPr="003067FC">
        <w:rPr>
          <w:rFonts w:asciiTheme="majorHAnsi" w:hAnsiTheme="majorHAnsi"/>
          <w:lang w:val="en-AU"/>
        </w:rPr>
        <w:fldChar w:fldCharType="begin"/>
      </w:r>
      <w:r w:rsidR="00B72AC2" w:rsidRPr="00B72AC2">
        <w:rPr>
          <w:rFonts w:asciiTheme="majorHAnsi" w:hAnsiTheme="majorHAnsi"/>
          <w:lang w:val="en-AU"/>
        </w:rPr>
        <w:instrText xml:space="preserve"> ADDIN EN.CITE &lt;EndNote&gt;&lt;Cite&gt;&lt;Author&gt;de Dear&lt;/Author&gt;&lt;Year&gt;1998&lt;/Year&gt;&lt;RecNum&gt;10&lt;/RecNum&gt;&lt;record&gt;&lt;rec-number&gt;10&lt;/rec-number&gt;&lt;foreign-keys&gt;&lt;key app="EN" db-id="wtrrf2a5ddts5tept9a5zt2oztt992tvx0et"&gt;10&lt;/key&gt;&lt;/foreign-keys&gt;&lt;ref-type name="Journal Article"&gt;17&lt;/ref-type&gt;&lt;contributors&gt;&lt;authors&gt;&lt;author&gt;de Dear, R.J.&lt;/author&gt;&lt;author&gt;Brager, G.&lt;/author&gt;&lt;/authors&gt;&lt;/contributors&gt;&lt;titles&gt;&lt;title&gt;Developing an Adaptive Model of Thermal Comfort and Preference&lt;/title&gt;&lt;secondary-title&gt;ASHRAE Transactions&lt;/secondary-title&gt;&lt;/titles&gt;&lt;periodical&gt;&lt;full-title&gt;ASHRAE Transactions&lt;/full-title&gt;&lt;/periodical&gt;&lt;pages&gt;145-167&lt;/pages&gt;&lt;volume&gt;104&lt;/volume&gt;&lt;number&gt;1A&lt;/number&gt;&lt;dates&gt;&lt;year&gt;1998&lt;/year&gt;&lt;/dates&gt;&lt;urls&gt;&lt;/urls&gt;&lt;/record&gt;&lt;/Cite&gt;&lt;Cite&gt;&lt;Author&gt;Nicol&lt;/Author&gt;&lt;Year&gt;2009&lt;/Year&gt;&lt;RecNum&gt;522&lt;/RecNum&gt;&lt;record&gt;&lt;rec-number&gt;522&lt;/rec-number&gt;&lt;foreign-keys&gt;&lt;key app="EN" db-id="wtrrf2a5ddts5tept9a5zt2oztt992tvx0et"&gt;522&lt;/key&gt;&lt;/foreign-keys&gt;&lt;ref-type name="Journal Article"&gt;17&lt;/ref-type&gt;&lt;contributors&gt;&lt;authors&gt;&lt;author&gt;Nicol, J.F.&lt;/author&gt;&lt;author&gt;Humphreys, M.A.&lt;/author&gt;&lt;/authors&gt;&lt;/contributors&gt;&lt;titles&gt;&lt;title&gt;New standards for comfort and energy use in buildings&lt;/title&gt;&lt;secondary-title&gt;Building Research and Information&lt;/secondary-title&gt;&lt;/titles&gt;&lt;periodical&gt;&lt;full-title&gt;Building Research and Information&lt;/full-title&gt;&lt;/periodical&gt;&lt;pages&gt;68-73&lt;/pages&gt;&lt;volume&gt;37&lt;/volume&gt;&lt;number&gt;1&lt;/number&gt;&lt;dates&gt;&lt;year&gt;2009&lt;/year&gt;&lt;/dates&gt;&lt;urls&gt;&lt;/urls&gt;&lt;/record&gt;&lt;/Cite&gt;&lt;/EndNote&gt;</w:instrText>
      </w:r>
      <w:r w:rsidR="003067FC" w:rsidRPr="003067FC">
        <w:rPr>
          <w:rFonts w:asciiTheme="majorHAnsi" w:hAnsiTheme="majorHAnsi"/>
          <w:lang w:val="en-AU"/>
        </w:rPr>
        <w:fldChar w:fldCharType="separate"/>
      </w:r>
      <w:r w:rsidR="00B72AC2" w:rsidRPr="00B72AC2">
        <w:rPr>
          <w:rFonts w:asciiTheme="majorHAnsi" w:hAnsiTheme="majorHAnsi"/>
          <w:lang w:val="en-AU"/>
        </w:rPr>
        <w:t>(de Dear and Brager 1998; Nicol and Humphreys 2009)</w:t>
      </w:r>
      <w:r w:rsidR="003067FC" w:rsidRPr="00B72AC2">
        <w:rPr>
          <w:rFonts w:asciiTheme="majorHAnsi" w:hAnsiTheme="majorHAnsi"/>
        </w:rPr>
        <w:fldChar w:fldCharType="end"/>
      </w:r>
      <w:r w:rsidR="00B72AC2" w:rsidRPr="00B72AC2">
        <w:rPr>
          <w:rFonts w:asciiTheme="majorHAnsi" w:hAnsiTheme="majorHAnsi"/>
          <w:lang w:val="en-AU"/>
        </w:rPr>
        <w:t>.  The basic concept of adaptive comfort is that the comfort zone, or range of acceptable indoor temperatures, drifts upwards in warm weather and downwards in cooler weather, particularly in environments where occupants have a variety of adaptive opportunities at their disposal.  Adaptive comfort is not applicable to environments where occupants are detached from the thermoregulation of the space such as in centrally air-conditioned, sealed façade, office</w:t>
      </w:r>
      <w:r w:rsidR="007D51C0">
        <w:rPr>
          <w:rFonts w:asciiTheme="majorHAnsi" w:hAnsiTheme="majorHAnsi"/>
          <w:lang w:val="en-AU"/>
        </w:rPr>
        <w:t xml:space="preserve"> </w:t>
      </w:r>
      <w:r w:rsidR="00B72AC2" w:rsidRPr="00B72AC2">
        <w:rPr>
          <w:rFonts w:asciiTheme="majorHAnsi" w:hAnsiTheme="majorHAnsi"/>
          <w:lang w:val="en-AU"/>
        </w:rPr>
        <w:t>s</w:t>
      </w:r>
      <w:r w:rsidR="007D51C0">
        <w:rPr>
          <w:rFonts w:asciiTheme="majorHAnsi" w:hAnsiTheme="majorHAnsi"/>
          <w:lang w:val="en-AU"/>
        </w:rPr>
        <w:t>paces</w:t>
      </w:r>
      <w:r w:rsidR="00B72AC2" w:rsidRPr="00B72AC2">
        <w:rPr>
          <w:rFonts w:asciiTheme="majorHAnsi" w:hAnsiTheme="majorHAnsi"/>
          <w:lang w:val="en-AU"/>
        </w:rPr>
        <w:t xml:space="preserve">. But for naturally ventilated buildings in which occupants have access to operable windows, the adaptive comfort concept is particularly relevant.  </w:t>
      </w:r>
    </w:p>
    <w:p w:rsidR="00B72AC2" w:rsidRPr="00B72AC2" w:rsidRDefault="00B72AC2" w:rsidP="00B72AC2">
      <w:pPr>
        <w:rPr>
          <w:rFonts w:asciiTheme="majorHAnsi" w:hAnsiTheme="majorHAnsi"/>
          <w:lang w:val="en-AU"/>
        </w:rPr>
      </w:pPr>
    </w:p>
    <w:p w:rsidR="00B72AC2" w:rsidRDefault="00463A21" w:rsidP="00B72AC2">
      <w:pPr>
        <w:rPr>
          <w:rFonts w:asciiTheme="majorHAnsi" w:hAnsiTheme="majorHAnsi"/>
          <w:lang w:val="en-AU"/>
        </w:rPr>
      </w:pPr>
      <w:r>
        <w:rPr>
          <w:rFonts w:asciiTheme="majorHAnsi" w:hAnsiTheme="majorHAnsi"/>
          <w:lang w:val="en-AU"/>
        </w:rPr>
        <w:t>In 2004 t</w:t>
      </w:r>
      <w:r w:rsidR="00B72AC2" w:rsidRPr="00B72AC2">
        <w:rPr>
          <w:rFonts w:asciiTheme="majorHAnsi" w:hAnsiTheme="majorHAnsi"/>
          <w:lang w:val="en-AU"/>
        </w:rPr>
        <w:t>he American Society of Heating, Refrigerating and Air-Conditioning Engineers</w:t>
      </w:r>
      <w:r w:rsidR="00A56EBE">
        <w:rPr>
          <w:rFonts w:asciiTheme="majorHAnsi" w:hAnsiTheme="majorHAnsi"/>
          <w:lang w:val="en-AU"/>
        </w:rPr>
        <w:t xml:space="preserve"> was the first standards organiz</w:t>
      </w:r>
      <w:r w:rsidR="00B72AC2" w:rsidRPr="00B72AC2">
        <w:rPr>
          <w:rFonts w:asciiTheme="majorHAnsi" w:hAnsiTheme="majorHAnsi"/>
          <w:lang w:val="en-AU"/>
        </w:rPr>
        <w:t xml:space="preserve">ation to formally incorporate this adaptive comfort concept into a regulatory document </w:t>
      </w:r>
      <w:r w:rsidR="003067FC" w:rsidRPr="00463A21">
        <w:rPr>
          <w:rFonts w:asciiTheme="majorHAnsi" w:hAnsiTheme="majorHAnsi"/>
          <w:lang w:val="en-AU"/>
        </w:rPr>
        <w:fldChar w:fldCharType="begin"/>
      </w:r>
      <w:r w:rsidR="00B72AC2" w:rsidRPr="00B72AC2">
        <w:rPr>
          <w:rFonts w:asciiTheme="majorHAnsi" w:hAnsiTheme="majorHAnsi"/>
          <w:lang w:val="en-AU"/>
        </w:rPr>
        <w:instrText xml:space="preserve"> ADDIN EN.CITE &lt;EndNote&gt;&lt;Cite&gt;&lt;Author&gt;ASHRAE&lt;/Author&gt;&lt;Year&gt;2004&lt;/Year&gt;&lt;RecNum&gt;208&lt;/RecNum&gt;&lt;record&gt;&lt;rec-number&gt;208&lt;/rec-number&gt;&lt;foreign-keys&gt;&lt;key app="EN" db-id="wtrrf2a5ddts5tept9a5zt2oztt992tvx0et"&gt;208&lt;/key&gt;&lt;/foreign-keys&gt;&lt;ref-type name="Book"&gt;6&lt;/ref-type&gt;&lt;contributors&gt;&lt;authors&gt;&lt;author&gt;ASHRAE&lt;/author&gt;&lt;/authors&gt;&lt;/contributors&gt;&lt;titles&gt;&lt;title&gt;ANSI/ASHRAE Standard 55R - Thermal Environmental Conditions for Human Occupancy&lt;/title&gt;&lt;/titles&gt;&lt;dates&gt;&lt;year&gt;2004&lt;/year&gt;&lt;/dates&gt;&lt;pub-location&gt;Atlanta&lt;/pub-location&gt;&lt;publisher&gt;American Society of Heating, Refrigerating and Air-Conditioning Engineers, Inc&lt;/publisher&gt;&lt;urls&gt;&lt;/urls&gt;&lt;/record&gt;&lt;/Cite&gt;&lt;Cite&gt;&lt;Author&gt;Brager&lt;/Author&gt;&lt;Year&gt;2000&lt;/Year&gt;&lt;RecNum&gt;531&lt;/RecNum&gt;&lt;record&gt;&lt;rec-number&gt;531&lt;/rec-number&gt;&lt;foreign-keys&gt;&lt;key app="EN" db-id="wtrrf2a5ddts5tept9a5zt2oztt992tvx0et"&gt;531&lt;/key&gt;&lt;/foreign-keys&gt;&lt;ref-type name="Journal Article"&gt;17&lt;/ref-type&gt;&lt;contributors&gt;&lt;authors&gt;&lt;author&gt;Brager, G S&lt;/author&gt;&lt;author&gt;De Dear, R&lt;/author&gt;&lt;/authors&gt;&lt;/contributors&gt;&lt;titles&gt;&lt;title&gt;A standard for natural ventilation&lt;/title&gt;&lt;secondary-title&gt;ASHRAE Journal&lt;/secondary-title&gt;&lt;/titles&gt;&lt;periodical&gt;&lt;full-title&gt;ASHRAE Journal&lt;/full-title&gt;&lt;/periodical&gt;&lt;pages&gt;21-27&lt;/pages&gt;&lt;volume&gt;42&lt;/volume&gt;&lt;number&gt;10&lt;/number&gt;&lt;dates&gt;&lt;year&gt;2000&lt;/year&gt;&lt;/dates&gt;&lt;urls&gt;&lt;/urls&gt;&lt;/record&gt;&lt;/Cite&gt;&lt;/EndNote&gt;</w:instrText>
      </w:r>
      <w:r w:rsidR="003067FC" w:rsidRPr="00463A21">
        <w:rPr>
          <w:rFonts w:asciiTheme="majorHAnsi" w:hAnsiTheme="majorHAnsi"/>
          <w:lang w:val="en-AU"/>
        </w:rPr>
        <w:fldChar w:fldCharType="separate"/>
      </w:r>
      <w:r w:rsidR="00B72AC2" w:rsidRPr="00B72AC2">
        <w:rPr>
          <w:rFonts w:asciiTheme="majorHAnsi" w:hAnsiTheme="majorHAnsi"/>
          <w:lang w:val="en-AU"/>
        </w:rPr>
        <w:t>(Brag</w:t>
      </w:r>
      <w:r w:rsidR="00103BF8">
        <w:rPr>
          <w:rFonts w:asciiTheme="majorHAnsi" w:hAnsiTheme="majorHAnsi"/>
          <w:lang w:val="en-AU"/>
        </w:rPr>
        <w:t>er and d</w:t>
      </w:r>
      <w:r>
        <w:rPr>
          <w:rFonts w:asciiTheme="majorHAnsi" w:hAnsiTheme="majorHAnsi"/>
          <w:lang w:val="en-AU"/>
        </w:rPr>
        <w:t>e Dear 2000; ASHRAE 2010</w:t>
      </w:r>
      <w:r w:rsidR="00B72AC2" w:rsidRPr="00B72AC2">
        <w:rPr>
          <w:rFonts w:asciiTheme="majorHAnsi" w:hAnsiTheme="majorHAnsi"/>
          <w:lang w:val="en-AU"/>
        </w:rPr>
        <w:t>)</w:t>
      </w:r>
      <w:r w:rsidR="003067FC" w:rsidRPr="00463A21">
        <w:rPr>
          <w:rFonts w:asciiTheme="majorHAnsi" w:hAnsiTheme="majorHAnsi"/>
          <w:lang w:val="en-AU"/>
        </w:rPr>
        <w:fldChar w:fldCharType="end"/>
      </w:r>
      <w:r w:rsidR="00B72AC2" w:rsidRPr="00B72AC2">
        <w:rPr>
          <w:rFonts w:asciiTheme="majorHAnsi" w:hAnsiTheme="majorHAnsi"/>
          <w:lang w:val="en-AU"/>
        </w:rPr>
        <w:t xml:space="preserve">, with the comfort chart depicted in Figure 1.  </w:t>
      </w:r>
    </w:p>
    <w:p w:rsidR="000356FE" w:rsidRDefault="000356FE" w:rsidP="00B72AC2">
      <w:pPr>
        <w:rPr>
          <w:rFonts w:asciiTheme="majorHAnsi" w:hAnsiTheme="majorHAnsi"/>
          <w:lang w:val="en-AU"/>
        </w:rPr>
      </w:pPr>
    </w:p>
    <w:p w:rsidR="000356FE" w:rsidRPr="000356FE" w:rsidRDefault="000356FE" w:rsidP="000356FE">
      <w:pPr>
        <w:rPr>
          <w:rFonts w:asciiTheme="majorHAnsi" w:hAnsiTheme="majorHAnsi"/>
          <w:lang w:val="en-AU"/>
        </w:rPr>
      </w:pPr>
      <w:r w:rsidRPr="000356FE">
        <w:rPr>
          <w:rFonts w:asciiTheme="majorHAnsi" w:hAnsiTheme="majorHAnsi"/>
          <w:lang w:val="en-AU"/>
        </w:rPr>
        <w:t xml:space="preserve">Figure 1 indicates the optimum indoor temperature as a linear function of mean monthly outdoor temperature, with two acceptable comfort zones straddling the optimum – 80% and 90% acceptability.  These meaning of these percentages is as follows; an indoor operative temperature falling within the 80% range should be regarded as acceptable or satisfactory to at least 80% of building occupants who are exposed to it, and the tighter 90% acceptable temperature range is likely to satisfy 90% of occupants.  </w:t>
      </w:r>
    </w:p>
    <w:p w:rsidR="00D861D5" w:rsidRDefault="00D861D5" w:rsidP="00D861D5">
      <w:pPr>
        <w:rPr>
          <w:rFonts w:asciiTheme="majorHAnsi" w:hAnsiTheme="majorHAnsi"/>
          <w:lang w:val="en-AU"/>
        </w:rPr>
      </w:pPr>
    </w:p>
    <w:p w:rsidR="00D861D5" w:rsidRPr="000356FE" w:rsidRDefault="00D861D5" w:rsidP="00D861D5">
      <w:pPr>
        <w:rPr>
          <w:rFonts w:asciiTheme="majorHAnsi" w:hAnsiTheme="majorHAnsi"/>
          <w:lang w:val="en-AU"/>
        </w:rPr>
      </w:pPr>
      <w:r w:rsidRPr="000356FE">
        <w:rPr>
          <w:rFonts w:asciiTheme="majorHAnsi" w:hAnsiTheme="majorHAnsi"/>
          <w:lang w:val="en-AU"/>
        </w:rPr>
        <w:t xml:space="preserve">For the purposes of the current </w:t>
      </w:r>
      <w:r>
        <w:rPr>
          <w:rFonts w:asciiTheme="majorHAnsi" w:hAnsiTheme="majorHAnsi"/>
          <w:lang w:val="en-AU"/>
        </w:rPr>
        <w:t>criteria</w:t>
      </w:r>
      <w:r w:rsidRPr="000356FE">
        <w:rPr>
          <w:rFonts w:asciiTheme="majorHAnsi" w:hAnsiTheme="majorHAnsi"/>
          <w:lang w:val="en-AU"/>
        </w:rPr>
        <w:t xml:space="preserve"> we propose the 80% acceptable temperature range, the upper limit of which can be written as:  </w:t>
      </w:r>
      <w:r w:rsidRPr="000356FE">
        <w:rPr>
          <w:rFonts w:asciiTheme="majorHAnsi" w:hAnsiTheme="majorHAnsi"/>
          <w:lang w:val="en-AU"/>
        </w:rPr>
        <w:br/>
      </w:r>
    </w:p>
    <w:p w:rsidR="00D861D5" w:rsidRPr="000356FE" w:rsidRDefault="00D861D5" w:rsidP="00D861D5">
      <w:pPr>
        <w:rPr>
          <w:rFonts w:asciiTheme="majorHAnsi" w:hAnsiTheme="majorHAnsi"/>
        </w:rPr>
      </w:pPr>
      <w:r w:rsidRPr="000356FE">
        <w:rPr>
          <w:rFonts w:asciiTheme="majorHAnsi" w:hAnsiTheme="majorHAnsi"/>
          <w:i/>
        </w:rPr>
        <w:t xml:space="preserve">                       Upper 80% Acceptable Limit</w:t>
      </w:r>
      <w:r w:rsidRPr="000356FE">
        <w:rPr>
          <w:rFonts w:asciiTheme="majorHAnsi" w:hAnsiTheme="majorHAnsi"/>
        </w:rPr>
        <w:t xml:space="preserve"> = 0.31 </w:t>
      </w:r>
      <w:r w:rsidRPr="000356FE">
        <w:rPr>
          <w:rFonts w:asciiTheme="majorHAnsi" w:hAnsiTheme="majorHAnsi"/>
          <w:i/>
        </w:rPr>
        <w:t>t</w:t>
      </w:r>
      <w:r w:rsidRPr="000356FE">
        <w:rPr>
          <w:rFonts w:asciiTheme="majorHAnsi" w:hAnsiTheme="majorHAnsi"/>
          <w:i/>
          <w:vertAlign w:val="subscript"/>
        </w:rPr>
        <w:t>a(out)</w:t>
      </w:r>
      <w:r w:rsidRPr="000356FE">
        <w:rPr>
          <w:rFonts w:asciiTheme="majorHAnsi" w:hAnsiTheme="majorHAnsi"/>
        </w:rPr>
        <w:t xml:space="preserve"> + 21.3                    (</w:t>
      </w:r>
      <w:r w:rsidRPr="000356FE">
        <w:rPr>
          <w:rFonts w:asciiTheme="majorHAnsi" w:hAnsiTheme="majorHAnsi"/>
          <w:vertAlign w:val="superscript"/>
        </w:rPr>
        <w:t>o</w:t>
      </w:r>
      <w:r w:rsidRPr="000356FE">
        <w:rPr>
          <w:rFonts w:asciiTheme="majorHAnsi" w:hAnsiTheme="majorHAnsi"/>
        </w:rPr>
        <w:t>C)</w:t>
      </w:r>
    </w:p>
    <w:p w:rsidR="00B72AC2" w:rsidRPr="00B72AC2" w:rsidRDefault="00B72AC2" w:rsidP="00B72AC2">
      <w:pPr>
        <w:rPr>
          <w:rFonts w:asciiTheme="majorHAnsi" w:hAnsiTheme="majorHAnsi"/>
          <w:lang w:val="en-AU"/>
        </w:rPr>
      </w:pPr>
      <w:r w:rsidRPr="00B72AC2">
        <w:rPr>
          <w:rFonts w:asciiTheme="majorHAnsi" w:hAnsiTheme="majorHAnsi"/>
          <w:i/>
          <w:noProof/>
        </w:rPr>
        <w:drawing>
          <wp:anchor distT="0" distB="0" distL="114300" distR="114300" simplePos="0" relativeHeight="251660288" behindDoc="1" locked="0" layoutInCell="1" allowOverlap="1">
            <wp:simplePos x="0" y="0"/>
            <wp:positionH relativeFrom="column">
              <wp:posOffset>228600</wp:posOffset>
            </wp:positionH>
            <wp:positionV relativeFrom="paragraph">
              <wp:posOffset>76835</wp:posOffset>
            </wp:positionV>
            <wp:extent cx="4572000" cy="2651760"/>
            <wp:effectExtent l="19050" t="0" r="19050" b="0"/>
            <wp:wrapTight wrapText="bothSides">
              <wp:wrapPolygon edited="0">
                <wp:start x="-90" y="0"/>
                <wp:lineTo x="-90" y="21569"/>
                <wp:lineTo x="21690" y="21569"/>
                <wp:lineTo x="21690" y="0"/>
                <wp:lineTo x="-90" y="0"/>
              </wp:wrapPolygon>
            </wp:wrapTight>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B72AC2" w:rsidRPr="00B72AC2" w:rsidRDefault="00B72AC2" w:rsidP="00B72AC2">
      <w:pPr>
        <w:rPr>
          <w:rFonts w:asciiTheme="majorHAnsi" w:hAnsiTheme="majorHAnsi"/>
          <w:i/>
          <w:lang w:val="en-AU"/>
        </w:rPr>
      </w:pPr>
    </w:p>
    <w:p w:rsidR="001B3D38" w:rsidRDefault="00B72AC2" w:rsidP="00B72AC2">
      <w:pPr>
        <w:rPr>
          <w:rFonts w:asciiTheme="majorHAnsi" w:hAnsiTheme="majorHAnsi"/>
        </w:rPr>
      </w:pPr>
      <w:r w:rsidRPr="00B72AC2">
        <w:rPr>
          <w:rFonts w:asciiTheme="majorHAnsi" w:hAnsiTheme="majorHAnsi"/>
          <w:i/>
          <w:lang w:val="en-AU"/>
        </w:rPr>
        <w:t xml:space="preserve">Figure 1:   The ASHRAE </w:t>
      </w:r>
      <w:r w:rsidRPr="00463A21">
        <w:rPr>
          <w:rFonts w:asciiTheme="majorHAnsi" w:hAnsiTheme="majorHAnsi"/>
          <w:i/>
          <w:lang w:val="en-AU"/>
        </w:rPr>
        <w:t>2010</w:t>
      </w:r>
      <w:r w:rsidRPr="00B72AC2">
        <w:rPr>
          <w:rFonts w:asciiTheme="majorHAnsi" w:hAnsiTheme="majorHAnsi"/>
          <w:i/>
          <w:lang w:val="en-AU"/>
        </w:rPr>
        <w:t xml:space="preserve"> adaptive comfort standard in naturally ventilated spaces as a function of prevailing outdoor temperature.  t</w:t>
      </w:r>
      <w:r w:rsidRPr="00B72AC2">
        <w:rPr>
          <w:rFonts w:asciiTheme="majorHAnsi" w:hAnsiTheme="majorHAnsi"/>
          <w:i/>
          <w:vertAlign w:val="subscript"/>
          <w:lang w:val="en-AU"/>
        </w:rPr>
        <w:t>a(out)</w:t>
      </w:r>
      <w:r w:rsidRPr="00B72AC2">
        <w:rPr>
          <w:rFonts w:asciiTheme="majorHAnsi" w:hAnsiTheme="majorHAnsi"/>
          <w:i/>
          <w:lang w:val="en-AU"/>
        </w:rPr>
        <w:t xml:space="preserve">  is simply an arithmetic average of the mean monthly minimum and maximum daily air temperatures for the month in question</w:t>
      </w:r>
      <w:r w:rsidRPr="00B72AC2">
        <w:rPr>
          <w:rFonts w:asciiTheme="majorHAnsi" w:hAnsiTheme="majorHAnsi"/>
          <w:lang w:val="en-AU"/>
        </w:rPr>
        <w:t>.</w:t>
      </w:r>
    </w:p>
    <w:p w:rsidR="00CA1895" w:rsidRDefault="00CA1895">
      <w:pPr>
        <w:rPr>
          <w:rFonts w:asciiTheme="majorHAnsi" w:hAnsiTheme="majorHAnsi"/>
        </w:rPr>
      </w:pPr>
    </w:p>
    <w:p w:rsidR="007D51C0" w:rsidRPr="000F7CF4" w:rsidRDefault="007D51C0" w:rsidP="007D51C0">
      <w:pPr>
        <w:widowControl w:val="0"/>
        <w:autoSpaceDE w:val="0"/>
        <w:autoSpaceDN w:val="0"/>
        <w:adjustRightInd w:val="0"/>
        <w:ind w:right="4"/>
        <w:rPr>
          <w:rFonts w:asciiTheme="majorHAnsi" w:hAnsiTheme="majorHAnsi"/>
        </w:rPr>
      </w:pPr>
      <w:r w:rsidRPr="000F7CF4">
        <w:rPr>
          <w:rFonts w:asciiTheme="majorHAnsi" w:hAnsiTheme="majorHAnsi"/>
          <w:b/>
          <w:u w:val="single"/>
        </w:rPr>
        <w:t>Elevated air speed</w:t>
      </w:r>
      <w:r w:rsidRPr="000F7CF4">
        <w:rPr>
          <w:rFonts w:asciiTheme="majorHAnsi" w:hAnsiTheme="majorHAnsi"/>
        </w:rPr>
        <w:t>.  The ASHRAE Committee that manages Standard 55 has recently approved additions for consideration during public review, which would allow increases in the acceptable maximum indoor temperature when there is elevated air speed.  This new addition would be analogous to the recent addition of allowances for elevated air speed in the more traditional sections of the standard (section 5.2.3.).   This proposed addition is being included here for consideration in the Kuykendall Architectural Design Program.</w:t>
      </w:r>
    </w:p>
    <w:p w:rsidR="007D51C0" w:rsidRPr="000F7CF4" w:rsidRDefault="007D51C0" w:rsidP="007D51C0">
      <w:pPr>
        <w:widowControl w:val="0"/>
        <w:autoSpaceDE w:val="0"/>
        <w:autoSpaceDN w:val="0"/>
        <w:adjustRightInd w:val="0"/>
        <w:ind w:right="4"/>
        <w:rPr>
          <w:rFonts w:asciiTheme="majorHAnsi" w:hAnsiTheme="majorHAnsi"/>
        </w:rPr>
      </w:pPr>
    </w:p>
    <w:p w:rsidR="007D51C0" w:rsidRPr="000F7CF4" w:rsidRDefault="007D51C0" w:rsidP="007D51C0">
      <w:pPr>
        <w:widowControl w:val="0"/>
        <w:autoSpaceDE w:val="0"/>
        <w:autoSpaceDN w:val="0"/>
        <w:adjustRightInd w:val="0"/>
        <w:ind w:right="4"/>
        <w:rPr>
          <w:rFonts w:asciiTheme="majorHAnsi" w:hAnsiTheme="majorHAnsi" w:cs="Helvetica-Bold"/>
          <w:bCs/>
        </w:rPr>
      </w:pPr>
      <w:r w:rsidRPr="000F7CF4">
        <w:rPr>
          <w:rFonts w:asciiTheme="majorHAnsi" w:hAnsiTheme="majorHAnsi"/>
        </w:rPr>
        <w:t>Figure 1 above includes the effects of people’s indoor air speed adaptation in warm climates, up to 0.3 m/s (59 fpm) in operative temperatures warmer than 25°C (77 °F).  In naturally conditioned spaces where mean air speeds within the occupied zone exceed 0.3 m/s (59 fpm)</w:t>
      </w:r>
      <w:r w:rsidRPr="000F7CF4">
        <w:rPr>
          <w:rFonts w:asciiTheme="majorHAnsi" w:hAnsiTheme="majorHAnsi"/>
          <w:i/>
        </w:rPr>
        <w:t>,</w:t>
      </w:r>
      <w:r w:rsidRPr="000F7CF4">
        <w:rPr>
          <w:rFonts w:asciiTheme="majorHAnsi" w:hAnsiTheme="majorHAnsi"/>
        </w:rPr>
        <w:t xml:space="preserve"> the upper acceptability temperature limits in Figure 1 can be increased by the corresponding </w:t>
      </w:r>
      <w:r w:rsidRPr="000F7CF4">
        <w:rPr>
          <w:rFonts w:asciiTheme="majorHAnsi" w:hAnsiTheme="majorHAnsi"/>
          <w:i/>
        </w:rPr>
        <w:t>t</w:t>
      </w:r>
      <w:r w:rsidRPr="000F7CF4">
        <w:rPr>
          <w:rFonts w:asciiTheme="majorHAnsi" w:hAnsiTheme="majorHAnsi"/>
          <w:i/>
          <w:vertAlign w:val="subscript"/>
        </w:rPr>
        <w:t>o</w:t>
      </w:r>
      <w:r w:rsidRPr="000F7CF4">
        <w:rPr>
          <w:rFonts w:asciiTheme="majorHAnsi" w:hAnsiTheme="majorHAnsi"/>
        </w:rPr>
        <w:t xml:space="preserve"> in Table 1 below.  These were calculated based on equal Standard Effective Temperature (SET) values as described in Section </w:t>
      </w:r>
      <w:r w:rsidRPr="000F7CF4">
        <w:rPr>
          <w:rFonts w:asciiTheme="majorHAnsi" w:hAnsiTheme="majorHAnsi"/>
          <w:bCs/>
        </w:rPr>
        <w:t>5.2.3.2 of Standard 55-2010</w:t>
      </w:r>
      <w:r w:rsidRPr="000F7CF4">
        <w:rPr>
          <w:rFonts w:asciiTheme="majorHAnsi" w:hAnsiTheme="majorHAnsi"/>
        </w:rPr>
        <w:t xml:space="preserve">.   For example, increasing mean air speed within the occupied zone from 0.3 m/s (59 fpm) to 0.6 m/s (118 fpm) increases the upper acceptable temperature limits in Figure 1 by a </w:t>
      </w:r>
      <w:r w:rsidRPr="000F7CF4">
        <w:rPr>
          <w:rFonts w:asciiTheme="majorHAnsi" w:hAnsiTheme="majorHAnsi"/>
          <w:i/>
        </w:rPr>
        <w:t>t</w:t>
      </w:r>
      <w:r w:rsidRPr="000F7CF4">
        <w:rPr>
          <w:rFonts w:asciiTheme="majorHAnsi" w:hAnsiTheme="majorHAnsi"/>
          <w:i/>
          <w:vertAlign w:val="subscript"/>
        </w:rPr>
        <w:t>o</w:t>
      </w:r>
      <w:r w:rsidRPr="000F7CF4">
        <w:rPr>
          <w:rFonts w:asciiTheme="majorHAnsi" w:hAnsiTheme="majorHAnsi"/>
        </w:rPr>
        <w:t xml:space="preserve"> of 1.2°C (2.2°F). </w:t>
      </w:r>
      <w:r w:rsidRPr="000F7CF4">
        <w:rPr>
          <w:rFonts w:asciiTheme="majorHAnsi" w:hAnsiTheme="majorHAnsi" w:cs="TimesNewRomanPSMT"/>
        </w:rPr>
        <w:t xml:space="preserve">These adjustments to the upper acceptability temperature limits apply only at </w:t>
      </w:r>
      <w:r w:rsidRPr="000F7CF4">
        <w:rPr>
          <w:rFonts w:asciiTheme="majorHAnsi" w:hAnsiTheme="majorHAnsi"/>
        </w:rPr>
        <w:t>t</w:t>
      </w:r>
      <w:r w:rsidRPr="000F7CF4">
        <w:rPr>
          <w:rFonts w:asciiTheme="majorHAnsi" w:hAnsiTheme="majorHAnsi"/>
          <w:vertAlign w:val="subscript"/>
        </w:rPr>
        <w:t>o</w:t>
      </w:r>
      <w:r w:rsidRPr="000F7CF4">
        <w:rPr>
          <w:rFonts w:asciiTheme="majorHAnsi" w:hAnsiTheme="majorHAnsi" w:cs="TimesNewRomanPSMT"/>
        </w:rPr>
        <w:t xml:space="preserve"> &gt; </w:t>
      </w:r>
      <w:r w:rsidRPr="000F7CF4">
        <w:rPr>
          <w:rFonts w:asciiTheme="majorHAnsi" w:hAnsiTheme="majorHAnsi" w:cs="Helvetica-Bold"/>
          <w:bCs/>
        </w:rPr>
        <w:t xml:space="preserve">25°C (77 °F) </w:t>
      </w:r>
      <w:r w:rsidRPr="000F7CF4">
        <w:rPr>
          <w:rFonts w:asciiTheme="majorHAnsi" w:hAnsiTheme="majorHAnsi" w:cs="TimesNewRomanPSMT"/>
        </w:rPr>
        <w:t>in which the occupants are engaged in near sedentary physical activity (with metabolic rates between 1.0 met and 1.3met).</w:t>
      </w:r>
    </w:p>
    <w:p w:rsidR="007D51C0" w:rsidRPr="00CB5294" w:rsidRDefault="007D51C0" w:rsidP="007D51C0">
      <w:pPr>
        <w:autoSpaceDE w:val="0"/>
        <w:autoSpaceDN w:val="0"/>
        <w:adjustRightInd w:val="0"/>
      </w:pPr>
    </w:p>
    <w:p w:rsidR="007D51C0" w:rsidRPr="0077172A" w:rsidRDefault="007D51C0" w:rsidP="007D51C0">
      <w:pPr>
        <w:autoSpaceDE w:val="0"/>
        <w:autoSpaceDN w:val="0"/>
        <w:adjustRightInd w:val="0"/>
        <w:rPr>
          <w:b/>
          <w:sz w:val="22"/>
          <w:szCs w:val="22"/>
        </w:rPr>
      </w:pPr>
    </w:p>
    <w:p w:rsidR="007D51C0" w:rsidRPr="0077172A" w:rsidRDefault="007D51C0" w:rsidP="007D51C0">
      <w:pPr>
        <w:autoSpaceDE w:val="0"/>
        <w:autoSpaceDN w:val="0"/>
        <w:adjustRightInd w:val="0"/>
        <w:jc w:val="center"/>
        <w:rPr>
          <w:b/>
          <w:bCs/>
          <w:sz w:val="22"/>
          <w:szCs w:val="22"/>
        </w:rPr>
      </w:pPr>
      <w:r w:rsidRPr="0077172A">
        <w:rPr>
          <w:b/>
          <w:bCs/>
          <w:sz w:val="22"/>
          <w:szCs w:val="22"/>
        </w:rPr>
        <w:t xml:space="preserve">TABLE </w:t>
      </w:r>
      <w:r>
        <w:rPr>
          <w:b/>
          <w:bCs/>
          <w:sz w:val="22"/>
          <w:szCs w:val="22"/>
        </w:rPr>
        <w:t>1</w:t>
      </w:r>
    </w:p>
    <w:p w:rsidR="007D51C0" w:rsidRPr="0077172A" w:rsidRDefault="007D51C0" w:rsidP="007D51C0">
      <w:pPr>
        <w:autoSpaceDE w:val="0"/>
        <w:autoSpaceDN w:val="0"/>
        <w:adjustRightInd w:val="0"/>
        <w:jc w:val="center"/>
        <w:rPr>
          <w:sz w:val="22"/>
          <w:szCs w:val="22"/>
        </w:rPr>
      </w:pPr>
      <w:r w:rsidRPr="0077172A">
        <w:rPr>
          <w:b/>
          <w:bCs/>
          <w:sz w:val="22"/>
          <w:szCs w:val="22"/>
        </w:rPr>
        <w:t xml:space="preserve">Increases in Acceptable Operative Temperature Limits </w:t>
      </w:r>
      <w:r w:rsidRPr="0077172A">
        <w:rPr>
          <w:b/>
          <w:sz w:val="22"/>
          <w:szCs w:val="22"/>
        </w:rPr>
        <w:t>(</w:t>
      </w:r>
      <w:r w:rsidRPr="0077172A">
        <w:rPr>
          <w:rFonts w:ascii="Symbol" w:hAnsi="Symbol"/>
          <w:b/>
          <w:i/>
          <w:sz w:val="22"/>
          <w:szCs w:val="22"/>
        </w:rPr>
        <w:t></w:t>
      </w:r>
      <w:r w:rsidRPr="0077172A">
        <w:rPr>
          <w:b/>
          <w:i/>
          <w:sz w:val="22"/>
          <w:szCs w:val="22"/>
        </w:rPr>
        <w:t>t</w:t>
      </w:r>
      <w:r w:rsidRPr="0077172A">
        <w:rPr>
          <w:b/>
          <w:i/>
          <w:sz w:val="22"/>
          <w:szCs w:val="22"/>
          <w:vertAlign w:val="subscript"/>
        </w:rPr>
        <w:t>o</w:t>
      </w:r>
      <w:r w:rsidRPr="0077172A">
        <w:rPr>
          <w:b/>
          <w:sz w:val="22"/>
          <w:szCs w:val="22"/>
        </w:rPr>
        <w:t xml:space="preserve">) </w:t>
      </w:r>
      <w:r w:rsidRPr="0077172A">
        <w:rPr>
          <w:b/>
          <w:bCs/>
          <w:sz w:val="22"/>
          <w:szCs w:val="22"/>
        </w:rPr>
        <w:t>in the Adaptive Comfort Standard (Figure 5.3) Resulting from Increasing Mean Air Speed Above 0.3 m/s (59 fpm)</w:t>
      </w:r>
      <w:r w:rsidRPr="0077172A">
        <w:rPr>
          <w:b/>
          <w:sz w:val="22"/>
          <w:szCs w:val="22"/>
        </w:rPr>
        <w:t xml:space="preserve">. </w:t>
      </w:r>
      <w:r w:rsidRPr="0077172A">
        <w:rPr>
          <w:sz w:val="22"/>
          <w:szCs w:val="22"/>
        </w:rPr>
        <w:t xml:space="preserve"> </w:t>
      </w:r>
    </w:p>
    <w:p w:rsidR="007D51C0" w:rsidRPr="0077172A" w:rsidRDefault="007D51C0" w:rsidP="007D51C0">
      <w:pPr>
        <w:autoSpaceDE w:val="0"/>
        <w:autoSpaceDN w:val="0"/>
        <w:adjustRightInd w:val="0"/>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7"/>
        <w:gridCol w:w="1798"/>
        <w:gridCol w:w="1915"/>
      </w:tblGrid>
      <w:tr w:rsidR="007D51C0" w:rsidRPr="0077172A">
        <w:trPr>
          <w:jc w:val="center"/>
        </w:trPr>
        <w:tc>
          <w:tcPr>
            <w:tcW w:w="1917" w:type="dxa"/>
          </w:tcPr>
          <w:p w:rsidR="007D51C0" w:rsidRPr="0077172A" w:rsidRDefault="007D51C0" w:rsidP="007D51C0">
            <w:pPr>
              <w:autoSpaceDE w:val="0"/>
              <w:autoSpaceDN w:val="0"/>
              <w:adjustRightInd w:val="0"/>
              <w:jc w:val="center"/>
              <w:rPr>
                <w:sz w:val="22"/>
                <w:szCs w:val="22"/>
              </w:rPr>
            </w:pPr>
            <w:r w:rsidRPr="0077172A">
              <w:rPr>
                <w:b/>
                <w:bCs/>
                <w:sz w:val="22"/>
                <w:szCs w:val="22"/>
              </w:rPr>
              <w:t xml:space="preserve">Mean Air Speed = 0.6 m/s </w:t>
            </w:r>
          </w:p>
        </w:tc>
        <w:tc>
          <w:tcPr>
            <w:tcW w:w="1798" w:type="dxa"/>
          </w:tcPr>
          <w:p w:rsidR="007D51C0" w:rsidRPr="0077172A" w:rsidRDefault="007D51C0" w:rsidP="007D51C0">
            <w:pPr>
              <w:autoSpaceDE w:val="0"/>
              <w:autoSpaceDN w:val="0"/>
              <w:adjustRightInd w:val="0"/>
              <w:jc w:val="center"/>
              <w:rPr>
                <w:sz w:val="22"/>
                <w:szCs w:val="22"/>
              </w:rPr>
            </w:pPr>
            <w:r w:rsidRPr="0077172A">
              <w:rPr>
                <w:b/>
                <w:bCs/>
                <w:sz w:val="22"/>
                <w:szCs w:val="22"/>
              </w:rPr>
              <w:t>Mean Air Speed = 0.9 m/s</w:t>
            </w:r>
          </w:p>
        </w:tc>
        <w:tc>
          <w:tcPr>
            <w:tcW w:w="1915" w:type="dxa"/>
          </w:tcPr>
          <w:p w:rsidR="007D51C0" w:rsidRPr="0077172A" w:rsidRDefault="007D51C0" w:rsidP="007D51C0">
            <w:pPr>
              <w:autoSpaceDE w:val="0"/>
              <w:autoSpaceDN w:val="0"/>
              <w:adjustRightInd w:val="0"/>
              <w:jc w:val="center"/>
              <w:rPr>
                <w:sz w:val="22"/>
                <w:szCs w:val="22"/>
              </w:rPr>
            </w:pPr>
            <w:r w:rsidRPr="0077172A">
              <w:rPr>
                <w:b/>
                <w:bCs/>
                <w:sz w:val="22"/>
                <w:szCs w:val="22"/>
              </w:rPr>
              <w:t>Mean Air Speed = 1.2 m/s</w:t>
            </w:r>
          </w:p>
        </w:tc>
      </w:tr>
      <w:tr w:rsidR="007D51C0" w:rsidRPr="0077172A">
        <w:trPr>
          <w:jc w:val="center"/>
        </w:trPr>
        <w:tc>
          <w:tcPr>
            <w:tcW w:w="1917" w:type="dxa"/>
            <w:vAlign w:val="center"/>
          </w:tcPr>
          <w:p w:rsidR="007D51C0" w:rsidRPr="0077172A" w:rsidRDefault="007D51C0" w:rsidP="007D51C0">
            <w:pPr>
              <w:autoSpaceDE w:val="0"/>
              <w:autoSpaceDN w:val="0"/>
              <w:adjustRightInd w:val="0"/>
              <w:ind w:left="-175" w:firstLine="175"/>
              <w:jc w:val="center"/>
              <w:rPr>
                <w:sz w:val="22"/>
                <w:szCs w:val="22"/>
              </w:rPr>
            </w:pPr>
            <w:r w:rsidRPr="0077172A">
              <w:rPr>
                <w:sz w:val="22"/>
                <w:szCs w:val="22"/>
              </w:rPr>
              <w:t>1.2°C (2.2</w:t>
            </w:r>
            <w:r w:rsidRPr="0077172A">
              <w:rPr>
                <w:sz w:val="22"/>
              </w:rPr>
              <w:t>°</w:t>
            </w:r>
            <w:r w:rsidRPr="0077172A">
              <w:rPr>
                <w:sz w:val="22"/>
                <w:szCs w:val="22"/>
              </w:rPr>
              <w:t>F)</w:t>
            </w:r>
          </w:p>
        </w:tc>
        <w:tc>
          <w:tcPr>
            <w:tcW w:w="1798" w:type="dxa"/>
            <w:vAlign w:val="center"/>
          </w:tcPr>
          <w:p w:rsidR="007D51C0" w:rsidRPr="0077172A" w:rsidRDefault="007D51C0" w:rsidP="007D51C0">
            <w:pPr>
              <w:autoSpaceDE w:val="0"/>
              <w:autoSpaceDN w:val="0"/>
              <w:adjustRightInd w:val="0"/>
              <w:jc w:val="center"/>
              <w:rPr>
                <w:sz w:val="22"/>
                <w:szCs w:val="22"/>
              </w:rPr>
            </w:pPr>
            <w:r w:rsidRPr="0077172A">
              <w:rPr>
                <w:sz w:val="22"/>
                <w:szCs w:val="22"/>
              </w:rPr>
              <w:t>1.8°C (3.2</w:t>
            </w:r>
            <w:r w:rsidRPr="0077172A">
              <w:rPr>
                <w:sz w:val="22"/>
              </w:rPr>
              <w:t>°</w:t>
            </w:r>
            <w:r w:rsidRPr="0077172A">
              <w:rPr>
                <w:sz w:val="22"/>
                <w:szCs w:val="22"/>
              </w:rPr>
              <w:t>F)</w:t>
            </w:r>
          </w:p>
        </w:tc>
        <w:tc>
          <w:tcPr>
            <w:tcW w:w="1915" w:type="dxa"/>
            <w:vAlign w:val="center"/>
          </w:tcPr>
          <w:p w:rsidR="007D51C0" w:rsidRPr="0077172A" w:rsidRDefault="007D51C0" w:rsidP="007D51C0">
            <w:pPr>
              <w:autoSpaceDE w:val="0"/>
              <w:autoSpaceDN w:val="0"/>
              <w:adjustRightInd w:val="0"/>
              <w:jc w:val="center"/>
              <w:rPr>
                <w:sz w:val="22"/>
                <w:szCs w:val="22"/>
              </w:rPr>
            </w:pPr>
            <w:r w:rsidRPr="0077172A">
              <w:rPr>
                <w:sz w:val="22"/>
                <w:szCs w:val="22"/>
              </w:rPr>
              <w:t>2.2°C (4.0</w:t>
            </w:r>
            <w:r w:rsidRPr="0077172A">
              <w:rPr>
                <w:sz w:val="22"/>
              </w:rPr>
              <w:t>°</w:t>
            </w:r>
            <w:r w:rsidRPr="0077172A">
              <w:rPr>
                <w:sz w:val="22"/>
                <w:szCs w:val="22"/>
              </w:rPr>
              <w:t>F)</w:t>
            </w:r>
          </w:p>
        </w:tc>
      </w:tr>
    </w:tbl>
    <w:p w:rsidR="007D51C0" w:rsidRPr="0077172A" w:rsidRDefault="007D51C0" w:rsidP="007D51C0">
      <w:pPr>
        <w:autoSpaceDE w:val="0"/>
        <w:autoSpaceDN w:val="0"/>
        <w:adjustRightInd w:val="0"/>
        <w:rPr>
          <w:sz w:val="22"/>
          <w:szCs w:val="22"/>
        </w:rPr>
      </w:pPr>
    </w:p>
    <w:p w:rsidR="007D51C0" w:rsidRDefault="007D51C0">
      <w:pPr>
        <w:rPr>
          <w:rFonts w:asciiTheme="majorHAnsi" w:hAnsiTheme="majorHAnsi"/>
        </w:rPr>
      </w:pPr>
    </w:p>
    <w:p w:rsidR="003067FC" w:rsidRDefault="00CB5294">
      <w:pPr>
        <w:autoSpaceDE w:val="0"/>
        <w:autoSpaceDN w:val="0"/>
        <w:adjustRightInd w:val="0"/>
        <w:rPr>
          <w:rFonts w:asciiTheme="majorHAnsi" w:hAnsiTheme="majorHAnsi" w:cs="Times New Roman"/>
        </w:rPr>
      </w:pPr>
      <w:r>
        <w:rPr>
          <w:rFonts w:asciiTheme="majorHAnsi" w:hAnsiTheme="majorHAnsi"/>
          <w:b/>
          <w:u w:val="single"/>
          <w:lang w:val="en-AU"/>
        </w:rPr>
        <w:t>Impact of outdoor humidity</w:t>
      </w:r>
      <w:r w:rsidR="00F158A1">
        <w:rPr>
          <w:rFonts w:asciiTheme="majorHAnsi" w:hAnsiTheme="majorHAnsi"/>
          <w:b/>
          <w:u w:val="single"/>
          <w:lang w:val="en-AU"/>
        </w:rPr>
        <w:t xml:space="preserve">. </w:t>
      </w:r>
      <w:r w:rsidR="00F158A1" w:rsidRPr="00CB5294">
        <w:rPr>
          <w:rFonts w:asciiTheme="majorHAnsi" w:hAnsiTheme="majorHAnsi"/>
          <w:lang w:val="en-AU"/>
        </w:rPr>
        <w:t xml:space="preserve">.  The outdoor temperature driving ASHRAE’s </w:t>
      </w:r>
      <w:r w:rsidR="00F158A1">
        <w:rPr>
          <w:rFonts w:asciiTheme="majorHAnsi" w:hAnsiTheme="majorHAnsi"/>
          <w:lang w:val="en-AU"/>
        </w:rPr>
        <w:t xml:space="preserve">adaptive </w:t>
      </w:r>
      <w:r w:rsidR="00F158A1" w:rsidRPr="00CB5294">
        <w:rPr>
          <w:rFonts w:asciiTheme="majorHAnsi" w:hAnsiTheme="majorHAnsi"/>
          <w:lang w:val="en-AU"/>
        </w:rPr>
        <w:t>comfort zone (</w:t>
      </w:r>
      <w:r w:rsidR="00F158A1" w:rsidRPr="00CB5294">
        <w:rPr>
          <w:rFonts w:asciiTheme="majorHAnsi" w:hAnsiTheme="majorHAnsi"/>
          <w:i/>
          <w:lang w:val="en-AU"/>
        </w:rPr>
        <w:t>t</w:t>
      </w:r>
      <w:r w:rsidR="00F158A1" w:rsidRPr="00CB5294">
        <w:rPr>
          <w:rFonts w:asciiTheme="majorHAnsi" w:hAnsiTheme="majorHAnsi"/>
          <w:i/>
          <w:vertAlign w:val="subscript"/>
          <w:lang w:val="en-AU"/>
        </w:rPr>
        <w:t>a(out)</w:t>
      </w:r>
      <w:r w:rsidR="00F158A1" w:rsidRPr="00CB5294">
        <w:rPr>
          <w:rFonts w:asciiTheme="majorHAnsi" w:hAnsiTheme="majorHAnsi"/>
          <w:lang w:val="en-AU"/>
        </w:rPr>
        <w:t xml:space="preserve">) was defined pragmatically </w:t>
      </w:r>
      <w:r w:rsidR="00F158A1">
        <w:rPr>
          <w:rFonts w:asciiTheme="majorHAnsi" w:hAnsiTheme="majorHAnsi"/>
          <w:lang w:val="en-AU"/>
        </w:rPr>
        <w:t xml:space="preserve">in Figure 1 </w:t>
      </w:r>
      <w:r w:rsidR="00F158A1" w:rsidRPr="00CB5294">
        <w:rPr>
          <w:rFonts w:asciiTheme="majorHAnsi" w:hAnsiTheme="majorHAnsi"/>
          <w:lang w:val="en-AU"/>
        </w:rPr>
        <w:t xml:space="preserve">as the mean monthly dry-bulb temperature simply because those climatic data are readily available for virtually every site across the globe.  </w:t>
      </w:r>
      <w:r w:rsidRPr="00143EBC">
        <w:rPr>
          <w:rFonts w:asciiTheme="majorHAnsi" w:hAnsiTheme="majorHAnsi"/>
          <w:lang w:val="en-AU"/>
        </w:rPr>
        <w:t xml:space="preserve">However, in the original ASHRAE research project (RP-884) </w:t>
      </w:r>
      <w:r w:rsidR="000F7CF4" w:rsidRPr="00143EBC">
        <w:rPr>
          <w:rFonts w:asciiTheme="majorHAnsi" w:hAnsiTheme="majorHAnsi"/>
          <w:lang w:val="en-AU"/>
        </w:rPr>
        <w:t xml:space="preserve">that </w:t>
      </w:r>
      <w:r w:rsidRPr="00143EBC">
        <w:rPr>
          <w:rFonts w:asciiTheme="majorHAnsi" w:hAnsiTheme="majorHAnsi"/>
          <w:lang w:val="en-AU"/>
        </w:rPr>
        <w:t>led to the development the adaptive comfort</w:t>
      </w:r>
      <w:r w:rsidR="000F7CF4" w:rsidRPr="00143EBC">
        <w:rPr>
          <w:rFonts w:asciiTheme="majorHAnsi" w:hAnsiTheme="majorHAnsi"/>
          <w:lang w:val="en-AU"/>
        </w:rPr>
        <w:t xml:space="preserve"> standard, mean outdoor effective temperature, ET*, </w:t>
      </w:r>
      <w:r w:rsidR="005D7BC9">
        <w:rPr>
          <w:rFonts w:asciiTheme="majorHAnsi" w:hAnsiTheme="majorHAnsi"/>
          <w:lang w:val="en-AU"/>
        </w:rPr>
        <w:t xml:space="preserve">was used as the driving function (de Dear and Brager 1998).  ET*is defined as </w:t>
      </w:r>
      <w:r w:rsidR="005D7BC9" w:rsidRPr="005D7BC9">
        <w:rPr>
          <w:rFonts w:asciiTheme="majorHAnsi" w:hAnsiTheme="majorHAnsi" w:cs="Times New Roman"/>
        </w:rPr>
        <w:t>the temperature at 50% relative humidity which would cause the same sensible plus latent heat exchange from a person as would the actual environment. This combines temperature and humidity into a single index, so two environments with the same ET* should provide the same thermal response even though they have different temperatures and humidities, as long as they have the same air velocities.  RP-884 developed a linear regression model for adaptive comfort limits, similar to that shown in Figure 1, but with mean outdoor ET* on the x-axis.  In the original model, the optimum indoor operative temperature is given as follows:</w:t>
      </w:r>
    </w:p>
    <w:p w:rsidR="003067FC" w:rsidRDefault="003067FC">
      <w:pPr>
        <w:autoSpaceDE w:val="0"/>
        <w:autoSpaceDN w:val="0"/>
        <w:adjustRightInd w:val="0"/>
        <w:rPr>
          <w:rFonts w:asciiTheme="majorHAnsi" w:hAnsiTheme="majorHAnsi" w:cs="Times New Roman"/>
        </w:rPr>
      </w:pPr>
    </w:p>
    <w:p w:rsidR="003067FC" w:rsidRDefault="005D7BC9">
      <w:pPr>
        <w:autoSpaceDE w:val="0"/>
        <w:autoSpaceDN w:val="0"/>
        <w:adjustRightInd w:val="0"/>
        <w:ind w:left="720"/>
        <w:rPr>
          <w:rFonts w:asciiTheme="majorHAnsi" w:hAnsiTheme="majorHAnsi" w:cs="Arial"/>
        </w:rPr>
      </w:pPr>
      <w:r w:rsidRPr="005D7BC9">
        <w:rPr>
          <w:rFonts w:asciiTheme="majorHAnsi" w:hAnsiTheme="majorHAnsi" w:cs="Arial"/>
        </w:rPr>
        <w:t>optimum indoor temperature = 18.9</w:t>
      </w:r>
      <w:r w:rsidR="00143EBC">
        <w:rPr>
          <w:rFonts w:asciiTheme="majorHAnsi" w:hAnsiTheme="majorHAnsi" w:cs="Arial"/>
        </w:rPr>
        <w:t>°C</w:t>
      </w:r>
      <w:r w:rsidRPr="005D7BC9">
        <w:rPr>
          <w:rFonts w:asciiTheme="majorHAnsi" w:hAnsiTheme="majorHAnsi" w:cs="Arial"/>
        </w:rPr>
        <w:t xml:space="preserve"> + 0.255 * (outdoor mean </w:t>
      </w:r>
      <w:r w:rsidRPr="005D7BC9">
        <w:rPr>
          <w:rFonts w:asciiTheme="majorHAnsi" w:hAnsiTheme="majorHAnsi" w:cs="Arial"/>
          <w:i/>
          <w:iCs/>
        </w:rPr>
        <w:t>ET*</w:t>
      </w:r>
      <w:r w:rsidRPr="005D7BC9">
        <w:rPr>
          <w:rFonts w:asciiTheme="majorHAnsi" w:hAnsiTheme="majorHAnsi" w:cs="Arial"/>
        </w:rPr>
        <w:t>)</w:t>
      </w:r>
    </w:p>
    <w:p w:rsidR="003067FC" w:rsidRDefault="003067FC">
      <w:pPr>
        <w:autoSpaceDE w:val="0"/>
        <w:autoSpaceDN w:val="0"/>
        <w:adjustRightInd w:val="0"/>
        <w:rPr>
          <w:rFonts w:asciiTheme="majorHAnsi" w:hAnsiTheme="majorHAnsi" w:cs="Times New Roman"/>
        </w:rPr>
      </w:pPr>
    </w:p>
    <w:p w:rsidR="003067FC" w:rsidRDefault="005D7BC9">
      <w:pPr>
        <w:autoSpaceDE w:val="0"/>
        <w:autoSpaceDN w:val="0"/>
        <w:adjustRightInd w:val="0"/>
        <w:rPr>
          <w:rFonts w:asciiTheme="majorHAnsi" w:hAnsiTheme="majorHAnsi"/>
          <w:lang w:val="en-AU"/>
        </w:rPr>
      </w:pPr>
      <w:r w:rsidRPr="005D7BC9">
        <w:rPr>
          <w:rFonts w:asciiTheme="majorHAnsi" w:hAnsiTheme="majorHAnsi"/>
          <w:lang w:val="en-AU"/>
        </w:rPr>
        <w:t>Acceptable temperature ranges around the optimum in naturally ventilated buildings were</w:t>
      </w:r>
      <w:r w:rsidR="00143EBC">
        <w:rPr>
          <w:rFonts w:asciiTheme="majorHAnsi" w:hAnsiTheme="majorHAnsi"/>
          <w:lang w:val="en-AU"/>
        </w:rPr>
        <w:t xml:space="preserve"> </w:t>
      </w:r>
      <w:r w:rsidRPr="005D7BC9">
        <w:rPr>
          <w:rFonts w:asciiTheme="majorHAnsi" w:hAnsiTheme="majorHAnsi"/>
          <w:lang w:val="en-AU"/>
        </w:rPr>
        <w:t>specified as ±3.5</w:t>
      </w:r>
      <w:r w:rsidR="00143EBC">
        <w:rPr>
          <w:rFonts w:asciiTheme="majorHAnsi" w:hAnsiTheme="majorHAnsi"/>
          <w:lang w:val="en-AU"/>
        </w:rPr>
        <w:t>°C</w:t>
      </w:r>
      <w:r w:rsidRPr="005D7BC9">
        <w:rPr>
          <w:rFonts w:asciiTheme="majorHAnsi" w:hAnsiTheme="majorHAnsi"/>
          <w:lang w:val="en-AU"/>
        </w:rPr>
        <w:t xml:space="preserve"> for 80% general acceptability and ±2.5</w:t>
      </w:r>
      <w:r w:rsidR="00143EBC">
        <w:rPr>
          <w:rFonts w:asciiTheme="majorHAnsi" w:hAnsiTheme="majorHAnsi"/>
          <w:lang w:val="en-AU"/>
        </w:rPr>
        <w:t>°C</w:t>
      </w:r>
      <w:r w:rsidRPr="005D7BC9">
        <w:rPr>
          <w:rFonts w:asciiTheme="majorHAnsi" w:hAnsiTheme="majorHAnsi"/>
          <w:lang w:val="en-AU"/>
        </w:rPr>
        <w:t xml:space="preserve"> for 90% general acceptability</w:t>
      </w:r>
      <w:r w:rsidR="00143EBC">
        <w:rPr>
          <w:rFonts w:asciiTheme="majorHAnsi" w:hAnsiTheme="majorHAnsi"/>
          <w:lang w:val="en-AU"/>
        </w:rPr>
        <w:t>, corresponding to the two acceptability deadbands shown in Figure 1</w:t>
      </w:r>
      <w:r w:rsidRPr="005D7BC9">
        <w:rPr>
          <w:rFonts w:asciiTheme="majorHAnsi" w:hAnsiTheme="majorHAnsi"/>
          <w:lang w:val="en-AU"/>
        </w:rPr>
        <w:t>.</w:t>
      </w:r>
      <w:r w:rsidR="00143EBC">
        <w:rPr>
          <w:rFonts w:asciiTheme="majorHAnsi" w:hAnsiTheme="majorHAnsi"/>
          <w:lang w:val="en-AU"/>
        </w:rPr>
        <w:t xml:space="preserve">  </w:t>
      </w:r>
      <w:r w:rsidR="00143EBC" w:rsidRPr="00143EBC">
        <w:rPr>
          <w:rFonts w:asciiTheme="majorHAnsi" w:hAnsiTheme="majorHAnsi"/>
        </w:rPr>
        <w:t>Daily</w:t>
      </w:r>
      <w:r w:rsidR="00143EBC">
        <w:rPr>
          <w:rFonts w:asciiTheme="majorHAnsi" w:hAnsiTheme="majorHAnsi"/>
        </w:rPr>
        <w:t xml:space="preserve"> </w:t>
      </w:r>
      <w:r w:rsidR="00BD3893">
        <w:rPr>
          <w:rFonts w:asciiTheme="majorHAnsi" w:hAnsiTheme="majorHAnsi"/>
        </w:rPr>
        <w:t xml:space="preserve">outdoor </w:t>
      </w:r>
      <w:r w:rsidR="00143EBC" w:rsidRPr="00143EBC">
        <w:rPr>
          <w:rFonts w:asciiTheme="majorHAnsi" w:hAnsiTheme="majorHAnsi"/>
        </w:rPr>
        <w:t>temperatures and relative humidities at 600 hours and 1500 hours were collected,</w:t>
      </w:r>
      <w:r w:rsidR="00143EBC">
        <w:rPr>
          <w:rFonts w:asciiTheme="majorHAnsi" w:hAnsiTheme="majorHAnsi"/>
        </w:rPr>
        <w:t xml:space="preserve"> </w:t>
      </w:r>
      <w:r w:rsidR="00143EBC" w:rsidRPr="00143EBC">
        <w:rPr>
          <w:rFonts w:asciiTheme="majorHAnsi" w:hAnsiTheme="majorHAnsi"/>
        </w:rPr>
        <w:t>and daily effective temperatures (</w:t>
      </w:r>
      <w:r w:rsidR="00143EBC" w:rsidRPr="00143EBC">
        <w:rPr>
          <w:rFonts w:asciiTheme="majorHAnsi" w:hAnsiTheme="majorHAnsi"/>
          <w:i/>
          <w:iCs/>
        </w:rPr>
        <w:t>ET*</w:t>
      </w:r>
      <w:r w:rsidR="00143EBC" w:rsidRPr="00143EBC">
        <w:rPr>
          <w:rFonts w:asciiTheme="majorHAnsi" w:hAnsiTheme="majorHAnsi"/>
        </w:rPr>
        <w:t xml:space="preserve">) for these times </w:t>
      </w:r>
      <w:r w:rsidR="00143EBC">
        <w:rPr>
          <w:rFonts w:asciiTheme="majorHAnsi" w:hAnsiTheme="majorHAnsi"/>
        </w:rPr>
        <w:t xml:space="preserve">were </w:t>
      </w:r>
      <w:r w:rsidR="00143EBC" w:rsidRPr="00143EBC">
        <w:rPr>
          <w:rFonts w:asciiTheme="majorHAnsi" w:hAnsiTheme="majorHAnsi"/>
        </w:rPr>
        <w:t xml:space="preserve">calculated with </w:t>
      </w:r>
      <w:r w:rsidR="00143EBC" w:rsidRPr="00143EBC">
        <w:rPr>
          <w:rFonts w:asciiTheme="majorHAnsi" w:hAnsiTheme="majorHAnsi"/>
          <w:i/>
          <w:iCs/>
        </w:rPr>
        <w:t>WinComf</w:t>
      </w:r>
      <w:r w:rsidR="00143EBC" w:rsidRPr="00143EBC">
        <w:rPr>
          <w:rFonts w:asciiTheme="majorHAnsi" w:hAnsiTheme="majorHAnsi"/>
        </w:rPr>
        <w:t>©</w:t>
      </w:r>
      <w:r w:rsidR="00143EBC">
        <w:rPr>
          <w:rFonts w:asciiTheme="majorHAnsi" w:hAnsiTheme="majorHAnsi"/>
        </w:rPr>
        <w:t xml:space="preserve"> (Fountain and Huizenga</w:t>
      </w:r>
      <w:r w:rsidR="00143EBC" w:rsidRPr="00143EBC">
        <w:rPr>
          <w:rFonts w:asciiTheme="majorHAnsi" w:hAnsiTheme="majorHAnsi"/>
        </w:rPr>
        <w:t xml:space="preserve"> 1996).</w:t>
      </w:r>
      <w:r w:rsidR="00143EBC">
        <w:rPr>
          <w:rFonts w:asciiTheme="majorHAnsi" w:hAnsiTheme="majorHAnsi"/>
        </w:rPr>
        <w:t xml:space="preserve">  If desired, this WinComf comfort tool can be made available to the UHM team to assist in calculation of ET* from available hourly weather data.</w:t>
      </w:r>
    </w:p>
    <w:p w:rsidR="003067FC" w:rsidRDefault="003067FC">
      <w:pPr>
        <w:autoSpaceDE w:val="0"/>
        <w:autoSpaceDN w:val="0"/>
        <w:adjustRightInd w:val="0"/>
        <w:rPr>
          <w:rFonts w:asciiTheme="majorHAnsi" w:hAnsiTheme="majorHAnsi"/>
          <w:lang w:val="en-AU"/>
        </w:rPr>
      </w:pPr>
    </w:p>
    <w:p w:rsidR="003067FC" w:rsidRDefault="00143EBC">
      <w:pPr>
        <w:autoSpaceDE w:val="0"/>
        <w:autoSpaceDN w:val="0"/>
        <w:adjustRightInd w:val="0"/>
        <w:rPr>
          <w:rFonts w:asciiTheme="majorHAnsi" w:hAnsiTheme="majorHAnsi"/>
          <w:lang w:val="en-AU"/>
        </w:rPr>
      </w:pPr>
      <w:r>
        <w:rPr>
          <w:rFonts w:asciiTheme="majorHAnsi" w:hAnsiTheme="majorHAnsi"/>
          <w:lang w:val="en-AU"/>
        </w:rPr>
        <w:t>In addition</w:t>
      </w:r>
      <w:r w:rsidR="00703642" w:rsidRPr="00CB5294">
        <w:rPr>
          <w:rFonts w:asciiTheme="majorHAnsi" w:hAnsiTheme="majorHAnsi"/>
          <w:lang w:val="en-AU"/>
        </w:rPr>
        <w:t>, recent research has led to the development of a more sophisticated method to analyze daily local climate data to provide a more representative driving function for the adaptive model comfort zone.  Further information on this and other criteria will be provided in a future amendment.</w:t>
      </w:r>
    </w:p>
    <w:p w:rsidR="00D861D5" w:rsidRDefault="00D861D5" w:rsidP="00D861D5">
      <w:pPr>
        <w:rPr>
          <w:rFonts w:asciiTheme="majorHAnsi" w:hAnsiTheme="majorHAnsi"/>
        </w:rPr>
      </w:pPr>
    </w:p>
    <w:p w:rsidR="00CA1895" w:rsidRPr="00463A21" w:rsidRDefault="00CA1895" w:rsidP="00463A21">
      <w:pPr>
        <w:pStyle w:val="ListParagraph"/>
        <w:numPr>
          <w:ilvl w:val="0"/>
          <w:numId w:val="1"/>
          <w:numberingChange w:id="1" w:author="Gail Brager" w:date="2011-02-17T15:53:00Z" w:original="%1:2:0:."/>
        </w:numPr>
        <w:rPr>
          <w:rFonts w:asciiTheme="majorHAnsi" w:hAnsiTheme="majorHAnsi"/>
          <w:u w:val="single"/>
        </w:rPr>
      </w:pPr>
      <w:r w:rsidRPr="00463A21">
        <w:rPr>
          <w:rFonts w:asciiTheme="majorHAnsi" w:hAnsiTheme="majorHAnsi"/>
          <w:u w:val="single"/>
        </w:rPr>
        <w:t>Spaces that are Cond</w:t>
      </w:r>
      <w:r w:rsidR="009023AD" w:rsidRPr="00463A21">
        <w:rPr>
          <w:rFonts w:asciiTheme="majorHAnsi" w:hAnsiTheme="majorHAnsi"/>
          <w:u w:val="single"/>
        </w:rPr>
        <w:t>i</w:t>
      </w:r>
      <w:r w:rsidRPr="00463A21">
        <w:rPr>
          <w:rFonts w:asciiTheme="majorHAnsi" w:hAnsiTheme="majorHAnsi"/>
          <w:u w:val="single"/>
        </w:rPr>
        <w:t>tioned by Either Natural Ventilation or Mechanical Space Conditioning (i.e. ‘Mixed Mode’)</w:t>
      </w:r>
    </w:p>
    <w:p w:rsidR="00463A21" w:rsidRDefault="00463A21" w:rsidP="00CB76E3">
      <w:pPr>
        <w:rPr>
          <w:rFonts w:asciiTheme="majorHAnsi" w:hAnsiTheme="majorHAnsi"/>
          <w:lang w:val="en-AU"/>
        </w:rPr>
      </w:pPr>
    </w:p>
    <w:p w:rsidR="00CB76E3" w:rsidRDefault="00CB76E3" w:rsidP="00CB76E3">
      <w:pPr>
        <w:rPr>
          <w:rFonts w:asciiTheme="majorHAnsi" w:hAnsiTheme="majorHAnsi"/>
          <w:lang w:val="en-AU"/>
        </w:rPr>
      </w:pPr>
      <w:r w:rsidRPr="00CB76E3">
        <w:rPr>
          <w:rFonts w:asciiTheme="majorHAnsi" w:hAnsiTheme="majorHAnsi"/>
          <w:lang w:val="en-AU"/>
        </w:rPr>
        <w:t>Mixed-mode refers to a hybrid approach to space conditioning that uses a combination of natural ventilation from operable windows (either manually or automatically controlled) or other passive inlet vents, and mechanical systems that provide air distribution and some form of cooling. A well-designed mixed mode building allows spaces to be naturally ventilated during periods of the day or year when it is feasible or desirable, and uses air-conditioning for supplemental cooling when natural ventilation is not sufficient. The goal is to provide acceptable comfort while minimizing the significant energy use and operating costs of air conditioning</w:t>
      </w:r>
      <w:r w:rsidR="00F331E7">
        <w:rPr>
          <w:rFonts w:asciiTheme="majorHAnsi" w:hAnsiTheme="majorHAnsi"/>
          <w:lang w:val="en-AU"/>
        </w:rPr>
        <w:t xml:space="preserve"> (Brager 2006)</w:t>
      </w:r>
      <w:r w:rsidRPr="00CB76E3">
        <w:rPr>
          <w:rFonts w:asciiTheme="majorHAnsi" w:hAnsiTheme="majorHAnsi"/>
          <w:lang w:val="en-AU"/>
        </w:rPr>
        <w:t>.</w:t>
      </w:r>
    </w:p>
    <w:p w:rsidR="00CB76E3" w:rsidRDefault="00CB76E3" w:rsidP="00CB76E3">
      <w:pPr>
        <w:rPr>
          <w:rFonts w:asciiTheme="majorHAnsi" w:hAnsiTheme="majorHAnsi"/>
          <w:lang w:val="en-AU"/>
        </w:rPr>
      </w:pPr>
    </w:p>
    <w:p w:rsidR="00B87038" w:rsidRDefault="00B87038" w:rsidP="00CB76E3">
      <w:pPr>
        <w:rPr>
          <w:rFonts w:asciiTheme="majorHAnsi" w:hAnsiTheme="majorHAnsi"/>
          <w:lang w:val="en-AU"/>
        </w:rPr>
      </w:pPr>
      <w:r>
        <w:rPr>
          <w:rFonts w:asciiTheme="majorHAnsi" w:hAnsiTheme="majorHAnsi"/>
          <w:lang w:val="en-AU"/>
        </w:rPr>
        <w:t xml:space="preserve">At first glance, the assessment of thermal comfort in a mixed-mode building requires the evaluation of three different operating regimes.  </w:t>
      </w:r>
    </w:p>
    <w:p w:rsidR="00A161AC" w:rsidRPr="00B87038" w:rsidRDefault="00A161AC" w:rsidP="00A161AC">
      <w:pPr>
        <w:pStyle w:val="ListParagraph"/>
        <w:numPr>
          <w:ilvl w:val="1"/>
          <w:numId w:val="1"/>
          <w:numberingChange w:id="2" w:author="Gail Brager" w:date="2011-02-17T15:53:00Z" w:original="%2:1:4:."/>
        </w:numPr>
        <w:rPr>
          <w:rFonts w:asciiTheme="majorHAnsi" w:hAnsiTheme="majorHAnsi"/>
          <w:i/>
          <w:lang w:val="en-AU"/>
        </w:rPr>
      </w:pPr>
      <w:r w:rsidRPr="00B87038">
        <w:rPr>
          <w:rFonts w:asciiTheme="majorHAnsi" w:hAnsiTheme="majorHAnsi"/>
          <w:i/>
          <w:lang w:val="en-AU"/>
        </w:rPr>
        <w:t>Occupied hours when spaces are conditioned solely by natural ventilation.</w:t>
      </w:r>
    </w:p>
    <w:p w:rsidR="00A161AC" w:rsidRPr="00B87038" w:rsidRDefault="00A161AC" w:rsidP="00A161AC">
      <w:pPr>
        <w:pStyle w:val="ListParagraph"/>
        <w:numPr>
          <w:ilvl w:val="1"/>
          <w:numId w:val="1"/>
          <w:numberingChange w:id="3" w:author="Gail Brager" w:date="2011-02-17T15:53:00Z" w:original="%2:2:4:."/>
        </w:numPr>
        <w:rPr>
          <w:rFonts w:asciiTheme="majorHAnsi" w:hAnsiTheme="majorHAnsi"/>
          <w:i/>
          <w:lang w:val="en-AU"/>
        </w:rPr>
      </w:pPr>
      <w:r w:rsidRPr="00B87038">
        <w:rPr>
          <w:rFonts w:asciiTheme="majorHAnsi" w:hAnsiTheme="majorHAnsi"/>
          <w:i/>
          <w:lang w:val="en-AU"/>
        </w:rPr>
        <w:t>Occupied hours when spaces are conditioned by mechanical conditioning only.</w:t>
      </w:r>
    </w:p>
    <w:p w:rsidR="00A161AC" w:rsidRPr="009012DE" w:rsidRDefault="00A161AC" w:rsidP="00A161AC">
      <w:pPr>
        <w:pStyle w:val="ListParagraph"/>
        <w:numPr>
          <w:ilvl w:val="1"/>
          <w:numId w:val="1"/>
          <w:numberingChange w:id="4" w:author="Gail Brager" w:date="2011-02-17T15:53:00Z" w:original="%2:3:4:."/>
        </w:numPr>
        <w:rPr>
          <w:rFonts w:asciiTheme="majorHAnsi" w:hAnsiTheme="majorHAnsi"/>
          <w:i/>
          <w:lang w:val="en-AU"/>
        </w:rPr>
      </w:pPr>
      <w:r w:rsidRPr="009012DE">
        <w:rPr>
          <w:rFonts w:asciiTheme="majorHAnsi" w:hAnsiTheme="majorHAnsi"/>
          <w:i/>
          <w:lang w:val="en-AU"/>
        </w:rPr>
        <w:t>Occupied hours that fall within an hour or two of the transition from one mode of space conditioning to the other.</w:t>
      </w:r>
    </w:p>
    <w:p w:rsidR="00B87038" w:rsidRDefault="00B87038" w:rsidP="00CB76E3">
      <w:pPr>
        <w:rPr>
          <w:rFonts w:asciiTheme="majorHAnsi" w:hAnsiTheme="majorHAnsi"/>
          <w:lang w:val="en-AU"/>
        </w:rPr>
      </w:pPr>
    </w:p>
    <w:p w:rsidR="00444FC7" w:rsidRDefault="00A161AC" w:rsidP="00CB76E3">
      <w:pPr>
        <w:rPr>
          <w:rFonts w:asciiTheme="majorHAnsi" w:hAnsiTheme="majorHAnsi"/>
          <w:lang w:val="en-AU"/>
        </w:rPr>
      </w:pPr>
      <w:r>
        <w:rPr>
          <w:rFonts w:asciiTheme="majorHAnsi" w:hAnsiTheme="majorHAnsi"/>
          <w:lang w:val="en-AU"/>
        </w:rPr>
        <w:t>There is no agreement in either the research or professional communities about how to best define the thermal comfort operating conditions for mixed mode buildings in any of these regimes.  There does seem to be agreement, however, that the chosen approach requires considered discussion between the design team and the building owners (and/or managers for the occupants, if different)</w:t>
      </w:r>
      <w:r w:rsidR="00444FC7">
        <w:rPr>
          <w:rFonts w:asciiTheme="majorHAnsi" w:hAnsiTheme="majorHAnsi"/>
          <w:lang w:val="en-AU"/>
        </w:rPr>
        <w:t>, as well as eventual occupant education about the building operation and the occupants’ role in managing their own thermal environments (if appropriate)</w:t>
      </w:r>
      <w:r>
        <w:rPr>
          <w:rFonts w:asciiTheme="majorHAnsi" w:hAnsiTheme="majorHAnsi"/>
          <w:lang w:val="en-AU"/>
        </w:rPr>
        <w:t xml:space="preserve">. </w:t>
      </w:r>
      <w:r w:rsidR="00444FC7">
        <w:rPr>
          <w:rFonts w:asciiTheme="majorHAnsi" w:hAnsiTheme="majorHAnsi"/>
          <w:lang w:val="en-AU"/>
        </w:rPr>
        <w:t xml:space="preserve"> In all of these approaches, there need to be decisions about the extent to which you want to control (i.e., limit) or educate occupants about how to use the windows.</w:t>
      </w:r>
      <w:r w:rsidR="00376392">
        <w:rPr>
          <w:rFonts w:asciiTheme="majorHAnsi" w:hAnsiTheme="majorHAnsi"/>
          <w:lang w:val="en-AU"/>
        </w:rPr>
        <w:t xml:space="preserve">  These can be through automated windows, window locks, or red/green light signalling systems.  In any of these approaches, w</w:t>
      </w:r>
      <w:r w:rsidR="00376392" w:rsidRPr="005E3BF3">
        <w:rPr>
          <w:rFonts w:asciiTheme="majorHAnsi" w:hAnsiTheme="majorHAnsi"/>
        </w:rPr>
        <w:t xml:space="preserve">hether or not people will find the PMV-based </w:t>
      </w:r>
      <w:r w:rsidR="00376392">
        <w:rPr>
          <w:rFonts w:asciiTheme="majorHAnsi" w:hAnsiTheme="majorHAnsi"/>
        </w:rPr>
        <w:t xml:space="preserve">(conventional systems) </w:t>
      </w:r>
      <w:r w:rsidR="00376392" w:rsidRPr="005E3BF3">
        <w:rPr>
          <w:rFonts w:asciiTheme="majorHAnsi" w:hAnsiTheme="majorHAnsi"/>
        </w:rPr>
        <w:t xml:space="preserve">or adaptive-based </w:t>
      </w:r>
      <w:r w:rsidR="00376392">
        <w:rPr>
          <w:rFonts w:asciiTheme="majorHAnsi" w:hAnsiTheme="majorHAnsi"/>
        </w:rPr>
        <w:t xml:space="preserve">(natural ventilation) </w:t>
      </w:r>
      <w:r w:rsidR="00376392" w:rsidRPr="005E3BF3">
        <w:rPr>
          <w:rFonts w:asciiTheme="majorHAnsi" w:hAnsiTheme="majorHAnsi"/>
        </w:rPr>
        <w:t>comfort zone acceptable has a lot to do with how the building is designed, and how it is operated throughout the year.</w:t>
      </w:r>
      <w:r w:rsidR="00376392">
        <w:rPr>
          <w:rFonts w:asciiTheme="majorHAnsi" w:hAnsiTheme="majorHAnsi"/>
        </w:rPr>
        <w:t xml:space="preserve">  </w:t>
      </w:r>
    </w:p>
    <w:p w:rsidR="00444FC7" w:rsidRDefault="00444FC7" w:rsidP="00CB76E3">
      <w:pPr>
        <w:rPr>
          <w:rFonts w:asciiTheme="majorHAnsi" w:hAnsiTheme="majorHAnsi"/>
          <w:lang w:val="en-AU"/>
        </w:rPr>
      </w:pPr>
    </w:p>
    <w:p w:rsidR="007D51C0" w:rsidRDefault="00A161AC" w:rsidP="00CB76E3">
      <w:pPr>
        <w:rPr>
          <w:rFonts w:asciiTheme="majorHAnsi" w:hAnsiTheme="majorHAnsi"/>
          <w:lang w:val="en-AU"/>
        </w:rPr>
      </w:pPr>
      <w:r>
        <w:rPr>
          <w:rFonts w:asciiTheme="majorHAnsi" w:hAnsiTheme="majorHAnsi"/>
          <w:lang w:val="en-AU"/>
        </w:rPr>
        <w:t xml:space="preserve"> Conceptually, there is a continuum of strategies for how to approach this:</w:t>
      </w:r>
    </w:p>
    <w:p w:rsidR="00A161AC" w:rsidRDefault="00A161AC" w:rsidP="00CB76E3">
      <w:pPr>
        <w:rPr>
          <w:rFonts w:asciiTheme="majorHAnsi" w:hAnsiTheme="majorHAnsi"/>
          <w:lang w:val="en-AU"/>
        </w:rPr>
      </w:pPr>
    </w:p>
    <w:p w:rsidR="00A161AC" w:rsidRDefault="00A161AC" w:rsidP="00CB76E3">
      <w:pPr>
        <w:rPr>
          <w:rFonts w:asciiTheme="majorHAnsi" w:hAnsiTheme="majorHAnsi"/>
          <w:lang w:val="en-AU"/>
        </w:rPr>
      </w:pPr>
      <w:r>
        <w:rPr>
          <w:rFonts w:asciiTheme="majorHAnsi" w:hAnsiTheme="majorHAnsi"/>
          <w:lang w:val="en-AU"/>
        </w:rPr>
        <w:t xml:space="preserve">1.  </w:t>
      </w:r>
      <w:r w:rsidR="009F2DA4">
        <w:rPr>
          <w:rFonts w:asciiTheme="majorHAnsi" w:hAnsiTheme="majorHAnsi"/>
          <w:lang w:val="en-AU"/>
        </w:rPr>
        <w:t>Conventional / c</w:t>
      </w:r>
      <w:r>
        <w:rPr>
          <w:rFonts w:asciiTheme="majorHAnsi" w:hAnsiTheme="majorHAnsi"/>
          <w:lang w:val="en-AU"/>
        </w:rPr>
        <w:t xml:space="preserve">onservative approach.  </w:t>
      </w:r>
      <w:r w:rsidR="00444FC7">
        <w:rPr>
          <w:rFonts w:asciiTheme="majorHAnsi" w:hAnsiTheme="majorHAnsi"/>
          <w:lang w:val="en-AU"/>
        </w:rPr>
        <w:t xml:space="preserve">Operate the building year-round to meet conventional setpoints (i.e., PMV-based comfort zone), no differently than as if it was a sealed building.  Operable windows are seen merely as an amenity, and at best function like an economizer cycle.  </w:t>
      </w:r>
      <w:r w:rsidR="00BB2037">
        <w:rPr>
          <w:rFonts w:asciiTheme="majorHAnsi" w:hAnsiTheme="majorHAnsi"/>
          <w:lang w:val="en-AU"/>
        </w:rPr>
        <w:t>This approach may be appropriate if it is expected that mechanical cooling will be in operation for most of the warm season, occupants have minimal access to windows, and natural ventilation mode is expected for only a very short period of time.</w:t>
      </w:r>
    </w:p>
    <w:p w:rsidR="009F2DA4" w:rsidRDefault="009F2DA4" w:rsidP="00CB76E3">
      <w:pPr>
        <w:rPr>
          <w:rFonts w:asciiTheme="majorHAnsi" w:hAnsiTheme="majorHAnsi"/>
          <w:lang w:val="en-AU"/>
        </w:rPr>
      </w:pPr>
    </w:p>
    <w:p w:rsidR="009F2DA4" w:rsidRDefault="009F2DA4" w:rsidP="00CB76E3">
      <w:pPr>
        <w:rPr>
          <w:rFonts w:asciiTheme="majorHAnsi" w:hAnsiTheme="majorHAnsi"/>
          <w:lang w:val="en-AU"/>
        </w:rPr>
      </w:pPr>
      <w:r>
        <w:rPr>
          <w:rFonts w:asciiTheme="majorHAnsi" w:hAnsiTheme="majorHAnsi"/>
          <w:lang w:val="en-AU"/>
        </w:rPr>
        <w:t xml:space="preserve">2.  Conventional / relaxed approach.  </w:t>
      </w:r>
      <w:r w:rsidR="00376392">
        <w:rPr>
          <w:rFonts w:asciiTheme="majorHAnsi" w:hAnsiTheme="majorHAnsi"/>
          <w:lang w:val="en-AU"/>
        </w:rPr>
        <w:t xml:space="preserve">Again use the conventional, PMV-based comfort zone.  </w:t>
      </w:r>
      <w:r>
        <w:rPr>
          <w:rFonts w:asciiTheme="majorHAnsi" w:hAnsiTheme="majorHAnsi"/>
          <w:lang w:val="en-AU"/>
        </w:rPr>
        <w:t xml:space="preserve">Use a slightly relaxed deadband </w:t>
      </w:r>
      <w:r w:rsidR="00B54174">
        <w:rPr>
          <w:rFonts w:asciiTheme="majorHAnsi" w:hAnsiTheme="majorHAnsi"/>
          <w:lang w:val="en-AU"/>
        </w:rPr>
        <w:t>from</w:t>
      </w:r>
      <w:r>
        <w:rPr>
          <w:rFonts w:asciiTheme="majorHAnsi" w:hAnsiTheme="majorHAnsi"/>
          <w:lang w:val="en-AU"/>
        </w:rPr>
        <w:t xml:space="preserve"> the conventional setpoints</w:t>
      </w:r>
      <w:r w:rsidR="00BB2037">
        <w:rPr>
          <w:rFonts w:asciiTheme="majorHAnsi" w:hAnsiTheme="majorHAnsi"/>
          <w:lang w:val="en-AU"/>
        </w:rPr>
        <w:t xml:space="preserve"> </w:t>
      </w:r>
      <w:r w:rsidR="00DB0476">
        <w:rPr>
          <w:rFonts w:asciiTheme="majorHAnsi" w:hAnsiTheme="majorHAnsi"/>
          <w:lang w:val="en-AU"/>
        </w:rPr>
        <w:t>(i.e., 4</w:t>
      </w:r>
      <w:r w:rsidR="00DB0476">
        <w:rPr>
          <w:rFonts w:ascii="Calibri" w:hAnsi="Calibri"/>
          <w:lang w:val="en-AU"/>
        </w:rPr>
        <w:t>°</w:t>
      </w:r>
      <w:r w:rsidR="00DB0476">
        <w:rPr>
          <w:rFonts w:asciiTheme="majorHAnsi" w:hAnsiTheme="majorHAnsi"/>
          <w:lang w:val="en-AU"/>
        </w:rPr>
        <w:t xml:space="preserve">F) </w:t>
      </w:r>
      <w:r w:rsidR="00BB2037">
        <w:rPr>
          <w:rFonts w:asciiTheme="majorHAnsi" w:hAnsiTheme="majorHAnsi"/>
          <w:lang w:val="en-AU"/>
        </w:rPr>
        <w:t>while heating/cooling equipment is operating</w:t>
      </w:r>
      <w:r>
        <w:rPr>
          <w:rFonts w:asciiTheme="majorHAnsi" w:hAnsiTheme="majorHAnsi"/>
          <w:lang w:val="en-AU"/>
        </w:rPr>
        <w:t xml:space="preserve">.  During times </w:t>
      </w:r>
      <w:r w:rsidR="00DB0476">
        <w:rPr>
          <w:rFonts w:asciiTheme="majorHAnsi" w:hAnsiTheme="majorHAnsi"/>
          <w:lang w:val="en-AU"/>
        </w:rPr>
        <w:t xml:space="preserve">when </w:t>
      </w:r>
      <w:r>
        <w:rPr>
          <w:rFonts w:asciiTheme="majorHAnsi" w:hAnsiTheme="majorHAnsi"/>
          <w:lang w:val="en-AU"/>
        </w:rPr>
        <w:t>the windows are open, expand the heating and cooling setpoints by an additional 2</w:t>
      </w:r>
      <w:r>
        <w:rPr>
          <w:rFonts w:ascii="Calibri" w:hAnsi="Calibri"/>
          <w:lang w:val="en-AU"/>
        </w:rPr>
        <w:t>°</w:t>
      </w:r>
      <w:r>
        <w:rPr>
          <w:rFonts w:asciiTheme="majorHAnsi" w:hAnsiTheme="majorHAnsi"/>
          <w:lang w:val="en-AU"/>
        </w:rPr>
        <w:t xml:space="preserve">F in each direction.  </w:t>
      </w:r>
      <w:r w:rsidR="00DB0476">
        <w:rPr>
          <w:rFonts w:asciiTheme="majorHAnsi" w:hAnsiTheme="majorHAnsi"/>
          <w:lang w:val="en-AU"/>
        </w:rPr>
        <w:t xml:space="preserve">So in this example, a conventional deadband of 70°F (heating) to 74°F (cooling) would be expanded to 68°F to 76°F.  </w:t>
      </w:r>
      <w:r w:rsidR="001E1FF7">
        <w:rPr>
          <w:rFonts w:asciiTheme="majorHAnsi" w:hAnsiTheme="majorHAnsi"/>
          <w:lang w:val="en-AU"/>
        </w:rPr>
        <w:t xml:space="preserve">This is a compromise that allows for improved energy efficiency, while </w:t>
      </w:r>
      <w:r w:rsidR="00BB2037">
        <w:rPr>
          <w:rFonts w:asciiTheme="majorHAnsi" w:hAnsiTheme="majorHAnsi"/>
          <w:lang w:val="en-AU"/>
        </w:rPr>
        <w:t>still allowing for relatively quick recovery when the equipment turns on.</w:t>
      </w:r>
    </w:p>
    <w:p w:rsidR="00BB2037" w:rsidRDefault="00BB2037" w:rsidP="00CB76E3">
      <w:pPr>
        <w:rPr>
          <w:rFonts w:asciiTheme="majorHAnsi" w:hAnsiTheme="majorHAnsi"/>
          <w:lang w:val="en-AU"/>
        </w:rPr>
      </w:pPr>
    </w:p>
    <w:p w:rsidR="00BB2037" w:rsidRDefault="00BB2037" w:rsidP="00CB76E3">
      <w:pPr>
        <w:rPr>
          <w:rFonts w:asciiTheme="majorHAnsi" w:hAnsiTheme="majorHAnsi"/>
          <w:lang w:val="en-AU"/>
        </w:rPr>
      </w:pPr>
      <w:r>
        <w:rPr>
          <w:rFonts w:asciiTheme="majorHAnsi" w:hAnsiTheme="majorHAnsi"/>
          <w:lang w:val="en-AU"/>
        </w:rPr>
        <w:t xml:space="preserve">3.  </w:t>
      </w:r>
      <w:r w:rsidR="00376392">
        <w:rPr>
          <w:rFonts w:asciiTheme="majorHAnsi" w:hAnsiTheme="majorHAnsi"/>
          <w:lang w:val="en-AU"/>
        </w:rPr>
        <w:t>Adaptive / r</w:t>
      </w:r>
      <w:r>
        <w:rPr>
          <w:rFonts w:asciiTheme="majorHAnsi" w:hAnsiTheme="majorHAnsi"/>
          <w:lang w:val="en-AU"/>
        </w:rPr>
        <w:t>amped approach</w:t>
      </w:r>
    </w:p>
    <w:p w:rsidR="007D51C0" w:rsidRDefault="00376392" w:rsidP="00CB76E3">
      <w:pPr>
        <w:rPr>
          <w:rFonts w:asciiTheme="majorHAnsi" w:hAnsiTheme="majorHAnsi"/>
          <w:lang w:val="en-AU"/>
        </w:rPr>
      </w:pPr>
      <w:r>
        <w:rPr>
          <w:rFonts w:asciiTheme="majorHAnsi" w:hAnsiTheme="majorHAnsi"/>
          <w:lang w:val="en-AU"/>
        </w:rPr>
        <w:t>During periods</w:t>
      </w:r>
      <w:r w:rsidR="00BB2037">
        <w:rPr>
          <w:rFonts w:asciiTheme="majorHAnsi" w:hAnsiTheme="majorHAnsi"/>
          <w:lang w:val="en-AU"/>
        </w:rPr>
        <w:t xml:space="preserve"> </w:t>
      </w:r>
      <w:r w:rsidR="00DB0476">
        <w:rPr>
          <w:rFonts w:asciiTheme="majorHAnsi" w:hAnsiTheme="majorHAnsi"/>
          <w:lang w:val="en-AU"/>
        </w:rPr>
        <w:t xml:space="preserve">when </w:t>
      </w:r>
      <w:r w:rsidR="00BB2037">
        <w:rPr>
          <w:rFonts w:asciiTheme="majorHAnsi" w:hAnsiTheme="majorHAnsi"/>
          <w:lang w:val="en-AU"/>
        </w:rPr>
        <w:t>the spaces are conditioned solely by natural ventilation, i</w:t>
      </w:r>
      <w:r w:rsidR="00BB2037" w:rsidRPr="00CB76E3">
        <w:rPr>
          <w:rFonts w:asciiTheme="majorHAnsi" w:hAnsiTheme="majorHAnsi"/>
          <w:lang w:val="en-AU"/>
        </w:rPr>
        <w:t>nterior spaces shall meet the Adaptive Comfort criteria as outlined in ASHRAE Standard 55-2010</w:t>
      </w:r>
      <w:r w:rsidR="00BB2037">
        <w:rPr>
          <w:rFonts w:asciiTheme="majorHAnsi" w:hAnsiTheme="majorHAnsi"/>
          <w:lang w:val="en-AU"/>
        </w:rPr>
        <w:t xml:space="preserve"> (Section 5.3</w:t>
      </w:r>
      <w:r w:rsidR="00BB2037" w:rsidRPr="00CB76E3">
        <w:rPr>
          <w:rFonts w:asciiTheme="majorHAnsi" w:hAnsiTheme="majorHAnsi"/>
          <w:lang w:val="en-AU"/>
        </w:rPr>
        <w:t xml:space="preserve">).  </w:t>
      </w:r>
      <w:r w:rsidR="00BB2037">
        <w:rPr>
          <w:rFonts w:asciiTheme="majorHAnsi" w:hAnsiTheme="majorHAnsi"/>
          <w:lang w:val="en-AU"/>
        </w:rPr>
        <w:t xml:space="preserve">Assessment of thermal comfort would follow the same criteria described above in section (1).  If windows are </w:t>
      </w:r>
      <w:r>
        <w:rPr>
          <w:rFonts w:asciiTheme="majorHAnsi" w:hAnsiTheme="majorHAnsi"/>
          <w:lang w:val="en-AU"/>
        </w:rPr>
        <w:t xml:space="preserve">then </w:t>
      </w:r>
      <w:r w:rsidR="00BB2037">
        <w:rPr>
          <w:rFonts w:asciiTheme="majorHAnsi" w:hAnsiTheme="majorHAnsi"/>
          <w:lang w:val="en-AU"/>
        </w:rPr>
        <w:t>sealed and mechanical cooling is operating</w:t>
      </w:r>
      <w:r>
        <w:rPr>
          <w:rFonts w:asciiTheme="majorHAnsi" w:hAnsiTheme="majorHAnsi"/>
          <w:lang w:val="en-AU"/>
        </w:rPr>
        <w:t xml:space="preserve"> (changeover mixed-mode approach)</w:t>
      </w:r>
      <w:r w:rsidR="00BB2037">
        <w:rPr>
          <w:rFonts w:asciiTheme="majorHAnsi" w:hAnsiTheme="majorHAnsi"/>
          <w:lang w:val="en-AU"/>
        </w:rPr>
        <w:t xml:space="preserve">, a transition period would maintain conditions at the top of the Adaptive Comfort criteria.  If mechanical cooling </w:t>
      </w:r>
      <w:r w:rsidR="00F158A1">
        <w:rPr>
          <w:rFonts w:asciiTheme="majorHAnsi" w:hAnsiTheme="majorHAnsi"/>
          <w:lang w:val="en-AU"/>
        </w:rPr>
        <w:t>has been</w:t>
      </w:r>
      <w:r w:rsidR="00BB2037">
        <w:rPr>
          <w:rFonts w:asciiTheme="majorHAnsi" w:hAnsiTheme="majorHAnsi"/>
          <w:lang w:val="en-AU"/>
        </w:rPr>
        <w:t xml:space="preserve"> operating for an extended period, conditions would </w:t>
      </w:r>
      <w:r>
        <w:rPr>
          <w:rFonts w:asciiTheme="majorHAnsi" w:hAnsiTheme="majorHAnsi"/>
          <w:lang w:val="en-AU"/>
        </w:rPr>
        <w:t xml:space="preserve">then </w:t>
      </w:r>
      <w:r w:rsidR="00BB2037">
        <w:rPr>
          <w:rFonts w:asciiTheme="majorHAnsi" w:hAnsiTheme="majorHAnsi"/>
          <w:lang w:val="en-AU"/>
        </w:rPr>
        <w:t xml:space="preserve">ramp down to the top of the conventional PMV-based comfort zone </w:t>
      </w:r>
    </w:p>
    <w:p w:rsidR="007D51C0" w:rsidRDefault="007D51C0" w:rsidP="00CB76E3">
      <w:pPr>
        <w:rPr>
          <w:rFonts w:asciiTheme="majorHAnsi" w:hAnsiTheme="majorHAnsi"/>
          <w:lang w:val="en-AU"/>
        </w:rPr>
      </w:pPr>
    </w:p>
    <w:p w:rsidR="00376392" w:rsidRDefault="00376392" w:rsidP="00376392">
      <w:pPr>
        <w:rPr>
          <w:rFonts w:asciiTheme="majorHAnsi" w:hAnsiTheme="majorHAnsi"/>
          <w:lang w:val="en-AU"/>
        </w:rPr>
      </w:pPr>
      <w:r>
        <w:rPr>
          <w:rFonts w:asciiTheme="majorHAnsi" w:hAnsiTheme="majorHAnsi"/>
          <w:lang w:val="en-AU"/>
        </w:rPr>
        <w:t xml:space="preserve">4.  Adaptive / </w:t>
      </w:r>
      <w:r w:rsidR="00F158A1">
        <w:rPr>
          <w:rFonts w:asciiTheme="majorHAnsi" w:hAnsiTheme="majorHAnsi"/>
          <w:lang w:val="en-AU"/>
        </w:rPr>
        <w:t>conserving</w:t>
      </w:r>
      <w:r>
        <w:rPr>
          <w:rFonts w:asciiTheme="majorHAnsi" w:hAnsiTheme="majorHAnsi"/>
          <w:lang w:val="en-AU"/>
        </w:rPr>
        <w:t xml:space="preserve"> approach</w:t>
      </w:r>
    </w:p>
    <w:p w:rsidR="00376392" w:rsidRDefault="00376392" w:rsidP="00376392">
      <w:pPr>
        <w:rPr>
          <w:rFonts w:asciiTheme="majorHAnsi" w:hAnsiTheme="majorHAnsi"/>
        </w:rPr>
      </w:pPr>
      <w:r>
        <w:rPr>
          <w:rFonts w:asciiTheme="majorHAnsi" w:hAnsiTheme="majorHAnsi"/>
          <w:lang w:val="en-AU"/>
        </w:rPr>
        <w:t>In this approach, the Adaptive Comfort criteria are consistently maintained through alternative operation scenarios.  Natural ventilation is used exclusively as long as conditions are maintained within the Adaptive Comfort limits</w:t>
      </w:r>
      <w:r w:rsidR="00D875F8">
        <w:rPr>
          <w:rFonts w:asciiTheme="majorHAnsi" w:hAnsiTheme="majorHAnsi"/>
          <w:lang w:val="en-AU"/>
        </w:rPr>
        <w:t xml:space="preserve"> as described above in section (1)</w:t>
      </w:r>
      <w:r>
        <w:rPr>
          <w:rFonts w:asciiTheme="majorHAnsi" w:hAnsiTheme="majorHAnsi"/>
          <w:lang w:val="en-AU"/>
        </w:rPr>
        <w:t xml:space="preserve">, and </w:t>
      </w:r>
      <w:r>
        <w:rPr>
          <w:rFonts w:asciiTheme="majorHAnsi" w:hAnsiTheme="majorHAnsi"/>
        </w:rPr>
        <w:t>mechanical cooling</w:t>
      </w:r>
      <w:r w:rsidRPr="005E3BF3">
        <w:rPr>
          <w:rFonts w:asciiTheme="majorHAnsi" w:hAnsiTheme="majorHAnsi"/>
        </w:rPr>
        <w:t xml:space="preserve"> </w:t>
      </w:r>
      <w:r>
        <w:rPr>
          <w:rFonts w:asciiTheme="majorHAnsi" w:hAnsiTheme="majorHAnsi"/>
        </w:rPr>
        <w:t xml:space="preserve">is used </w:t>
      </w:r>
      <w:r w:rsidRPr="005E3BF3">
        <w:rPr>
          <w:rFonts w:asciiTheme="majorHAnsi" w:hAnsiTheme="majorHAnsi"/>
        </w:rPr>
        <w:t xml:space="preserve">only </w:t>
      </w:r>
      <w:r>
        <w:rPr>
          <w:rFonts w:asciiTheme="majorHAnsi" w:hAnsiTheme="majorHAnsi"/>
        </w:rPr>
        <w:t>as needed to ensure the building temperature does not rise</w:t>
      </w:r>
      <w:r w:rsidRPr="005E3BF3">
        <w:rPr>
          <w:rFonts w:asciiTheme="majorHAnsi" w:hAnsiTheme="majorHAnsi"/>
        </w:rPr>
        <w:t xml:space="preserve"> above the adaptive comfort max</w:t>
      </w:r>
      <w:r>
        <w:rPr>
          <w:rFonts w:asciiTheme="majorHAnsi" w:hAnsiTheme="majorHAnsi"/>
        </w:rPr>
        <w:t>imum</w:t>
      </w:r>
      <w:r w:rsidRPr="005E3BF3">
        <w:rPr>
          <w:rFonts w:asciiTheme="majorHAnsi" w:hAnsiTheme="majorHAnsi"/>
        </w:rPr>
        <w:t xml:space="preserve"> temp</w:t>
      </w:r>
      <w:r>
        <w:rPr>
          <w:rFonts w:asciiTheme="majorHAnsi" w:hAnsiTheme="majorHAnsi"/>
        </w:rPr>
        <w:t xml:space="preserve">erature.  This is most appropriate if the building </w:t>
      </w:r>
      <w:r w:rsidRPr="005E3BF3">
        <w:rPr>
          <w:rFonts w:asciiTheme="majorHAnsi" w:hAnsiTheme="majorHAnsi"/>
        </w:rPr>
        <w:t xml:space="preserve">operates primarily as a </w:t>
      </w:r>
      <w:r>
        <w:rPr>
          <w:rFonts w:asciiTheme="majorHAnsi" w:hAnsiTheme="majorHAnsi"/>
        </w:rPr>
        <w:t>naturally ventilated</w:t>
      </w:r>
      <w:r w:rsidRPr="005E3BF3">
        <w:rPr>
          <w:rFonts w:asciiTheme="majorHAnsi" w:hAnsiTheme="majorHAnsi"/>
        </w:rPr>
        <w:t xml:space="preserve"> building</w:t>
      </w:r>
      <w:r w:rsidR="00F158A1">
        <w:rPr>
          <w:rFonts w:asciiTheme="majorHAnsi" w:hAnsiTheme="majorHAnsi"/>
        </w:rPr>
        <w:t xml:space="preserve"> during significant periods of the year</w:t>
      </w:r>
      <w:r>
        <w:rPr>
          <w:rFonts w:asciiTheme="majorHAnsi" w:hAnsiTheme="majorHAnsi"/>
        </w:rPr>
        <w:t>, the occupants are well-educated about building performance</w:t>
      </w:r>
      <w:r w:rsidR="00F158A1">
        <w:rPr>
          <w:rFonts w:asciiTheme="majorHAnsi" w:hAnsiTheme="majorHAnsi"/>
        </w:rPr>
        <w:t>,</w:t>
      </w:r>
      <w:r>
        <w:rPr>
          <w:rFonts w:asciiTheme="majorHAnsi" w:hAnsiTheme="majorHAnsi"/>
        </w:rPr>
        <w:t xml:space="preserve"> and </w:t>
      </w:r>
      <w:r w:rsidR="00F158A1">
        <w:rPr>
          <w:rFonts w:asciiTheme="majorHAnsi" w:hAnsiTheme="majorHAnsi"/>
        </w:rPr>
        <w:t xml:space="preserve">they </w:t>
      </w:r>
      <w:r>
        <w:rPr>
          <w:rFonts w:asciiTheme="majorHAnsi" w:hAnsiTheme="majorHAnsi"/>
        </w:rPr>
        <w:t>are willing to play an active role in managing the</w:t>
      </w:r>
      <w:r w:rsidR="00F158A1">
        <w:rPr>
          <w:rFonts w:asciiTheme="majorHAnsi" w:hAnsiTheme="majorHAnsi"/>
        </w:rPr>
        <w:t>ir own</w:t>
      </w:r>
      <w:r>
        <w:rPr>
          <w:rFonts w:asciiTheme="majorHAnsi" w:hAnsiTheme="majorHAnsi"/>
        </w:rPr>
        <w:t xml:space="preserve"> thermal environment (i.e., there is sufficient adaptive opportunity so that expectations are relaxed as well).  </w:t>
      </w:r>
    </w:p>
    <w:p w:rsidR="00376392" w:rsidRDefault="00376392" w:rsidP="00376392">
      <w:pPr>
        <w:rPr>
          <w:rFonts w:asciiTheme="majorHAnsi" w:hAnsiTheme="majorHAnsi"/>
          <w:lang w:val="en-AU"/>
        </w:rPr>
      </w:pPr>
    </w:p>
    <w:p w:rsidR="00BB2037" w:rsidRDefault="00BB2037" w:rsidP="00BB2037">
      <w:pPr>
        <w:rPr>
          <w:rFonts w:asciiTheme="majorHAnsi" w:hAnsiTheme="majorHAnsi"/>
          <w:lang w:val="en-AU"/>
        </w:rPr>
      </w:pPr>
      <w:r>
        <w:rPr>
          <w:rFonts w:asciiTheme="majorHAnsi" w:hAnsiTheme="majorHAnsi"/>
          <w:lang w:val="en-AU"/>
        </w:rPr>
        <w:t xml:space="preserve">Further information on comfort criteria </w:t>
      </w:r>
      <w:r w:rsidR="00D875F8">
        <w:rPr>
          <w:rFonts w:asciiTheme="majorHAnsi" w:hAnsiTheme="majorHAnsi"/>
          <w:lang w:val="en-AU"/>
        </w:rPr>
        <w:t>can be developed once the design team and building owners decide which approach they want to purs</w:t>
      </w:r>
      <w:r w:rsidR="0059267C">
        <w:rPr>
          <w:rFonts w:asciiTheme="majorHAnsi" w:hAnsiTheme="majorHAnsi"/>
          <w:lang w:val="en-AU"/>
        </w:rPr>
        <w:t>u</w:t>
      </w:r>
      <w:r w:rsidR="00D875F8">
        <w:rPr>
          <w:rFonts w:asciiTheme="majorHAnsi" w:hAnsiTheme="majorHAnsi"/>
          <w:lang w:val="en-AU"/>
        </w:rPr>
        <w:t xml:space="preserve">e.  </w:t>
      </w:r>
      <w:r>
        <w:rPr>
          <w:rFonts w:asciiTheme="majorHAnsi" w:hAnsiTheme="majorHAnsi"/>
          <w:lang w:val="en-AU"/>
        </w:rPr>
        <w:t>The following list of factors that may influence the development of these criteria are provided below to initiate further thinking and discussion on the topic.</w:t>
      </w:r>
    </w:p>
    <w:p w:rsidR="00BB2037" w:rsidRDefault="00BB2037" w:rsidP="00BB2037">
      <w:pPr>
        <w:rPr>
          <w:rFonts w:asciiTheme="majorHAnsi" w:hAnsiTheme="majorHAnsi"/>
        </w:rPr>
      </w:pPr>
    </w:p>
    <w:p w:rsidR="00BB2037" w:rsidRPr="00643BD0" w:rsidRDefault="00BB2037" w:rsidP="00D875F8">
      <w:pPr>
        <w:pStyle w:val="ListParagraph"/>
        <w:numPr>
          <w:ilvl w:val="0"/>
          <w:numId w:val="2"/>
          <w:numberingChange w:id="5" w:author="Gail Brager" w:date="2011-02-17T15:53:00Z" w:original=""/>
        </w:numPr>
        <w:ind w:left="360"/>
        <w:rPr>
          <w:rFonts w:asciiTheme="majorHAnsi" w:hAnsiTheme="majorHAnsi"/>
          <w:lang w:val="en-AU"/>
        </w:rPr>
      </w:pPr>
      <w:r w:rsidRPr="00643BD0">
        <w:rPr>
          <w:rFonts w:asciiTheme="majorHAnsi" w:hAnsiTheme="majorHAnsi"/>
        </w:rPr>
        <w:t xml:space="preserve">envelope design, % of windows that are operable </w:t>
      </w:r>
    </w:p>
    <w:p w:rsidR="00BB2037" w:rsidRPr="00643BD0" w:rsidRDefault="00BB2037" w:rsidP="00D875F8">
      <w:pPr>
        <w:pStyle w:val="ListParagraph"/>
        <w:numPr>
          <w:ilvl w:val="0"/>
          <w:numId w:val="2"/>
          <w:numberingChange w:id="6" w:author="Gail Brager" w:date="2011-02-17T15:53:00Z" w:original=""/>
        </w:numPr>
        <w:ind w:left="360"/>
        <w:rPr>
          <w:rFonts w:asciiTheme="majorHAnsi" w:hAnsiTheme="majorHAnsi"/>
          <w:lang w:val="en-AU"/>
        </w:rPr>
      </w:pPr>
      <w:r w:rsidRPr="00643BD0">
        <w:rPr>
          <w:rFonts w:asciiTheme="majorHAnsi" w:hAnsiTheme="majorHAnsi"/>
        </w:rPr>
        <w:t xml:space="preserve">access to windows </w:t>
      </w:r>
      <w:r>
        <w:rPr>
          <w:rFonts w:asciiTheme="majorHAnsi" w:hAnsiTheme="majorHAnsi"/>
        </w:rPr>
        <w:t>(and</w:t>
      </w:r>
      <w:r w:rsidRPr="00643BD0">
        <w:rPr>
          <w:rFonts w:asciiTheme="majorHAnsi" w:hAnsiTheme="majorHAnsi"/>
        </w:rPr>
        <w:t xml:space="preserve"> management attitude about occupant use of windows)</w:t>
      </w:r>
    </w:p>
    <w:p w:rsidR="00BB2037" w:rsidRPr="00643BD0" w:rsidRDefault="00BB2037" w:rsidP="00D875F8">
      <w:pPr>
        <w:pStyle w:val="ListParagraph"/>
        <w:numPr>
          <w:ilvl w:val="0"/>
          <w:numId w:val="2"/>
          <w:numberingChange w:id="7" w:author="Gail Brager" w:date="2011-02-17T15:53:00Z" w:original=""/>
        </w:numPr>
        <w:ind w:left="360"/>
        <w:rPr>
          <w:rFonts w:asciiTheme="majorHAnsi" w:hAnsiTheme="majorHAnsi"/>
          <w:lang w:val="en-AU"/>
        </w:rPr>
      </w:pPr>
      <w:r w:rsidRPr="00643BD0">
        <w:rPr>
          <w:rFonts w:asciiTheme="majorHAnsi" w:hAnsiTheme="majorHAnsi"/>
        </w:rPr>
        <w:t xml:space="preserve">% </w:t>
      </w:r>
      <w:r>
        <w:rPr>
          <w:rFonts w:asciiTheme="majorHAnsi" w:hAnsiTheme="majorHAnsi"/>
        </w:rPr>
        <w:t xml:space="preserve">of windows </w:t>
      </w:r>
      <w:r w:rsidRPr="00643BD0">
        <w:rPr>
          <w:rFonts w:asciiTheme="majorHAnsi" w:hAnsiTheme="majorHAnsi"/>
        </w:rPr>
        <w:t>that are manual vs. automatic control</w:t>
      </w:r>
    </w:p>
    <w:p w:rsidR="00BB2037" w:rsidRPr="00643BD0" w:rsidRDefault="00BB2037" w:rsidP="00D875F8">
      <w:pPr>
        <w:pStyle w:val="ListParagraph"/>
        <w:numPr>
          <w:ilvl w:val="0"/>
          <w:numId w:val="2"/>
          <w:numberingChange w:id="8" w:author="Gail Brager" w:date="2011-02-17T15:53:00Z" w:original=""/>
        </w:numPr>
        <w:ind w:left="360"/>
        <w:rPr>
          <w:rFonts w:asciiTheme="majorHAnsi" w:hAnsiTheme="majorHAnsi"/>
          <w:lang w:val="en-AU"/>
        </w:rPr>
      </w:pPr>
      <w:r w:rsidRPr="00643BD0">
        <w:rPr>
          <w:rFonts w:asciiTheme="majorHAnsi" w:hAnsiTheme="majorHAnsi"/>
        </w:rPr>
        <w:t xml:space="preserve">occupant education about </w:t>
      </w:r>
      <w:r>
        <w:rPr>
          <w:rFonts w:asciiTheme="majorHAnsi" w:hAnsiTheme="majorHAnsi"/>
        </w:rPr>
        <w:t>building</w:t>
      </w:r>
      <w:r w:rsidRPr="00643BD0">
        <w:rPr>
          <w:rFonts w:asciiTheme="majorHAnsi" w:hAnsiTheme="majorHAnsi"/>
        </w:rPr>
        <w:t xml:space="preserve"> operation</w:t>
      </w:r>
    </w:p>
    <w:p w:rsidR="00BB2037" w:rsidRPr="00643BD0" w:rsidRDefault="00BB2037" w:rsidP="00D875F8">
      <w:pPr>
        <w:pStyle w:val="ListParagraph"/>
        <w:numPr>
          <w:ilvl w:val="0"/>
          <w:numId w:val="2"/>
          <w:numberingChange w:id="9" w:author="Gail Brager" w:date="2011-02-17T15:53:00Z" w:original=""/>
        </w:numPr>
        <w:ind w:left="360"/>
        <w:rPr>
          <w:rFonts w:asciiTheme="majorHAnsi" w:hAnsiTheme="majorHAnsi"/>
          <w:lang w:val="en-AU"/>
        </w:rPr>
      </w:pPr>
      <w:r w:rsidRPr="00643BD0">
        <w:rPr>
          <w:rFonts w:asciiTheme="majorHAnsi" w:hAnsiTheme="majorHAnsi"/>
        </w:rPr>
        <w:t xml:space="preserve">availability of </w:t>
      </w:r>
      <w:r>
        <w:rPr>
          <w:rFonts w:asciiTheme="majorHAnsi" w:hAnsiTheme="majorHAnsi"/>
        </w:rPr>
        <w:t>other means of personal control;</w:t>
      </w:r>
      <w:r w:rsidRPr="00643BD0">
        <w:rPr>
          <w:rFonts w:asciiTheme="majorHAnsi" w:hAnsiTheme="majorHAnsi"/>
        </w:rPr>
        <w:t xml:space="preserve"> flexible dress code in the workplace</w:t>
      </w:r>
    </w:p>
    <w:p w:rsidR="00BB2037" w:rsidRPr="00643BD0" w:rsidRDefault="00BB2037" w:rsidP="00D875F8">
      <w:pPr>
        <w:pStyle w:val="ListParagraph"/>
        <w:numPr>
          <w:ilvl w:val="0"/>
          <w:numId w:val="2"/>
          <w:numberingChange w:id="10" w:author="Gail Brager" w:date="2011-02-17T15:53:00Z" w:original=""/>
        </w:numPr>
        <w:ind w:left="360"/>
        <w:rPr>
          <w:rFonts w:asciiTheme="majorHAnsi" w:hAnsiTheme="majorHAnsi"/>
          <w:lang w:val="en-AU"/>
        </w:rPr>
      </w:pPr>
      <w:r w:rsidRPr="00643BD0">
        <w:rPr>
          <w:rFonts w:asciiTheme="majorHAnsi" w:hAnsiTheme="majorHAnsi"/>
        </w:rPr>
        <w:t xml:space="preserve">zoning of </w:t>
      </w:r>
      <w:r>
        <w:rPr>
          <w:rFonts w:asciiTheme="majorHAnsi" w:hAnsiTheme="majorHAnsi"/>
        </w:rPr>
        <w:t>naturally ventilated</w:t>
      </w:r>
      <w:r w:rsidRPr="00643BD0">
        <w:rPr>
          <w:rFonts w:asciiTheme="majorHAnsi" w:hAnsiTheme="majorHAnsi"/>
        </w:rPr>
        <w:t xml:space="preserve"> vs</w:t>
      </w:r>
      <w:r>
        <w:rPr>
          <w:rFonts w:asciiTheme="majorHAnsi" w:hAnsiTheme="majorHAnsi"/>
        </w:rPr>
        <w:t>.</w:t>
      </w:r>
      <w:r w:rsidRPr="00643BD0">
        <w:rPr>
          <w:rFonts w:asciiTheme="majorHAnsi" w:hAnsiTheme="majorHAnsi"/>
        </w:rPr>
        <w:t xml:space="preserve"> </w:t>
      </w:r>
      <w:r>
        <w:rPr>
          <w:rFonts w:asciiTheme="majorHAnsi" w:hAnsiTheme="majorHAnsi"/>
        </w:rPr>
        <w:t>air-conditioned</w:t>
      </w:r>
      <w:r w:rsidRPr="00643BD0">
        <w:rPr>
          <w:rFonts w:asciiTheme="majorHAnsi" w:hAnsiTheme="majorHAnsi"/>
        </w:rPr>
        <w:t xml:space="preserve"> spaces</w:t>
      </w:r>
    </w:p>
    <w:p w:rsidR="00294C5C" w:rsidRPr="00294C5C" w:rsidRDefault="00294C5C" w:rsidP="00BB2037">
      <w:pPr>
        <w:rPr>
          <w:rFonts w:asciiTheme="majorHAnsi" w:hAnsiTheme="majorHAnsi"/>
          <w:u w:val="single"/>
        </w:rPr>
      </w:pPr>
    </w:p>
    <w:p w:rsidR="001B3D38" w:rsidRPr="003B6DA0" w:rsidRDefault="00CA1895" w:rsidP="003B6DA0">
      <w:pPr>
        <w:pStyle w:val="ListParagraph"/>
        <w:numPr>
          <w:ilvl w:val="0"/>
          <w:numId w:val="1"/>
          <w:numberingChange w:id="11" w:author="Gail Brager" w:date="2011-02-17T15:53:00Z" w:original="%1:3:0:."/>
        </w:numPr>
        <w:rPr>
          <w:rFonts w:asciiTheme="majorHAnsi" w:hAnsiTheme="majorHAnsi"/>
          <w:u w:val="single"/>
        </w:rPr>
      </w:pPr>
      <w:r w:rsidRPr="003B6DA0">
        <w:rPr>
          <w:rFonts w:asciiTheme="majorHAnsi" w:hAnsiTheme="majorHAnsi"/>
          <w:u w:val="single"/>
        </w:rPr>
        <w:t xml:space="preserve">Spaces that are Conditioned by Mechanical Conditioning Only </w:t>
      </w:r>
    </w:p>
    <w:p w:rsidR="00F050E9" w:rsidRDefault="00F050E9" w:rsidP="001B3D38">
      <w:pPr>
        <w:rPr>
          <w:rFonts w:asciiTheme="majorHAnsi" w:hAnsiTheme="majorHAnsi"/>
        </w:rPr>
      </w:pPr>
    </w:p>
    <w:p w:rsidR="001B3D38" w:rsidRDefault="001B3D38" w:rsidP="001B3D38">
      <w:pPr>
        <w:rPr>
          <w:rFonts w:asciiTheme="majorHAnsi" w:hAnsiTheme="majorHAnsi"/>
        </w:rPr>
      </w:pPr>
      <w:r>
        <w:rPr>
          <w:rFonts w:asciiTheme="majorHAnsi" w:hAnsiTheme="majorHAnsi"/>
        </w:rPr>
        <w:t>Interior spaces shall meet the comfort criteria as outlined in ASHRAE Standard 55-2</w:t>
      </w:r>
      <w:r w:rsidR="004E4996">
        <w:rPr>
          <w:rFonts w:asciiTheme="majorHAnsi" w:hAnsiTheme="majorHAnsi"/>
        </w:rPr>
        <w:t>010</w:t>
      </w:r>
      <w:r w:rsidR="00F050E9">
        <w:rPr>
          <w:rFonts w:asciiTheme="majorHAnsi" w:hAnsiTheme="majorHAnsi"/>
        </w:rPr>
        <w:t xml:space="preserve"> (Section 5</w:t>
      </w:r>
      <w:r>
        <w:rPr>
          <w:rFonts w:asciiTheme="majorHAnsi" w:hAnsiTheme="majorHAnsi"/>
        </w:rPr>
        <w:t>)</w:t>
      </w:r>
      <w:r w:rsidR="00F050E9">
        <w:rPr>
          <w:rFonts w:asciiTheme="majorHAnsi" w:hAnsiTheme="majorHAnsi"/>
        </w:rPr>
        <w:t>.  Spaces of this classification are representative of conventional design in which mechanical systems provide 100% of the space conditioning requirements.  Thermal comfort is assessed and evaluated using normal methodologies described in Standard 55.</w:t>
      </w:r>
    </w:p>
    <w:p w:rsidR="00F050E9" w:rsidRDefault="00F050E9">
      <w:pPr>
        <w:rPr>
          <w:rFonts w:asciiTheme="majorHAnsi" w:hAnsiTheme="majorHAnsi"/>
        </w:rPr>
      </w:pPr>
    </w:p>
    <w:p w:rsidR="00F050E9" w:rsidRDefault="00F050E9">
      <w:pPr>
        <w:rPr>
          <w:rFonts w:asciiTheme="majorHAnsi" w:hAnsiTheme="majorHAnsi"/>
          <w:u w:val="single"/>
        </w:rPr>
      </w:pPr>
      <w:r w:rsidRPr="00F050E9">
        <w:rPr>
          <w:rFonts w:asciiTheme="majorHAnsi" w:hAnsiTheme="majorHAnsi"/>
          <w:u w:val="single"/>
        </w:rPr>
        <w:t>References</w:t>
      </w:r>
    </w:p>
    <w:p w:rsidR="00F050E9" w:rsidRPr="00F050E9" w:rsidRDefault="00F050E9">
      <w:pPr>
        <w:rPr>
          <w:rFonts w:asciiTheme="majorHAnsi" w:hAnsiTheme="majorHAnsi"/>
        </w:rPr>
      </w:pPr>
    </w:p>
    <w:p w:rsidR="007D58A1" w:rsidRPr="007D58A1" w:rsidRDefault="007D58A1" w:rsidP="007D58A1">
      <w:pPr>
        <w:ind w:left="720" w:hanging="720"/>
        <w:rPr>
          <w:rFonts w:asciiTheme="majorHAnsi" w:hAnsiTheme="majorHAnsi"/>
          <w:lang w:val="en-AU"/>
        </w:rPr>
      </w:pPr>
      <w:r>
        <w:rPr>
          <w:rFonts w:asciiTheme="majorHAnsi" w:hAnsiTheme="majorHAnsi"/>
          <w:lang w:val="en-AU"/>
        </w:rPr>
        <w:t>ASHRAE (2010</w:t>
      </w:r>
      <w:r w:rsidRPr="007D58A1">
        <w:rPr>
          <w:rFonts w:asciiTheme="majorHAnsi" w:hAnsiTheme="majorHAnsi"/>
          <w:lang w:val="en-AU"/>
        </w:rPr>
        <w:t xml:space="preserve">). </w:t>
      </w:r>
      <w:r w:rsidRPr="00DF5C9D">
        <w:rPr>
          <w:rFonts w:asciiTheme="majorHAnsi" w:hAnsiTheme="majorHAnsi"/>
          <w:i/>
          <w:u w:val="single"/>
          <w:lang w:val="en-AU"/>
        </w:rPr>
        <w:t>ANSI/ASHRAE Standard 55R - Thermal Environmental Conditions for Human Occupancy</w:t>
      </w:r>
      <w:r w:rsidRPr="00DF5C9D">
        <w:rPr>
          <w:rFonts w:asciiTheme="majorHAnsi" w:hAnsiTheme="majorHAnsi"/>
          <w:i/>
          <w:lang w:val="en-AU"/>
        </w:rPr>
        <w:t>.</w:t>
      </w:r>
      <w:r w:rsidRPr="007D58A1">
        <w:rPr>
          <w:rFonts w:asciiTheme="majorHAnsi" w:hAnsiTheme="majorHAnsi"/>
          <w:lang w:val="en-AU"/>
        </w:rPr>
        <w:t xml:space="preserve"> Atlanta, American Society of Heating, Refrigerating and Air-Conditioning Engineers, Inc.</w:t>
      </w:r>
    </w:p>
    <w:p w:rsidR="00F331E7" w:rsidRPr="00F331E7" w:rsidRDefault="00F331E7" w:rsidP="00F331E7">
      <w:pPr>
        <w:ind w:left="720" w:hanging="720"/>
        <w:rPr>
          <w:rFonts w:asciiTheme="majorHAnsi" w:hAnsiTheme="majorHAnsi"/>
        </w:rPr>
      </w:pPr>
      <w:r>
        <w:rPr>
          <w:rFonts w:asciiTheme="majorHAnsi" w:hAnsiTheme="majorHAnsi"/>
        </w:rPr>
        <w:t xml:space="preserve">Brager, G.S. (2006). </w:t>
      </w:r>
      <w:r w:rsidR="00DF5C9D">
        <w:rPr>
          <w:rFonts w:asciiTheme="majorHAnsi" w:hAnsiTheme="majorHAnsi"/>
        </w:rPr>
        <w:t>"Mixed mode c</w:t>
      </w:r>
      <w:r w:rsidRPr="00F331E7">
        <w:rPr>
          <w:rFonts w:asciiTheme="majorHAnsi" w:hAnsiTheme="majorHAnsi"/>
        </w:rPr>
        <w:t xml:space="preserve">ooling." </w:t>
      </w:r>
      <w:r w:rsidRPr="00F331E7">
        <w:rPr>
          <w:rFonts w:asciiTheme="majorHAnsi" w:hAnsiTheme="majorHAnsi"/>
          <w:i/>
        </w:rPr>
        <w:t>ASHRAE Journal</w:t>
      </w:r>
      <w:r w:rsidRPr="00F331E7">
        <w:rPr>
          <w:rFonts w:asciiTheme="majorHAnsi" w:hAnsiTheme="majorHAnsi"/>
        </w:rPr>
        <w:t xml:space="preserve">, </w:t>
      </w:r>
      <w:r w:rsidRPr="00F331E7">
        <w:rPr>
          <w:rFonts w:asciiTheme="majorHAnsi" w:hAnsiTheme="majorHAnsi"/>
          <w:b/>
        </w:rPr>
        <w:t>48</w:t>
      </w:r>
      <w:r>
        <w:rPr>
          <w:rFonts w:asciiTheme="majorHAnsi" w:hAnsiTheme="majorHAnsi"/>
        </w:rPr>
        <w:t>(8):</w:t>
      </w:r>
      <w:r w:rsidRPr="00F331E7">
        <w:rPr>
          <w:rFonts w:asciiTheme="majorHAnsi" w:hAnsiTheme="majorHAnsi"/>
        </w:rPr>
        <w:t xml:space="preserve"> 30-37.</w:t>
      </w:r>
    </w:p>
    <w:p w:rsidR="00F331E7" w:rsidRDefault="00F331E7" w:rsidP="00F331E7">
      <w:pPr>
        <w:ind w:left="720" w:hanging="720"/>
        <w:rPr>
          <w:rFonts w:asciiTheme="majorHAnsi" w:hAnsiTheme="majorHAnsi"/>
          <w:lang w:val="en-AU"/>
        </w:rPr>
      </w:pPr>
      <w:r w:rsidRPr="00F331E7">
        <w:rPr>
          <w:rFonts w:asciiTheme="majorHAnsi" w:hAnsiTheme="majorHAnsi"/>
        </w:rPr>
        <w:t>August 2006.</w:t>
      </w:r>
    </w:p>
    <w:p w:rsidR="007D58A1" w:rsidRPr="007D58A1" w:rsidRDefault="00103BF8" w:rsidP="007D58A1">
      <w:pPr>
        <w:ind w:left="720" w:hanging="720"/>
        <w:rPr>
          <w:rFonts w:asciiTheme="majorHAnsi" w:hAnsiTheme="majorHAnsi"/>
          <w:lang w:val="en-AU"/>
        </w:rPr>
      </w:pPr>
      <w:r>
        <w:rPr>
          <w:rFonts w:asciiTheme="majorHAnsi" w:hAnsiTheme="majorHAnsi"/>
          <w:lang w:val="en-AU"/>
        </w:rPr>
        <w:t>Brager, G. S. and R. d</w:t>
      </w:r>
      <w:r w:rsidR="007D58A1" w:rsidRPr="007D58A1">
        <w:rPr>
          <w:rFonts w:asciiTheme="majorHAnsi" w:hAnsiTheme="majorHAnsi"/>
          <w:lang w:val="en-AU"/>
        </w:rPr>
        <w:t xml:space="preserve">e Dear (2000). "A standard for natural ventilation." </w:t>
      </w:r>
      <w:r w:rsidR="007D58A1" w:rsidRPr="00F331E7">
        <w:rPr>
          <w:rFonts w:asciiTheme="majorHAnsi" w:hAnsiTheme="majorHAnsi"/>
          <w:i/>
          <w:lang w:val="en-AU"/>
        </w:rPr>
        <w:t>ASHRAE Journal</w:t>
      </w:r>
      <w:r w:rsidR="007D58A1" w:rsidRPr="007D58A1">
        <w:rPr>
          <w:rFonts w:asciiTheme="majorHAnsi" w:hAnsiTheme="majorHAnsi"/>
          <w:lang w:val="en-AU"/>
        </w:rPr>
        <w:t xml:space="preserve"> </w:t>
      </w:r>
      <w:r w:rsidR="007D58A1" w:rsidRPr="007D58A1">
        <w:rPr>
          <w:rFonts w:asciiTheme="majorHAnsi" w:hAnsiTheme="majorHAnsi"/>
          <w:b/>
          <w:lang w:val="en-AU"/>
        </w:rPr>
        <w:t>42</w:t>
      </w:r>
      <w:r w:rsidR="007D58A1" w:rsidRPr="007D58A1">
        <w:rPr>
          <w:rFonts w:asciiTheme="majorHAnsi" w:hAnsiTheme="majorHAnsi"/>
          <w:lang w:val="en-AU"/>
        </w:rPr>
        <w:t>(10): 21-27.</w:t>
      </w:r>
    </w:p>
    <w:p w:rsidR="007D58A1" w:rsidRDefault="007D58A1" w:rsidP="007D58A1">
      <w:pPr>
        <w:ind w:left="720" w:hanging="720"/>
        <w:rPr>
          <w:rFonts w:asciiTheme="majorHAnsi" w:hAnsiTheme="majorHAnsi"/>
          <w:lang w:val="en-AU"/>
        </w:rPr>
      </w:pPr>
      <w:r w:rsidRPr="007D58A1">
        <w:rPr>
          <w:rFonts w:asciiTheme="majorHAnsi" w:hAnsiTheme="majorHAnsi"/>
          <w:lang w:val="en-AU"/>
        </w:rPr>
        <w:t>de Dear, R. J. and G. Brager (1998). "De</w:t>
      </w:r>
      <w:r w:rsidR="00DF5C9D">
        <w:rPr>
          <w:rFonts w:asciiTheme="majorHAnsi" w:hAnsiTheme="majorHAnsi"/>
          <w:lang w:val="en-AU"/>
        </w:rPr>
        <w:t>veloping an adaptive model of thermal comfort and p</w:t>
      </w:r>
      <w:r w:rsidRPr="007D58A1">
        <w:rPr>
          <w:rFonts w:asciiTheme="majorHAnsi" w:hAnsiTheme="majorHAnsi"/>
          <w:lang w:val="en-AU"/>
        </w:rPr>
        <w:t xml:space="preserve">reference." </w:t>
      </w:r>
      <w:r w:rsidRPr="00F331E7">
        <w:rPr>
          <w:rFonts w:asciiTheme="majorHAnsi" w:hAnsiTheme="majorHAnsi"/>
          <w:i/>
          <w:lang w:val="en-AU"/>
        </w:rPr>
        <w:t>ASHRAE Transactions</w:t>
      </w:r>
      <w:r w:rsidRPr="007D58A1">
        <w:rPr>
          <w:rFonts w:asciiTheme="majorHAnsi" w:hAnsiTheme="majorHAnsi"/>
          <w:lang w:val="en-AU"/>
        </w:rPr>
        <w:t xml:space="preserve"> </w:t>
      </w:r>
      <w:r w:rsidRPr="007D58A1">
        <w:rPr>
          <w:rFonts w:asciiTheme="majorHAnsi" w:hAnsiTheme="majorHAnsi"/>
          <w:b/>
          <w:lang w:val="en-AU"/>
        </w:rPr>
        <w:t>104</w:t>
      </w:r>
      <w:r w:rsidRPr="007D58A1">
        <w:rPr>
          <w:rFonts w:asciiTheme="majorHAnsi" w:hAnsiTheme="majorHAnsi"/>
          <w:lang w:val="en-AU"/>
        </w:rPr>
        <w:t>(1A): 145-167.</w:t>
      </w:r>
    </w:p>
    <w:p w:rsidR="00D05C24" w:rsidRPr="007D58A1" w:rsidRDefault="00D05C24" w:rsidP="00D05C24">
      <w:pPr>
        <w:ind w:left="720" w:hanging="720"/>
        <w:rPr>
          <w:rFonts w:asciiTheme="majorHAnsi" w:hAnsiTheme="majorHAnsi"/>
          <w:lang w:val="en-AU"/>
        </w:rPr>
      </w:pPr>
      <w:r w:rsidRPr="00D05C24">
        <w:rPr>
          <w:rFonts w:asciiTheme="majorHAnsi" w:hAnsiTheme="majorHAnsi"/>
        </w:rPr>
        <w:t>Fountain, M.E. and C. Huizenga (1996)</w:t>
      </w:r>
      <w:r>
        <w:rPr>
          <w:rFonts w:asciiTheme="majorHAnsi" w:hAnsiTheme="majorHAnsi"/>
        </w:rPr>
        <w:t>.</w:t>
      </w:r>
      <w:r w:rsidRPr="00D05C24">
        <w:rPr>
          <w:rFonts w:asciiTheme="majorHAnsi" w:hAnsiTheme="majorHAnsi"/>
        </w:rPr>
        <w:t xml:space="preserve"> </w:t>
      </w:r>
      <w:r>
        <w:rPr>
          <w:rFonts w:asciiTheme="majorHAnsi" w:hAnsiTheme="majorHAnsi"/>
        </w:rPr>
        <w:t>“</w:t>
      </w:r>
      <w:r w:rsidRPr="00D05C24">
        <w:rPr>
          <w:rFonts w:asciiTheme="majorHAnsi" w:hAnsiTheme="majorHAnsi"/>
        </w:rPr>
        <w:t>WinComf : A Windows 3.1 Thermal</w:t>
      </w:r>
      <w:r>
        <w:rPr>
          <w:rFonts w:asciiTheme="majorHAnsi" w:hAnsiTheme="majorHAnsi"/>
        </w:rPr>
        <w:t xml:space="preserve"> </w:t>
      </w:r>
      <w:r w:rsidRPr="00D05C24">
        <w:rPr>
          <w:rFonts w:asciiTheme="majorHAnsi" w:hAnsiTheme="majorHAnsi"/>
        </w:rPr>
        <w:t>Sensation Model - User’s Manual.</w:t>
      </w:r>
      <w:r>
        <w:rPr>
          <w:rFonts w:asciiTheme="majorHAnsi" w:hAnsiTheme="majorHAnsi"/>
        </w:rPr>
        <w:t>”</w:t>
      </w:r>
      <w:r w:rsidRPr="00D05C24">
        <w:rPr>
          <w:rFonts w:asciiTheme="majorHAnsi" w:hAnsiTheme="majorHAnsi"/>
        </w:rPr>
        <w:t xml:space="preserve"> (Berkeley: Environmental Analytics).</w:t>
      </w:r>
    </w:p>
    <w:p w:rsidR="007D58A1" w:rsidRPr="007D58A1" w:rsidRDefault="007D58A1" w:rsidP="007D58A1">
      <w:pPr>
        <w:ind w:left="720" w:hanging="720"/>
        <w:rPr>
          <w:rFonts w:asciiTheme="majorHAnsi" w:hAnsiTheme="majorHAnsi"/>
          <w:lang w:val="en-AU"/>
        </w:rPr>
      </w:pPr>
      <w:r w:rsidRPr="007D58A1">
        <w:rPr>
          <w:rFonts w:asciiTheme="majorHAnsi" w:hAnsiTheme="majorHAnsi"/>
          <w:lang w:val="en-AU"/>
        </w:rPr>
        <w:t xml:space="preserve">Nicol, J. F. and M. A. Humphreys (2009). "New standards for comfort and energy use in buildings." </w:t>
      </w:r>
      <w:r w:rsidRPr="00F331E7">
        <w:rPr>
          <w:rFonts w:asciiTheme="majorHAnsi" w:hAnsiTheme="majorHAnsi"/>
          <w:i/>
          <w:lang w:val="en-AU"/>
        </w:rPr>
        <w:t>Building Research and Information</w:t>
      </w:r>
      <w:r w:rsidRPr="007D58A1">
        <w:rPr>
          <w:rFonts w:asciiTheme="majorHAnsi" w:hAnsiTheme="majorHAnsi"/>
          <w:lang w:val="en-AU"/>
        </w:rPr>
        <w:t xml:space="preserve"> </w:t>
      </w:r>
      <w:r w:rsidRPr="007D58A1">
        <w:rPr>
          <w:rFonts w:asciiTheme="majorHAnsi" w:hAnsiTheme="majorHAnsi"/>
          <w:b/>
          <w:lang w:val="en-AU"/>
        </w:rPr>
        <w:t>37</w:t>
      </w:r>
      <w:r w:rsidRPr="007D58A1">
        <w:rPr>
          <w:rFonts w:asciiTheme="majorHAnsi" w:hAnsiTheme="majorHAnsi"/>
          <w:lang w:val="en-AU"/>
        </w:rPr>
        <w:t>(1): 68-73.</w:t>
      </w:r>
    </w:p>
    <w:p w:rsidR="00F050E9" w:rsidRPr="00F050E9" w:rsidRDefault="00F050E9">
      <w:pPr>
        <w:rPr>
          <w:rFonts w:asciiTheme="majorHAnsi" w:hAnsiTheme="majorHAnsi"/>
        </w:rPr>
      </w:pPr>
    </w:p>
    <w:sectPr w:rsidR="00F050E9" w:rsidRPr="00F050E9" w:rsidSect="00F158A1">
      <w:footerReference w:type="default" r:id="rId9"/>
      <w:pgSz w:w="12240" w:h="15840"/>
      <w:pgMar w:top="1152" w:right="1152" w:bottom="1152" w:left="1152"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244" w:rsidRDefault="004E3244" w:rsidP="00C90189">
      <w:r>
        <w:separator/>
      </w:r>
    </w:p>
  </w:endnote>
  <w:endnote w:type="continuationSeparator" w:id="0">
    <w:p w:rsidR="004E3244" w:rsidRDefault="004E3244" w:rsidP="00C9018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Bold">
    <w:altName w:val="Helvetica"/>
    <w:panose1 w:val="00000000000000000000"/>
    <w:charset w:val="4D"/>
    <w:family w:val="swiss"/>
    <w:notTrueType/>
    <w:pitch w:val="default"/>
    <w:sig w:usb0="00000003" w:usb1="00000000" w:usb2="00000000" w:usb3="00000000" w:csb0="00000001" w:csb1="00000000"/>
  </w:font>
  <w:font w:name="TimesNewRomanPSMT">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1969"/>
      <w:docPartObj>
        <w:docPartGallery w:val="Page Numbers (Bottom of Page)"/>
        <w:docPartUnique/>
      </w:docPartObj>
    </w:sdtPr>
    <w:sdtContent>
      <w:p w:rsidR="00BD3893" w:rsidRDefault="003067FC">
        <w:pPr>
          <w:pStyle w:val="Footer"/>
          <w:jc w:val="center"/>
        </w:pPr>
        <w:fldSimple w:instr=" PAGE   \* MERGEFORMAT ">
          <w:r w:rsidR="0069684A" w:rsidRPr="0069684A">
            <w:rPr>
              <w:noProof/>
              <w:sz w:val="20"/>
              <w:szCs w:val="20"/>
            </w:rPr>
            <w:t>1</w:t>
          </w:r>
        </w:fldSimple>
      </w:p>
    </w:sdtContent>
  </w:sdt>
  <w:p w:rsidR="00BD3893" w:rsidRDefault="00BD389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244" w:rsidRDefault="004E3244" w:rsidP="00C90189">
      <w:r>
        <w:separator/>
      </w:r>
    </w:p>
  </w:footnote>
  <w:footnote w:type="continuationSeparator" w:id="0">
    <w:p w:rsidR="004E3244" w:rsidRDefault="004E3244" w:rsidP="00C9018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A76"/>
    <w:multiLevelType w:val="hybridMultilevel"/>
    <w:tmpl w:val="81C288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3A3B72"/>
    <w:multiLevelType w:val="hybridMultilevel"/>
    <w:tmpl w:val="69D46E60"/>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097A08"/>
    <w:multiLevelType w:val="multilevel"/>
    <w:tmpl w:val="81C288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A7413BD"/>
    <w:multiLevelType w:val="hybridMultilevel"/>
    <w:tmpl w:val="F134E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CA1895"/>
    <w:rsid w:val="000356FE"/>
    <w:rsid w:val="000F7CF4"/>
    <w:rsid w:val="00103BF8"/>
    <w:rsid w:val="00143EBC"/>
    <w:rsid w:val="00180ED6"/>
    <w:rsid w:val="001A4679"/>
    <w:rsid w:val="001B3D38"/>
    <w:rsid w:val="001E1FF7"/>
    <w:rsid w:val="00242AB4"/>
    <w:rsid w:val="00243081"/>
    <w:rsid w:val="00294C5C"/>
    <w:rsid w:val="002E3030"/>
    <w:rsid w:val="003067FC"/>
    <w:rsid w:val="00376392"/>
    <w:rsid w:val="003767ED"/>
    <w:rsid w:val="003B6DA0"/>
    <w:rsid w:val="004066F7"/>
    <w:rsid w:val="00423B18"/>
    <w:rsid w:val="00444FC7"/>
    <w:rsid w:val="00461CF6"/>
    <w:rsid w:val="0046281C"/>
    <w:rsid w:val="00463A21"/>
    <w:rsid w:val="004E3244"/>
    <w:rsid w:val="004E4996"/>
    <w:rsid w:val="00510C5B"/>
    <w:rsid w:val="0059267C"/>
    <w:rsid w:val="005D1912"/>
    <w:rsid w:val="005D7BC9"/>
    <w:rsid w:val="005E3BF3"/>
    <w:rsid w:val="00643BD0"/>
    <w:rsid w:val="0069684A"/>
    <w:rsid w:val="00703642"/>
    <w:rsid w:val="007B7B08"/>
    <w:rsid w:val="007D51C0"/>
    <w:rsid w:val="007D58A1"/>
    <w:rsid w:val="008025A9"/>
    <w:rsid w:val="008D54C5"/>
    <w:rsid w:val="009012DE"/>
    <w:rsid w:val="009023AD"/>
    <w:rsid w:val="009A7EC4"/>
    <w:rsid w:val="009F2DA4"/>
    <w:rsid w:val="00A161AC"/>
    <w:rsid w:val="00A56EBE"/>
    <w:rsid w:val="00AB2B53"/>
    <w:rsid w:val="00B3724F"/>
    <w:rsid w:val="00B54174"/>
    <w:rsid w:val="00B61470"/>
    <w:rsid w:val="00B71C79"/>
    <w:rsid w:val="00B72AC2"/>
    <w:rsid w:val="00B87038"/>
    <w:rsid w:val="00BB2037"/>
    <w:rsid w:val="00BD3893"/>
    <w:rsid w:val="00C27C69"/>
    <w:rsid w:val="00C90189"/>
    <w:rsid w:val="00CA1895"/>
    <w:rsid w:val="00CB5294"/>
    <w:rsid w:val="00CB76E3"/>
    <w:rsid w:val="00D05C24"/>
    <w:rsid w:val="00D74361"/>
    <w:rsid w:val="00D861D5"/>
    <w:rsid w:val="00D875F8"/>
    <w:rsid w:val="00DB0476"/>
    <w:rsid w:val="00DF5C9D"/>
    <w:rsid w:val="00EB1AE4"/>
    <w:rsid w:val="00EF706D"/>
    <w:rsid w:val="00F050E9"/>
    <w:rsid w:val="00F158A1"/>
    <w:rsid w:val="00F331E7"/>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D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74361"/>
    <w:pPr>
      <w:ind w:left="720"/>
      <w:contextualSpacing/>
    </w:pPr>
  </w:style>
  <w:style w:type="paragraph" w:styleId="Header">
    <w:name w:val="header"/>
    <w:basedOn w:val="Normal"/>
    <w:link w:val="HeaderChar"/>
    <w:uiPriority w:val="99"/>
    <w:semiHidden/>
    <w:unhideWhenUsed/>
    <w:rsid w:val="00C90189"/>
    <w:pPr>
      <w:tabs>
        <w:tab w:val="center" w:pos="4680"/>
        <w:tab w:val="right" w:pos="9360"/>
      </w:tabs>
    </w:pPr>
  </w:style>
  <w:style w:type="character" w:customStyle="1" w:styleId="HeaderChar">
    <w:name w:val="Header Char"/>
    <w:basedOn w:val="DefaultParagraphFont"/>
    <w:link w:val="Header"/>
    <w:uiPriority w:val="99"/>
    <w:semiHidden/>
    <w:rsid w:val="00C90189"/>
  </w:style>
  <w:style w:type="paragraph" w:styleId="Footer">
    <w:name w:val="footer"/>
    <w:basedOn w:val="Normal"/>
    <w:link w:val="FooterChar"/>
    <w:uiPriority w:val="99"/>
    <w:unhideWhenUsed/>
    <w:rsid w:val="00C90189"/>
    <w:pPr>
      <w:tabs>
        <w:tab w:val="center" w:pos="4680"/>
        <w:tab w:val="right" w:pos="9360"/>
      </w:tabs>
    </w:pPr>
  </w:style>
  <w:style w:type="character" w:customStyle="1" w:styleId="FooterChar">
    <w:name w:val="Footer Char"/>
    <w:basedOn w:val="DefaultParagraphFont"/>
    <w:link w:val="Footer"/>
    <w:uiPriority w:val="99"/>
    <w:rsid w:val="00C90189"/>
  </w:style>
  <w:style w:type="paragraph" w:styleId="BalloonText">
    <w:name w:val="Balloon Text"/>
    <w:basedOn w:val="Normal"/>
    <w:link w:val="BalloonTextChar"/>
    <w:uiPriority w:val="99"/>
    <w:semiHidden/>
    <w:unhideWhenUsed/>
    <w:rsid w:val="007D51C0"/>
    <w:rPr>
      <w:rFonts w:ascii="Lucida Grande" w:hAnsi="Lucida Grande"/>
      <w:sz w:val="18"/>
      <w:szCs w:val="18"/>
    </w:rPr>
  </w:style>
  <w:style w:type="character" w:customStyle="1" w:styleId="BalloonTextChar">
    <w:name w:val="Balloon Text Char"/>
    <w:basedOn w:val="DefaultParagraphFont"/>
    <w:link w:val="BalloonText"/>
    <w:uiPriority w:val="99"/>
    <w:semiHidden/>
    <w:rsid w:val="007D51C0"/>
    <w:rPr>
      <w:rFonts w:ascii="Lucida Grande" w:hAnsi="Lucida Grande"/>
      <w:sz w:val="18"/>
      <w:szCs w:val="18"/>
    </w:rPr>
  </w:style>
  <w:style w:type="character" w:styleId="CommentReference">
    <w:name w:val="annotation reference"/>
    <w:basedOn w:val="DefaultParagraphFont"/>
    <w:uiPriority w:val="99"/>
    <w:semiHidden/>
    <w:unhideWhenUsed/>
    <w:rsid w:val="009F2DA4"/>
    <w:rPr>
      <w:sz w:val="18"/>
      <w:szCs w:val="18"/>
    </w:rPr>
  </w:style>
  <w:style w:type="paragraph" w:styleId="CommentText">
    <w:name w:val="annotation text"/>
    <w:basedOn w:val="Normal"/>
    <w:link w:val="CommentTextChar"/>
    <w:uiPriority w:val="99"/>
    <w:semiHidden/>
    <w:unhideWhenUsed/>
    <w:rsid w:val="009F2DA4"/>
  </w:style>
  <w:style w:type="character" w:customStyle="1" w:styleId="CommentTextChar">
    <w:name w:val="Comment Text Char"/>
    <w:basedOn w:val="DefaultParagraphFont"/>
    <w:link w:val="CommentText"/>
    <w:uiPriority w:val="99"/>
    <w:semiHidden/>
    <w:rsid w:val="009F2DA4"/>
  </w:style>
  <w:style w:type="paragraph" w:styleId="CommentSubject">
    <w:name w:val="annotation subject"/>
    <w:basedOn w:val="CommentText"/>
    <w:next w:val="CommentText"/>
    <w:link w:val="CommentSubjectChar"/>
    <w:uiPriority w:val="99"/>
    <w:semiHidden/>
    <w:unhideWhenUsed/>
    <w:rsid w:val="009F2DA4"/>
    <w:rPr>
      <w:b/>
      <w:bCs/>
      <w:sz w:val="20"/>
      <w:szCs w:val="20"/>
    </w:rPr>
  </w:style>
  <w:style w:type="character" w:customStyle="1" w:styleId="CommentSubjectChar">
    <w:name w:val="Comment Subject Char"/>
    <w:basedOn w:val="CommentTextChar"/>
    <w:link w:val="CommentSubject"/>
    <w:uiPriority w:val="99"/>
    <w:semiHidden/>
    <w:rsid w:val="009F2DA4"/>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19645494830133"/>
          <c:y val="0.0422222222222223"/>
          <c:w val="0.741506646971935"/>
          <c:h val="0.653333333333334"/>
        </c:manualLayout>
      </c:layout>
      <c:scatterChart>
        <c:scatterStyle val="lineMarker"/>
        <c:ser>
          <c:idx val="0"/>
          <c:order val="0"/>
          <c:spPr>
            <a:ln w="17294">
              <a:noFill/>
            </a:ln>
          </c:spPr>
          <c:marker>
            <c:symbol val="circle"/>
            <c:size val="3"/>
            <c:spPr>
              <a:solidFill>
                <a:srgbClr val="FFFFFF"/>
              </a:solidFill>
              <a:ln>
                <a:solidFill>
                  <a:srgbClr val="000080"/>
                </a:solidFill>
                <a:prstDash val="solid"/>
              </a:ln>
            </c:spPr>
          </c:marker>
          <c:trendline>
            <c:spPr>
              <a:ln w="7686">
                <a:solidFill>
                  <a:srgbClr val="000080"/>
                </a:solidFill>
                <a:prstDash val="solid"/>
              </a:ln>
            </c:spPr>
            <c:trendlineType val="linear"/>
          </c:trendline>
          <c:xVal>
            <c:numRef>
              <c:f>'NV Std 55 (17 March 99)'!$B$6:$B$34</c:f>
              <c:numCache>
                <c:formatCode>General</c:formatCode>
                <c:ptCount val="29"/>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numCache>
            </c:numRef>
          </c:xVal>
          <c:yVal>
            <c:numRef>
              <c:f>'NV Std 55 (17 March 99)'!$C$6:$C$34</c:f>
              <c:numCache>
                <c:formatCode>0.0</c:formatCode>
                <c:ptCount val="29"/>
                <c:pt idx="0">
                  <c:v>19.35</c:v>
                </c:pt>
                <c:pt idx="1">
                  <c:v>19.66</c:v>
                </c:pt>
                <c:pt idx="2">
                  <c:v>19.97</c:v>
                </c:pt>
                <c:pt idx="3">
                  <c:v>20.27999999999999</c:v>
                </c:pt>
                <c:pt idx="4">
                  <c:v>20.59</c:v>
                </c:pt>
                <c:pt idx="5">
                  <c:v>20.9</c:v>
                </c:pt>
                <c:pt idx="6">
                  <c:v>21.21</c:v>
                </c:pt>
                <c:pt idx="7">
                  <c:v>21.52</c:v>
                </c:pt>
                <c:pt idx="8">
                  <c:v>21.83000000000002</c:v>
                </c:pt>
                <c:pt idx="9">
                  <c:v>22.14</c:v>
                </c:pt>
                <c:pt idx="10">
                  <c:v>22.45</c:v>
                </c:pt>
                <c:pt idx="11">
                  <c:v>22.75999999999999</c:v>
                </c:pt>
                <c:pt idx="12">
                  <c:v>23.07</c:v>
                </c:pt>
                <c:pt idx="13">
                  <c:v>23.38</c:v>
                </c:pt>
                <c:pt idx="14">
                  <c:v>23.69</c:v>
                </c:pt>
                <c:pt idx="15">
                  <c:v>24.0</c:v>
                </c:pt>
                <c:pt idx="16">
                  <c:v>24.31000000000003</c:v>
                </c:pt>
                <c:pt idx="17">
                  <c:v>24.62</c:v>
                </c:pt>
                <c:pt idx="18">
                  <c:v>24.93</c:v>
                </c:pt>
                <c:pt idx="19">
                  <c:v>25.24</c:v>
                </c:pt>
                <c:pt idx="20">
                  <c:v>25.55</c:v>
                </c:pt>
                <c:pt idx="21">
                  <c:v>25.86</c:v>
                </c:pt>
                <c:pt idx="22">
                  <c:v>26.17</c:v>
                </c:pt>
                <c:pt idx="23">
                  <c:v>26.47999999999999</c:v>
                </c:pt>
                <c:pt idx="24">
                  <c:v>26.79</c:v>
                </c:pt>
                <c:pt idx="25">
                  <c:v>27.1</c:v>
                </c:pt>
                <c:pt idx="26">
                  <c:v>27.41</c:v>
                </c:pt>
                <c:pt idx="27">
                  <c:v>27.72</c:v>
                </c:pt>
                <c:pt idx="28">
                  <c:v>28.03</c:v>
                </c:pt>
              </c:numCache>
            </c:numRef>
          </c:yVal>
        </c:ser>
        <c:ser>
          <c:idx val="1"/>
          <c:order val="1"/>
          <c:spPr>
            <a:ln w="17294">
              <a:noFill/>
            </a:ln>
          </c:spPr>
          <c:marker>
            <c:symbol val="none"/>
          </c:marker>
          <c:trendline>
            <c:spPr>
              <a:ln w="15372">
                <a:solidFill>
                  <a:srgbClr val="FF0000"/>
                </a:solidFill>
                <a:prstDash val="solid"/>
              </a:ln>
            </c:spPr>
            <c:trendlineType val="linear"/>
          </c:trendline>
          <c:xVal>
            <c:numRef>
              <c:f>'NV Std 55 (17 March 99)'!$B$6:$B$34</c:f>
              <c:numCache>
                <c:formatCode>General</c:formatCode>
                <c:ptCount val="29"/>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numCache>
            </c:numRef>
          </c:xVal>
          <c:yVal>
            <c:numRef>
              <c:f>'NV Std 55 (17 March 99)'!$D$6:$D$34</c:f>
              <c:numCache>
                <c:formatCode>0.0</c:formatCode>
                <c:ptCount val="29"/>
                <c:pt idx="0">
                  <c:v>22.85</c:v>
                </c:pt>
                <c:pt idx="1">
                  <c:v>23.16</c:v>
                </c:pt>
                <c:pt idx="2">
                  <c:v>23.47</c:v>
                </c:pt>
                <c:pt idx="3">
                  <c:v>23.77999999999999</c:v>
                </c:pt>
                <c:pt idx="4">
                  <c:v>24.09</c:v>
                </c:pt>
                <c:pt idx="5">
                  <c:v>24.4</c:v>
                </c:pt>
                <c:pt idx="6">
                  <c:v>24.71</c:v>
                </c:pt>
                <c:pt idx="7">
                  <c:v>25.02</c:v>
                </c:pt>
                <c:pt idx="8">
                  <c:v>25.33000000000002</c:v>
                </c:pt>
                <c:pt idx="9">
                  <c:v>25.64</c:v>
                </c:pt>
                <c:pt idx="10">
                  <c:v>25.95</c:v>
                </c:pt>
                <c:pt idx="11">
                  <c:v>26.25999999999999</c:v>
                </c:pt>
                <c:pt idx="12">
                  <c:v>26.57</c:v>
                </c:pt>
                <c:pt idx="13">
                  <c:v>26.88</c:v>
                </c:pt>
                <c:pt idx="14">
                  <c:v>27.19</c:v>
                </c:pt>
                <c:pt idx="15">
                  <c:v>27.5</c:v>
                </c:pt>
                <c:pt idx="16">
                  <c:v>27.81000000000003</c:v>
                </c:pt>
                <c:pt idx="17">
                  <c:v>28.12</c:v>
                </c:pt>
                <c:pt idx="18">
                  <c:v>28.43</c:v>
                </c:pt>
                <c:pt idx="19">
                  <c:v>28.74</c:v>
                </c:pt>
                <c:pt idx="20">
                  <c:v>29.05</c:v>
                </c:pt>
                <c:pt idx="21">
                  <c:v>29.36</c:v>
                </c:pt>
                <c:pt idx="22">
                  <c:v>29.67</c:v>
                </c:pt>
                <c:pt idx="23">
                  <c:v>29.97999999999999</c:v>
                </c:pt>
                <c:pt idx="24">
                  <c:v>30.29</c:v>
                </c:pt>
                <c:pt idx="25">
                  <c:v>30.6</c:v>
                </c:pt>
                <c:pt idx="26">
                  <c:v>30.91</c:v>
                </c:pt>
                <c:pt idx="27">
                  <c:v>31.22</c:v>
                </c:pt>
                <c:pt idx="28">
                  <c:v>31.53</c:v>
                </c:pt>
              </c:numCache>
            </c:numRef>
          </c:yVal>
        </c:ser>
        <c:ser>
          <c:idx val="2"/>
          <c:order val="2"/>
          <c:spPr>
            <a:ln w="17294">
              <a:noFill/>
            </a:ln>
          </c:spPr>
          <c:marker>
            <c:symbol val="none"/>
          </c:marker>
          <c:trendline>
            <c:spPr>
              <a:ln w="15372">
                <a:solidFill>
                  <a:srgbClr val="FF0000"/>
                </a:solidFill>
                <a:prstDash val="solid"/>
              </a:ln>
            </c:spPr>
            <c:trendlineType val="linear"/>
          </c:trendline>
          <c:xVal>
            <c:numRef>
              <c:f>'NV Std 55 (17 March 99)'!$B$6:$B$34</c:f>
              <c:numCache>
                <c:formatCode>General</c:formatCode>
                <c:ptCount val="29"/>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numCache>
            </c:numRef>
          </c:xVal>
          <c:yVal>
            <c:numRef>
              <c:f>'NV Std 55 (17 March 99)'!$E$6:$E$34</c:f>
              <c:numCache>
                <c:formatCode>0.0</c:formatCode>
                <c:ptCount val="29"/>
                <c:pt idx="0">
                  <c:v>15.85000000000002</c:v>
                </c:pt>
                <c:pt idx="1">
                  <c:v>16.16</c:v>
                </c:pt>
                <c:pt idx="2">
                  <c:v>16.47</c:v>
                </c:pt>
                <c:pt idx="3">
                  <c:v>16.77999999999999</c:v>
                </c:pt>
                <c:pt idx="4">
                  <c:v>17.09</c:v>
                </c:pt>
                <c:pt idx="5">
                  <c:v>17.4</c:v>
                </c:pt>
                <c:pt idx="6">
                  <c:v>17.71</c:v>
                </c:pt>
                <c:pt idx="7">
                  <c:v>18.02</c:v>
                </c:pt>
                <c:pt idx="8">
                  <c:v>18.33000000000002</c:v>
                </c:pt>
                <c:pt idx="9">
                  <c:v>18.64</c:v>
                </c:pt>
                <c:pt idx="10">
                  <c:v>18.95</c:v>
                </c:pt>
                <c:pt idx="11">
                  <c:v>19.25999999999999</c:v>
                </c:pt>
                <c:pt idx="12">
                  <c:v>19.57</c:v>
                </c:pt>
                <c:pt idx="13">
                  <c:v>19.88</c:v>
                </c:pt>
                <c:pt idx="14">
                  <c:v>20.19</c:v>
                </c:pt>
                <c:pt idx="15">
                  <c:v>20.5</c:v>
                </c:pt>
                <c:pt idx="16">
                  <c:v>20.81000000000003</c:v>
                </c:pt>
                <c:pt idx="17">
                  <c:v>21.12</c:v>
                </c:pt>
                <c:pt idx="18">
                  <c:v>21.43</c:v>
                </c:pt>
                <c:pt idx="19">
                  <c:v>21.74</c:v>
                </c:pt>
                <c:pt idx="20">
                  <c:v>22.05</c:v>
                </c:pt>
                <c:pt idx="21">
                  <c:v>22.36</c:v>
                </c:pt>
                <c:pt idx="22">
                  <c:v>22.67</c:v>
                </c:pt>
                <c:pt idx="23">
                  <c:v>22.97999999999999</c:v>
                </c:pt>
                <c:pt idx="24">
                  <c:v>23.29</c:v>
                </c:pt>
                <c:pt idx="25">
                  <c:v>23.6</c:v>
                </c:pt>
                <c:pt idx="26">
                  <c:v>23.91</c:v>
                </c:pt>
                <c:pt idx="27">
                  <c:v>24.22</c:v>
                </c:pt>
                <c:pt idx="28">
                  <c:v>24.53</c:v>
                </c:pt>
              </c:numCache>
            </c:numRef>
          </c:yVal>
        </c:ser>
        <c:ser>
          <c:idx val="3"/>
          <c:order val="3"/>
          <c:spPr>
            <a:ln w="17294">
              <a:noFill/>
            </a:ln>
          </c:spPr>
          <c:marker>
            <c:symbol val="none"/>
          </c:marker>
          <c:trendline>
            <c:spPr>
              <a:ln w="15372">
                <a:solidFill>
                  <a:srgbClr val="008000"/>
                </a:solidFill>
                <a:prstDash val="lgDash"/>
              </a:ln>
            </c:spPr>
            <c:trendlineType val="linear"/>
          </c:trendline>
          <c:xVal>
            <c:numRef>
              <c:f>'NV Std 55 (17 March 99)'!$B$6:$B$34</c:f>
              <c:numCache>
                <c:formatCode>General</c:formatCode>
                <c:ptCount val="29"/>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numCache>
            </c:numRef>
          </c:xVal>
          <c:yVal>
            <c:numRef>
              <c:f>'NV Std 55 (17 March 99)'!$F$6:$F$34</c:f>
              <c:numCache>
                <c:formatCode>0.0</c:formatCode>
                <c:ptCount val="29"/>
                <c:pt idx="0">
                  <c:v>21.85</c:v>
                </c:pt>
                <c:pt idx="1">
                  <c:v>22.16</c:v>
                </c:pt>
                <c:pt idx="2">
                  <c:v>22.47</c:v>
                </c:pt>
                <c:pt idx="3">
                  <c:v>22.77999999999999</c:v>
                </c:pt>
                <c:pt idx="4">
                  <c:v>23.09</c:v>
                </c:pt>
                <c:pt idx="5">
                  <c:v>23.4</c:v>
                </c:pt>
                <c:pt idx="6">
                  <c:v>23.71</c:v>
                </c:pt>
                <c:pt idx="7">
                  <c:v>24.02</c:v>
                </c:pt>
                <c:pt idx="8">
                  <c:v>24.33000000000002</c:v>
                </c:pt>
                <c:pt idx="9">
                  <c:v>24.64</c:v>
                </c:pt>
                <c:pt idx="10">
                  <c:v>24.95</c:v>
                </c:pt>
                <c:pt idx="11">
                  <c:v>25.25999999999999</c:v>
                </c:pt>
                <c:pt idx="12">
                  <c:v>25.57</c:v>
                </c:pt>
                <c:pt idx="13">
                  <c:v>25.88</c:v>
                </c:pt>
                <c:pt idx="14">
                  <c:v>26.19</c:v>
                </c:pt>
                <c:pt idx="15">
                  <c:v>26.5</c:v>
                </c:pt>
                <c:pt idx="16">
                  <c:v>26.81000000000003</c:v>
                </c:pt>
                <c:pt idx="17">
                  <c:v>27.12</c:v>
                </c:pt>
                <c:pt idx="18">
                  <c:v>27.43</c:v>
                </c:pt>
                <c:pt idx="19">
                  <c:v>27.74</c:v>
                </c:pt>
                <c:pt idx="20">
                  <c:v>28.05</c:v>
                </c:pt>
                <c:pt idx="21">
                  <c:v>28.36</c:v>
                </c:pt>
                <c:pt idx="22">
                  <c:v>28.67</c:v>
                </c:pt>
                <c:pt idx="23">
                  <c:v>28.97999999999999</c:v>
                </c:pt>
                <c:pt idx="24">
                  <c:v>29.29</c:v>
                </c:pt>
                <c:pt idx="25">
                  <c:v>29.6</c:v>
                </c:pt>
                <c:pt idx="26">
                  <c:v>29.91</c:v>
                </c:pt>
                <c:pt idx="27">
                  <c:v>30.22</c:v>
                </c:pt>
                <c:pt idx="28">
                  <c:v>30.53</c:v>
                </c:pt>
              </c:numCache>
            </c:numRef>
          </c:yVal>
        </c:ser>
        <c:ser>
          <c:idx val="4"/>
          <c:order val="4"/>
          <c:spPr>
            <a:ln w="17294">
              <a:noFill/>
            </a:ln>
          </c:spPr>
          <c:marker>
            <c:symbol val="none"/>
          </c:marker>
          <c:trendline>
            <c:spPr>
              <a:ln w="15372">
                <a:solidFill>
                  <a:srgbClr val="008000"/>
                </a:solidFill>
                <a:prstDash val="lgDash"/>
              </a:ln>
            </c:spPr>
            <c:trendlineType val="linear"/>
          </c:trendline>
          <c:xVal>
            <c:numRef>
              <c:f>'NV Std 55 (17 March 99)'!$B$6:$B$34</c:f>
              <c:numCache>
                <c:formatCode>General</c:formatCode>
                <c:ptCount val="29"/>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numCache>
            </c:numRef>
          </c:xVal>
          <c:yVal>
            <c:numRef>
              <c:f>'NV Std 55 (17 March 99)'!$G$6:$G$34</c:f>
              <c:numCache>
                <c:formatCode>0.0</c:formatCode>
                <c:ptCount val="29"/>
                <c:pt idx="0">
                  <c:v>16.85</c:v>
                </c:pt>
                <c:pt idx="1">
                  <c:v>17.16</c:v>
                </c:pt>
                <c:pt idx="2">
                  <c:v>17.47</c:v>
                </c:pt>
                <c:pt idx="3">
                  <c:v>17.77999999999999</c:v>
                </c:pt>
                <c:pt idx="4">
                  <c:v>18.09</c:v>
                </c:pt>
                <c:pt idx="5">
                  <c:v>18.4</c:v>
                </c:pt>
                <c:pt idx="6">
                  <c:v>18.71</c:v>
                </c:pt>
                <c:pt idx="7">
                  <c:v>19.02</c:v>
                </c:pt>
                <c:pt idx="8">
                  <c:v>19.33000000000002</c:v>
                </c:pt>
                <c:pt idx="9">
                  <c:v>19.64</c:v>
                </c:pt>
                <c:pt idx="10">
                  <c:v>19.95</c:v>
                </c:pt>
                <c:pt idx="11">
                  <c:v>20.25999999999999</c:v>
                </c:pt>
                <c:pt idx="12">
                  <c:v>20.57</c:v>
                </c:pt>
                <c:pt idx="13">
                  <c:v>20.88</c:v>
                </c:pt>
                <c:pt idx="14">
                  <c:v>21.19</c:v>
                </c:pt>
                <c:pt idx="15">
                  <c:v>21.5</c:v>
                </c:pt>
                <c:pt idx="16">
                  <c:v>21.81000000000003</c:v>
                </c:pt>
                <c:pt idx="17">
                  <c:v>22.12</c:v>
                </c:pt>
                <c:pt idx="18">
                  <c:v>22.43</c:v>
                </c:pt>
                <c:pt idx="19">
                  <c:v>22.74</c:v>
                </c:pt>
                <c:pt idx="20">
                  <c:v>23.05</c:v>
                </c:pt>
                <c:pt idx="21">
                  <c:v>23.36</c:v>
                </c:pt>
                <c:pt idx="22">
                  <c:v>23.67</c:v>
                </c:pt>
                <c:pt idx="23">
                  <c:v>23.97999999999999</c:v>
                </c:pt>
                <c:pt idx="24">
                  <c:v>24.29</c:v>
                </c:pt>
                <c:pt idx="25">
                  <c:v>24.6</c:v>
                </c:pt>
                <c:pt idx="26">
                  <c:v>24.91</c:v>
                </c:pt>
                <c:pt idx="27">
                  <c:v>25.22</c:v>
                </c:pt>
                <c:pt idx="28">
                  <c:v>25.53</c:v>
                </c:pt>
              </c:numCache>
            </c:numRef>
          </c:yVal>
        </c:ser>
        <c:axId val="790184872"/>
        <c:axId val="789721816"/>
      </c:scatterChart>
      <c:valAx>
        <c:axId val="790184872"/>
        <c:scaling>
          <c:orientation val="minMax"/>
          <c:max val="35.0"/>
          <c:min val="5.0"/>
        </c:scaling>
        <c:axPos val="b"/>
        <c:majorGridlines>
          <c:spPr>
            <a:ln w="1922">
              <a:solidFill>
                <a:srgbClr val="000000"/>
              </a:solidFill>
              <a:prstDash val="sysDash"/>
            </a:ln>
          </c:spPr>
        </c:majorGridlines>
        <c:title>
          <c:tx>
            <c:rich>
              <a:bodyPr/>
              <a:lstStyle/>
              <a:p>
                <a:pPr>
                  <a:defRPr sz="968" b="1" i="0" u="none" strike="noStrike" baseline="0">
                    <a:solidFill>
                      <a:srgbClr val="000000"/>
                    </a:solidFill>
                    <a:latin typeface="Arial"/>
                    <a:ea typeface="Arial"/>
                    <a:cs typeface="Arial"/>
                  </a:defRPr>
                </a:pPr>
                <a:r>
                  <a:rPr lang="en-US" sz="968" b="1" i="0" u="none" strike="noStrike" baseline="0">
                    <a:solidFill>
                      <a:srgbClr val="000000"/>
                    </a:solidFill>
                    <a:latin typeface="Arial"/>
                    <a:cs typeface="Arial"/>
                  </a:rPr>
                  <a:t>mean outdoor air temperature (</a:t>
                </a:r>
                <a:r>
                  <a:rPr lang="en-US" sz="968" b="1" i="0" u="none" strike="noStrike" baseline="30000">
                    <a:solidFill>
                      <a:srgbClr val="000000"/>
                    </a:solidFill>
                    <a:latin typeface="Arial"/>
                    <a:cs typeface="Arial"/>
                  </a:rPr>
                  <a:t>o</a:t>
                </a:r>
                <a:r>
                  <a:rPr lang="en-US" sz="968" b="1" i="0" u="none" strike="noStrike" baseline="0">
                    <a:solidFill>
                      <a:srgbClr val="000000"/>
                    </a:solidFill>
                    <a:latin typeface="Arial"/>
                    <a:cs typeface="Arial"/>
                  </a:rPr>
                  <a:t>C)</a:t>
                </a:r>
              </a:p>
            </c:rich>
          </c:tx>
          <c:layout>
            <c:manualLayout>
              <c:xMode val="edge"/>
              <c:yMode val="edge"/>
              <c:x val="0.30576070901034"/>
              <c:y val="0.806666666666666"/>
            </c:manualLayout>
          </c:layout>
          <c:spPr>
            <a:noFill/>
            <a:ln w="15372">
              <a:noFill/>
            </a:ln>
          </c:spPr>
        </c:title>
        <c:numFmt formatCode="General" sourceLinked="1"/>
        <c:majorTickMark val="cross"/>
        <c:minorTickMark val="in"/>
        <c:tickLblPos val="nextTo"/>
        <c:spPr>
          <a:ln w="1922">
            <a:solidFill>
              <a:srgbClr val="000000"/>
            </a:solidFill>
            <a:prstDash val="solid"/>
          </a:ln>
        </c:spPr>
        <c:txPr>
          <a:bodyPr rot="0" vert="horz"/>
          <a:lstStyle/>
          <a:p>
            <a:pPr>
              <a:defRPr sz="968" b="1" i="0" u="none" strike="noStrike" baseline="0">
                <a:solidFill>
                  <a:srgbClr val="000000"/>
                </a:solidFill>
                <a:latin typeface="Arial"/>
                <a:ea typeface="Arial"/>
                <a:cs typeface="Arial"/>
              </a:defRPr>
            </a:pPr>
            <a:endParaRPr lang="en-US"/>
          </a:p>
        </c:txPr>
        <c:crossAx val="789721816"/>
        <c:crossesAt val="14.0"/>
        <c:crossBetween val="midCat"/>
        <c:majorUnit val="5.0"/>
        <c:minorUnit val="1.0"/>
      </c:valAx>
      <c:valAx>
        <c:axId val="789721816"/>
        <c:scaling>
          <c:orientation val="minMax"/>
          <c:max val="32.0"/>
          <c:min val="14.0"/>
        </c:scaling>
        <c:axPos val="l"/>
        <c:majorGridlines>
          <c:spPr>
            <a:ln w="1922">
              <a:solidFill>
                <a:srgbClr val="000000"/>
              </a:solidFill>
              <a:prstDash val="sysDash"/>
            </a:ln>
          </c:spPr>
        </c:majorGridlines>
        <c:title>
          <c:tx>
            <c:rich>
              <a:bodyPr/>
              <a:lstStyle/>
              <a:p>
                <a:pPr>
                  <a:defRPr sz="968" b="1" i="0" u="none" strike="noStrike" baseline="0">
                    <a:solidFill>
                      <a:srgbClr val="000000"/>
                    </a:solidFill>
                    <a:latin typeface="Arial"/>
                    <a:ea typeface="Arial"/>
                    <a:cs typeface="Arial"/>
                  </a:defRPr>
                </a:pPr>
                <a:r>
                  <a:rPr lang="en-US" sz="968" b="1" i="0" u="none" strike="noStrike" baseline="0">
                    <a:solidFill>
                      <a:srgbClr val="000000"/>
                    </a:solidFill>
                    <a:latin typeface="Arial"/>
                    <a:cs typeface="Arial"/>
                  </a:rPr>
                  <a:t>indoor operative temperature (</a:t>
                </a:r>
                <a:r>
                  <a:rPr lang="en-US" sz="968" b="1" i="0" u="none" strike="noStrike" baseline="30000">
                    <a:solidFill>
                      <a:srgbClr val="000000"/>
                    </a:solidFill>
                    <a:latin typeface="Arial"/>
                    <a:cs typeface="Arial"/>
                  </a:rPr>
                  <a:t>o</a:t>
                </a:r>
                <a:r>
                  <a:rPr lang="en-US" sz="968" b="1" i="0" u="none" strike="noStrike" baseline="0">
                    <a:solidFill>
                      <a:srgbClr val="000000"/>
                    </a:solidFill>
                    <a:latin typeface="Arial"/>
                    <a:cs typeface="Arial"/>
                  </a:rPr>
                  <a:t>C)</a:t>
                </a:r>
              </a:p>
            </c:rich>
          </c:tx>
          <c:layout>
            <c:manualLayout>
              <c:xMode val="edge"/>
              <c:yMode val="edge"/>
              <c:x val="0.0236336779911374"/>
              <c:y val="0.0"/>
            </c:manualLayout>
          </c:layout>
          <c:spPr>
            <a:noFill/>
            <a:ln w="15372">
              <a:noFill/>
            </a:ln>
          </c:spPr>
        </c:title>
        <c:numFmt formatCode="0" sourceLinked="0"/>
        <c:majorTickMark val="cross"/>
        <c:minorTickMark val="in"/>
        <c:tickLblPos val="nextTo"/>
        <c:spPr>
          <a:ln w="1922">
            <a:solidFill>
              <a:srgbClr val="000000"/>
            </a:solidFill>
            <a:prstDash val="solid"/>
          </a:ln>
        </c:spPr>
        <c:txPr>
          <a:bodyPr rot="0" vert="horz"/>
          <a:lstStyle/>
          <a:p>
            <a:pPr>
              <a:defRPr sz="968" b="1" i="0" u="none" strike="noStrike" baseline="0">
                <a:solidFill>
                  <a:srgbClr val="000000"/>
                </a:solidFill>
                <a:latin typeface="Arial"/>
                <a:ea typeface="Arial"/>
                <a:cs typeface="Arial"/>
              </a:defRPr>
            </a:pPr>
            <a:endParaRPr lang="en-US"/>
          </a:p>
        </c:txPr>
        <c:crossAx val="790184872"/>
        <c:crossesAt val="5.0"/>
        <c:crossBetween val="midCat"/>
        <c:majorUnit val="2.0"/>
        <c:minorUnit val="1.0"/>
      </c:valAx>
      <c:spPr>
        <a:solidFill>
          <a:srgbClr val="FFFFFF"/>
        </a:solidFill>
        <a:ln w="7686">
          <a:solidFill>
            <a:srgbClr val="808080"/>
          </a:solidFill>
          <a:prstDash val="solid"/>
        </a:ln>
      </c:spPr>
    </c:plotArea>
    <c:plotVisOnly val="1"/>
    <c:dispBlanksAs val="gap"/>
  </c:chart>
  <c:spPr>
    <a:solidFill>
      <a:srgbClr val="FFFFFF"/>
    </a:solidFill>
    <a:ln w="1922">
      <a:solidFill>
        <a:srgbClr val="000000"/>
      </a:solidFill>
      <a:prstDash val="solid"/>
    </a:ln>
  </c:spPr>
  <c:txPr>
    <a:bodyPr/>
    <a:lstStyle/>
    <a:p>
      <a:pPr>
        <a:defRPr sz="605" b="0" i="0" u="none" strike="noStrike" baseline="0">
          <a:solidFill>
            <a:srgbClr val="000000"/>
          </a:solidFill>
          <a:latin typeface="Arial"/>
          <a:ea typeface="Arial"/>
          <a:cs typeface="Arial"/>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0.38775</cdr:x>
      <cdr:y>0.55925</cdr:y>
    </cdr:from>
    <cdr:to>
      <cdr:x>0.9225</cdr:x>
      <cdr:y>0.63025</cdr:y>
    </cdr:to>
    <cdr:sp macro="" textlink="">
      <cdr:nvSpPr>
        <cdr:cNvPr id="9217" name="Text 1"/>
        <cdr:cNvSpPr txBox="1">
          <a:spLocks xmlns:a="http://schemas.openxmlformats.org/drawingml/2006/main" noChangeArrowheads="1"/>
        </cdr:cNvSpPr>
      </cdr:nvSpPr>
      <cdr:spPr bwMode="auto">
        <a:xfrm xmlns:a="http://schemas.openxmlformats.org/drawingml/2006/main">
          <a:off x="2500377" y="2397085"/>
          <a:ext cx="3448295" cy="304324"/>
        </a:xfrm>
        <a:prstGeom xmlns:a="http://schemas.openxmlformats.org/drawingml/2006/main" prst="rect">
          <a:avLst/>
        </a:prstGeom>
        <a:solidFill xmlns:a="http://schemas.openxmlformats.org/drawingml/2006/main">
          <a:srgbClr val="FFFFFF"/>
        </a:solidFill>
        <a:ln xmlns:a="http://schemas.openxmlformats.org/drawingml/2006/main" w="1">
          <a:noFill/>
          <a:miter lim="800000"/>
          <a:headEnd/>
          <a:tailEnd/>
        </a:ln>
      </cdr:spPr>
      <cdr:txBody>
        <a:bodyPr xmlns:a="http://schemas.openxmlformats.org/drawingml/2006/main" vertOverflow="clip" wrap="square" lIns="36576" tIns="32004" rIns="0" bIns="0" anchor="t" upright="1"/>
        <a:lstStyle xmlns:a="http://schemas.openxmlformats.org/drawingml/2006/main"/>
        <a:p xmlns:a="http://schemas.openxmlformats.org/drawingml/2006/main">
          <a:pPr algn="l" rtl="0">
            <a:defRPr sz="1000"/>
          </a:pPr>
          <a:r>
            <a:rPr lang="en-US" sz="1000" b="1" i="0" u="none" strike="noStrike" baseline="0">
              <a:solidFill>
                <a:srgbClr val="000080"/>
              </a:solidFill>
              <a:latin typeface="Arial"/>
              <a:cs typeface="Arial"/>
            </a:rPr>
            <a:t>optimum temp. = 17.8 + 0.31 t</a:t>
          </a:r>
          <a:r>
            <a:rPr lang="en-US" sz="1000" b="1" i="1" u="none" strike="noStrike" baseline="-25000">
              <a:solidFill>
                <a:srgbClr val="000080"/>
              </a:solidFill>
              <a:latin typeface="Arial"/>
              <a:cs typeface="Arial"/>
            </a:rPr>
            <a:t>a(out)</a:t>
          </a:r>
        </a:p>
      </cdr:txBody>
    </cdr:sp>
  </cdr:relSizeAnchor>
  <cdr:relSizeAnchor xmlns:cdr="http://schemas.openxmlformats.org/drawingml/2006/chartDrawing">
    <cdr:from>
      <cdr:x>0.6435</cdr:x>
      <cdr:y>0.17325</cdr:y>
    </cdr:from>
    <cdr:to>
      <cdr:x>0.6435</cdr:x>
      <cdr:y>0.42275</cdr:y>
    </cdr:to>
    <cdr:sp macro="" textlink="">
      <cdr:nvSpPr>
        <cdr:cNvPr id="9218" name="Line 2"/>
        <cdr:cNvSpPr>
          <a:spLocks xmlns:a="http://schemas.openxmlformats.org/drawingml/2006/main" noChangeShapeType="1"/>
        </cdr:cNvSpPr>
      </cdr:nvSpPr>
      <cdr:spPr bwMode="auto">
        <a:xfrm xmlns:a="http://schemas.openxmlformats.org/drawingml/2006/main">
          <a:off x="4149561" y="742593"/>
          <a:ext cx="0" cy="1069419"/>
        </a:xfrm>
        <a:prstGeom xmlns:a="http://schemas.openxmlformats.org/drawingml/2006/main" prst="line">
          <a:avLst/>
        </a:prstGeom>
        <a:noFill xmlns:a="http://schemas.openxmlformats.org/drawingml/2006/main"/>
        <a:ln xmlns:a="http://schemas.openxmlformats.org/drawingml/2006/main" w="1">
          <a:solidFill>
            <a:srgbClr val="FF0000"/>
          </a:solidFill>
          <a:round/>
          <a:headEnd type="triangle" w="med" len="med"/>
          <a:tailEnd type="triangle" w="med" len="med"/>
        </a:ln>
      </cdr:spPr>
    </cdr:sp>
  </cdr:relSizeAnchor>
  <cdr:relSizeAnchor xmlns:cdr="http://schemas.openxmlformats.org/drawingml/2006/chartDrawing">
    <cdr:from>
      <cdr:x>0.66625</cdr:x>
      <cdr:y>0.121</cdr:y>
    </cdr:from>
    <cdr:to>
      <cdr:x>0.97083</cdr:x>
      <cdr:y>0.2455</cdr:y>
    </cdr:to>
    <cdr:sp macro="" textlink="">
      <cdr:nvSpPr>
        <cdr:cNvPr id="9219" name="Text 6"/>
        <cdr:cNvSpPr txBox="1">
          <a:spLocks xmlns:a="http://schemas.openxmlformats.org/drawingml/2006/main" noChangeArrowheads="1"/>
        </cdr:cNvSpPr>
      </cdr:nvSpPr>
      <cdr:spPr bwMode="auto">
        <a:xfrm xmlns:a="http://schemas.openxmlformats.org/drawingml/2006/main">
          <a:off x="3046095" y="320863"/>
          <a:ext cx="1392555" cy="330144"/>
        </a:xfrm>
        <a:prstGeom xmlns:a="http://schemas.openxmlformats.org/drawingml/2006/main" prst="rect">
          <a:avLst/>
        </a:prstGeom>
        <a:noFill xmlns:a="http://schemas.openxmlformats.org/drawingml/2006/main"/>
        <a:ln xmlns:a="http://schemas.openxmlformats.org/drawingml/2006/main" w="0">
          <a:noFill/>
          <a:miter lim="800000"/>
          <a:headEnd/>
          <a:tailEnd/>
        </a:ln>
      </cdr:spPr>
      <cdr:txBody>
        <a:bodyPr xmlns:a="http://schemas.openxmlformats.org/drawingml/2006/main" vertOverflow="clip" wrap="square" lIns="36576" tIns="27432" rIns="0" bIns="0" anchor="t" upright="1"/>
        <a:lstStyle xmlns:a="http://schemas.openxmlformats.org/drawingml/2006/main"/>
        <a:p xmlns:a="http://schemas.openxmlformats.org/drawingml/2006/main">
          <a:pPr algn="r" rtl="0">
            <a:defRPr sz="1000"/>
          </a:pPr>
          <a:r>
            <a:rPr lang="en-US" sz="1000" b="1" i="0" u="none" strike="noStrike" baseline="0">
              <a:solidFill>
                <a:srgbClr val="008000"/>
              </a:solidFill>
              <a:latin typeface="Arial"/>
              <a:cs typeface="Arial"/>
            </a:rPr>
            <a:t>90% accept.</a:t>
          </a:r>
        </a:p>
      </cdr:txBody>
    </cdr:sp>
  </cdr:relSizeAnchor>
  <cdr:relSizeAnchor xmlns:cdr="http://schemas.openxmlformats.org/drawingml/2006/chartDrawing">
    <cdr:from>
      <cdr:x>0.4805</cdr:x>
      <cdr:y>0.10776</cdr:y>
    </cdr:from>
    <cdr:to>
      <cdr:x>0.699</cdr:x>
      <cdr:y>0.23075</cdr:y>
    </cdr:to>
    <cdr:sp macro="" textlink="">
      <cdr:nvSpPr>
        <cdr:cNvPr id="9220" name="Text 7"/>
        <cdr:cNvSpPr txBox="1">
          <a:spLocks xmlns:a="http://schemas.openxmlformats.org/drawingml/2006/main" noChangeArrowheads="1"/>
        </cdr:cNvSpPr>
      </cdr:nvSpPr>
      <cdr:spPr bwMode="auto">
        <a:xfrm xmlns:a="http://schemas.openxmlformats.org/drawingml/2006/main">
          <a:off x="2196846" y="285750"/>
          <a:ext cx="998982" cy="326144"/>
        </a:xfrm>
        <a:prstGeom xmlns:a="http://schemas.openxmlformats.org/drawingml/2006/main" prst="rect">
          <a:avLst/>
        </a:prstGeom>
        <a:noFill xmlns:a="http://schemas.openxmlformats.org/drawingml/2006/main"/>
        <a:ln xmlns:a="http://schemas.openxmlformats.org/drawingml/2006/main" w="0">
          <a:noFill/>
          <a:miter lim="800000"/>
          <a:headEnd/>
          <a:tailEnd/>
        </a:ln>
      </cdr:spPr>
      <cdr:txBody>
        <a:bodyPr xmlns:a="http://schemas.openxmlformats.org/drawingml/2006/main" vertOverflow="clip" wrap="square" lIns="36576" tIns="27432" rIns="0" bIns="0" anchor="t" upright="1"/>
        <a:lstStyle xmlns:a="http://schemas.openxmlformats.org/drawingml/2006/main"/>
        <a:p xmlns:a="http://schemas.openxmlformats.org/drawingml/2006/main">
          <a:pPr algn="l" rtl="0">
            <a:defRPr sz="1000"/>
          </a:pPr>
          <a:r>
            <a:rPr lang="en-US" sz="1000" b="1" i="0" u="none" strike="noStrike" baseline="0">
              <a:solidFill>
                <a:srgbClr val="FF0000"/>
              </a:solidFill>
              <a:latin typeface="Arial"/>
              <a:cs typeface="Arial"/>
            </a:rPr>
            <a:t>80% accept.</a:t>
          </a:r>
        </a:p>
      </cdr:txBody>
    </cdr:sp>
  </cdr:relSizeAnchor>
  <cdr:relSizeAnchor xmlns:cdr="http://schemas.openxmlformats.org/drawingml/2006/chartDrawing">
    <cdr:from>
      <cdr:x>0.8015</cdr:x>
      <cdr:y>0.1329</cdr:y>
    </cdr:from>
    <cdr:to>
      <cdr:x>0.80208</cdr:x>
      <cdr:y>0.315</cdr:y>
    </cdr:to>
    <cdr:sp macro="" textlink="">
      <cdr:nvSpPr>
        <cdr:cNvPr id="9221" name="Line 5"/>
        <cdr:cNvSpPr>
          <a:spLocks xmlns:a="http://schemas.openxmlformats.org/drawingml/2006/main" noChangeShapeType="1"/>
        </cdr:cNvSpPr>
      </cdr:nvSpPr>
      <cdr:spPr bwMode="auto">
        <a:xfrm xmlns:a="http://schemas.openxmlformats.org/drawingml/2006/main" flipH="1">
          <a:off x="3664457" y="352425"/>
          <a:ext cx="2667" cy="482879"/>
        </a:xfrm>
        <a:prstGeom xmlns:a="http://schemas.openxmlformats.org/drawingml/2006/main" prst="line">
          <a:avLst/>
        </a:prstGeom>
        <a:noFill xmlns:a="http://schemas.openxmlformats.org/drawingml/2006/main"/>
        <a:ln xmlns:a="http://schemas.openxmlformats.org/drawingml/2006/main" w="0">
          <a:solidFill>
            <a:srgbClr val="339933"/>
          </a:solidFill>
          <a:round/>
          <a:headEnd type="triangle" w="med" len="med"/>
          <a:tailEnd type="triangle" w="med" len="med"/>
        </a:ln>
      </cdr:spPr>
    </cdr:sp>
  </cdr:relSizeAnchor>
  <cdr:relSizeAnchor xmlns:cdr="http://schemas.openxmlformats.org/drawingml/2006/chartDrawing">
    <cdr:from>
      <cdr:x>0.4025</cdr:x>
      <cdr:y>0.39475</cdr:y>
    </cdr:from>
    <cdr:to>
      <cdr:x>0.4025</cdr:x>
      <cdr:y>0.579</cdr:y>
    </cdr:to>
    <cdr:sp macro="" textlink="">
      <cdr:nvSpPr>
        <cdr:cNvPr id="9222" name="Line 6"/>
        <cdr:cNvSpPr>
          <a:spLocks xmlns:a="http://schemas.openxmlformats.org/drawingml/2006/main" noChangeShapeType="1"/>
        </cdr:cNvSpPr>
      </cdr:nvSpPr>
      <cdr:spPr bwMode="auto">
        <a:xfrm xmlns:a="http://schemas.openxmlformats.org/drawingml/2006/main">
          <a:off x="2595491" y="1691997"/>
          <a:ext cx="0" cy="789742"/>
        </a:xfrm>
        <a:prstGeom xmlns:a="http://schemas.openxmlformats.org/drawingml/2006/main" prst="line">
          <a:avLst/>
        </a:prstGeom>
        <a:noFill xmlns:a="http://schemas.openxmlformats.org/drawingml/2006/main"/>
        <a:ln xmlns:a="http://schemas.openxmlformats.org/drawingml/2006/main" w="0">
          <a:solidFill>
            <a:srgbClr val="333399"/>
          </a:solidFill>
          <a:round/>
          <a:headEnd type="triangle" w="med" len="med"/>
          <a:tailEnd/>
        </a:ln>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0C8EE-1734-7645-BDAA-861CA667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2361</Words>
  <Characters>13459</Characters>
  <Application>Microsoft Macintosh Word</Application>
  <DocSecurity>0</DocSecurity>
  <Lines>112</Lines>
  <Paragraphs>26</Paragraphs>
  <ScaleCrop>false</ScaleCrop>
  <HeadingPairs>
    <vt:vector size="2" baseType="variant">
      <vt:variant>
        <vt:lpstr>Title</vt:lpstr>
      </vt:variant>
      <vt:variant>
        <vt:i4>1</vt:i4>
      </vt:variant>
    </vt:vector>
  </HeadingPairs>
  <TitlesOfParts>
    <vt:vector size="1" baseType="lpstr">
      <vt:lpstr/>
    </vt:vector>
  </TitlesOfParts>
  <Company>Berkeley Lab</Company>
  <LinksUpToDate>false</LinksUpToDate>
  <CharactersWithSpaces>16528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Regnier</dc:creator>
  <cp:keywords/>
  <cp:lastModifiedBy>Cindy Regnier</cp:lastModifiedBy>
  <cp:revision>2</cp:revision>
  <cp:lastPrinted>2011-01-19T22:08:00Z</cp:lastPrinted>
  <dcterms:created xsi:type="dcterms:W3CDTF">2011-02-18T00:03:00Z</dcterms:created>
  <dcterms:modified xsi:type="dcterms:W3CDTF">2011-02-18T00:03:00Z</dcterms:modified>
</cp:coreProperties>
</file>