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520"/>
        <w:gridCol w:w="2948"/>
      </w:tblGrid>
      <w:tr>
        <w:tc>
          <w:tcPr>
            <w:tcW w:type="dxa" w:w="6520"/>
            <w:shd w:fill="0B1F33"/>
            <w:tcMar>
              <w:top w:w="210" w:type="dxa"/>
              <w:start w:w="240" w:type="dxa"/>
              <w:bottom w:w="190" w:type="dxa"/>
              <w:end w:w="240" w:type="dxa"/>
            </w:tcMar>
            <w:tcBorders>
              <w:top w:val="nil"/>
              <w:start w:val="nil"/>
              <w:bottom w:val="nil"/>
              <w:end w:val="nil"/>
            </w:tcBorders>
          </w:tcPr>
          <w:p>
            <w:pPr>
              <w:spacing w:after="0"/>
            </w:pPr>
            <w:r>
              <w:rPr>
                <w:rFonts w:ascii="Aptos Display" w:hAnsi="Aptos Display"/>
                <w:b/>
                <w:color w:val="FFFFFF"/>
                <w:sz w:val="54"/>
              </w:rPr>
              <w:t>A. BABAEI</w:t>
            </w:r>
          </w:p>
          <w:p>
            <w:pPr>
              <w:spacing w:before="20" w:after="0"/>
            </w:pPr>
            <w:r>
              <w:rPr>
                <w:rFonts w:ascii="Aptos" w:hAnsi="Aptos"/>
                <w:b/>
                <w:color w:val="A9DADD"/>
                <w:sz w:val="18"/>
              </w:rPr>
              <w:t>Neuroscience Researcher  |  Biomedical Engineer  |  Scientific Computing</w:t>
            </w:r>
          </w:p>
        </w:tc>
        <w:tc>
          <w:tcPr>
            <w:tcW w:type="dxa" w:w="2948"/>
            <w:shd w:fill="0B1F33"/>
            <w:tcMar>
              <w:top w:w="210" w:type="dxa"/>
              <w:start w:w="240" w:type="dxa"/>
              <w:bottom w:w="190" w:type="dxa"/>
              <w:end w:w="240" w:type="dxa"/>
            </w:tcMar>
            <w:tcBorders>
              <w:top w:val="nil"/>
              <w:start w:val="nil"/>
              <w:bottom w:val="nil"/>
              <w:end w:val="nil"/>
            </w:tcBorders>
          </w:tcPr>
          <w:p>
            <w:pPr>
              <w:spacing w:after="20"/>
              <w:jc w:val="right"/>
            </w:pPr>
            <w:r>
              <w:rPr>
                <w:color w:val="DDEEF0"/>
                <w:sz w:val="17"/>
              </w:rPr>
              <w:t>Tehran, Iran</w:t>
            </w:r>
          </w:p>
          <w:p>
            <w:pPr>
              <w:spacing w:after="20"/>
              <w:jc w:val="right"/>
            </w:pPr>
            <w:hyperlink r:id="rId9">
              <w:r>
                <w:rPr>
                  <w:color w:val="DDEEF0"/>
                  <w:u w:val="none"/>
                </w:rPr>
                <w:t>ablofazlbabaei@gmail.com</w:t>
              </w:r>
            </w:hyperlink>
          </w:p>
          <w:p>
            <w:pPr>
              <w:spacing w:after="20"/>
              <w:jc w:val="right"/>
            </w:pPr>
            <w:hyperlink r:id="rId10">
              <w:r>
                <w:rPr>
                  <w:color w:val="DDEEF0"/>
                  <w:u w:val="none"/>
                </w:rPr>
                <w:t>github.com/A-Babaei</w:t>
              </w:r>
            </w:hyperlink>
          </w:p>
          <w:p>
            <w:pPr>
              <w:spacing w:after="20"/>
              <w:jc w:val="right"/>
            </w:pPr>
            <w:hyperlink r:id="rId11">
              <w:r>
                <w:rPr>
                  <w:color w:val="DDEEF0"/>
                  <w:u w:val="none"/>
                </w:rPr>
                <w:t>academy-tech.ir</w:t>
              </w:r>
            </w:hyperlink>
          </w:p>
        </w:tc>
      </w:tr>
    </w:tbl>
    <w:p>
      <w:pPr>
        <w:pStyle w:val="SectionHeading"/>
        <w:spacing w:before="160" w:after="80"/>
        <w:pBdr>
          <w:bottom w:val="single" w:sz="10" w:space="4" w:color="0F7C82"/>
        </w:pBdr>
      </w:pPr>
      <w:r>
        <w:rPr>
          <w:rFonts w:ascii="Aptos Display" w:hAnsi="Aptos Display"/>
          <w:b/>
          <w:color w:val="0F7C82"/>
          <w:sz w:val="21"/>
        </w:rPr>
        <w:t>PROFESSIONAL PROFILE</w:t>
      </w:r>
    </w:p>
    <w:p>
      <w:pPr>
        <w:spacing w:after="80"/>
      </w:pPr>
      <w:r>
        <w:t>PhD student in Neuroscience with an M.Sc. in Biomedical Engineering (Bioelectric) and multidisciplinary experience spanning experimental neuroscience, neural engineering, behavioral analysis, scientific programming, medical-equipment operations, technical education, and digital product platforms. Hands-on experience with rodent models, stereotaxic procedures, deep brain stimulation research, behavioral video analysis, MATLAB and Python workflows, machine learning, signal and image processing, and evidence synthesis. Experienced in converting complex scientific and technical work into reproducible analyses, publication-ready figures, structured courses, websites, and practical commercial outputs.</w:t>
      </w:r>
    </w:p>
    <w:p>
      <w:pPr>
        <w:pStyle w:val="SectionHeading"/>
        <w:spacing w:before="160" w:after="80"/>
        <w:pBdr>
          <w:bottom w:val="single" w:sz="10" w:space="4" w:color="0F7C82"/>
        </w:pBdr>
      </w:pPr>
      <w:r>
        <w:rPr>
          <w:rFonts w:ascii="Aptos Display" w:hAnsi="Aptos Display"/>
          <w:b/>
          <w:color w:val="0F7C82"/>
          <w:sz w:val="21"/>
        </w:rPr>
        <w:t>CORE EXPERTISE</w:t>
      </w:r>
    </w:p>
    <w:tbl>
      <w:tblPr>
        <w:tblW w:type="auto" w:w="0"/>
        <w:jc w:val="center"/>
        <w:tblLayout w:type="fixed"/>
        <w:tblLook w:firstColumn="1" w:firstRow="1" w:lastColumn="0" w:lastRow="0" w:noHBand="0" w:noVBand="1" w:val="04A0"/>
      </w:tblPr>
      <w:tblGrid>
        <w:gridCol w:w="5188"/>
        <w:gridCol w:w="5188"/>
      </w:tblGrid>
      <w:tr>
        <w:tc>
          <w:tcPr>
            <w:tcW w:type="dxa" w:w="5188"/>
            <w:tcMar>
              <w:top w:w="10" w:type="dxa"/>
              <w:start w:w="0" w:type="dxa"/>
              <w:bottom w:w="15" w:type="dxa"/>
              <w:end w:w="80" w:type="dxa"/>
            </w:tcMar>
          </w:tcPr>
          <w:p>
            <w:pPr>
              <w:pStyle w:val="CVBullet"/>
              <w:ind w:left="198" w:hanging="125"/>
            </w:pPr>
            <w:r>
              <w:rPr>
                <w:color w:val="0F7C82"/>
              </w:rPr>
              <w:t xml:space="preserve">• </w:t>
            </w:r>
            <w:r>
              <w:t>Experimental neuroscience and rodent disease models</w:t>
            </w:r>
          </w:p>
          <w:p>
            <w:pPr>
              <w:pStyle w:val="CVBullet"/>
              <w:ind w:left="198" w:hanging="125"/>
            </w:pPr>
            <w:r>
              <w:rPr>
                <w:color w:val="0F7C82"/>
              </w:rPr>
              <w:t xml:space="preserve">• </w:t>
            </w:r>
            <w:r>
              <w:t>Stereotaxic procedures, DBS research, and behavioral testing</w:t>
            </w:r>
          </w:p>
          <w:p>
            <w:pPr>
              <w:pStyle w:val="CVBullet"/>
              <w:ind w:left="198" w:hanging="125"/>
            </w:pPr>
            <w:r>
              <w:rPr>
                <w:color w:val="0F7C82"/>
              </w:rPr>
              <w:t xml:space="preserve">• </w:t>
            </w:r>
            <w:r>
              <w:t>Behavioral video scoring and event-based analysis</w:t>
            </w:r>
          </w:p>
          <w:p>
            <w:pPr>
              <w:pStyle w:val="CVBullet"/>
              <w:ind w:left="198" w:hanging="125"/>
            </w:pPr>
            <w:r>
              <w:rPr>
                <w:color w:val="0F7C82"/>
              </w:rPr>
              <w:t xml:space="preserve">• </w:t>
            </w:r>
            <w:r>
              <w:t>Statistical modeling, reproducible workflows, and data visualization</w:t>
            </w:r>
          </w:p>
        </w:tc>
        <w:tc>
          <w:tcPr>
            <w:tcW w:type="dxa" w:w="5188"/>
            <w:tcMar>
              <w:top w:w="10" w:type="dxa"/>
              <w:start w:w="160" w:type="dxa"/>
              <w:bottom w:w="15" w:type="dxa"/>
              <w:end w:w="80" w:type="dxa"/>
            </w:tcMar>
          </w:tcPr>
          <w:p>
            <w:pPr>
              <w:pStyle w:val="CVBullet"/>
              <w:ind w:left="198" w:hanging="125"/>
            </w:pPr>
            <w:r>
              <w:rPr>
                <w:color w:val="0F7C82"/>
              </w:rPr>
              <w:t xml:space="preserve">• </w:t>
            </w:r>
            <w:r>
              <w:t>Python, MATLAB, machine learning, signal and image processing</w:t>
            </w:r>
          </w:p>
          <w:p>
            <w:pPr>
              <w:pStyle w:val="CVBullet"/>
              <w:ind w:left="198" w:hanging="125"/>
            </w:pPr>
            <w:r>
              <w:rPr>
                <w:color w:val="0F7C82"/>
              </w:rPr>
              <w:t xml:space="preserve">• </w:t>
            </w:r>
            <w:r>
              <w:t>Scientific writing, evidence extraction, and graphical abstracts</w:t>
            </w:r>
          </w:p>
          <w:p>
            <w:pPr>
              <w:pStyle w:val="CVBullet"/>
              <w:ind w:left="198" w:hanging="125"/>
            </w:pPr>
            <w:r>
              <w:rPr>
                <w:color w:val="0F7C82"/>
              </w:rPr>
              <w:t xml:space="preserve">• </w:t>
            </w:r>
            <w:r>
              <w:t>Medical and dental equipment inspection and troubleshooting</w:t>
            </w:r>
          </w:p>
          <w:p>
            <w:pPr>
              <w:pStyle w:val="CVBullet"/>
              <w:ind w:left="198" w:hanging="125"/>
            </w:pPr>
            <w:r>
              <w:rPr>
                <w:color w:val="0F7C82"/>
              </w:rPr>
              <w:t xml:space="preserve">• </w:t>
            </w:r>
            <w:r>
              <w:t>Website administration, SEO, multimedia, and digital product operations</w:t>
            </w:r>
          </w:p>
        </w:tc>
      </w:tr>
    </w:tbl>
    <w:p>
      <w:pPr>
        <w:pStyle w:val="SectionHeading"/>
        <w:spacing w:before="160" w:after="80"/>
        <w:pBdr>
          <w:bottom w:val="single" w:sz="10" w:space="4" w:color="0F7C82"/>
        </w:pBdr>
      </w:pPr>
      <w:r>
        <w:rPr>
          <w:rFonts w:ascii="Aptos Display" w:hAnsi="Aptos Display"/>
          <w:b/>
          <w:color w:val="0F7C82"/>
          <w:sz w:val="21"/>
        </w:rPr>
        <w:t>RESEARCH EXPERIENCE</w:t>
      </w:r>
    </w:p>
    <w:tbl>
      <w:tblPr>
        <w:tblW w:type="auto" w:w="0"/>
        <w:jc w:val="center"/>
        <w:tblLayout w:type="fixed"/>
        <w:tblLook w:firstColumn="1" w:firstRow="1" w:lastColumn="0" w:lastRow="0" w:noHBand="0" w:noVBand="1" w:val="04A0"/>
      </w:tblPr>
      <w:tblGrid>
        <w:gridCol w:w="2494"/>
        <w:gridCol w:w="6973"/>
      </w:tblGrid>
      <w:tr>
        <w:trPr>
          <w:cantSplit/>
        </w:trPr>
        <w:tc>
          <w:tcPr>
            <w:tcW w:type="dxa" w:w="2494"/>
            <w:tcMar>
              <w:top w:w="35" w:type="dxa"/>
              <w:start w:w="0" w:type="dxa"/>
              <w:bottom w:w="50" w:type="dxa"/>
              <w:end w:w="70" w:type="dxa"/>
            </w:tcMar>
            <w:vAlign w:val="top"/>
            <w:tcBorders>
              <w:bottom w:val="single" w:sz="4" w:space="0" w:color="E6ECEF"/>
            </w:tcBorders>
          </w:tcPr>
          <w:p>
            <w:pPr>
              <w:spacing w:after="20"/>
            </w:pPr>
            <w:r>
              <w:rPr>
                <w:b/>
                <w:color w:val="1F2933"/>
                <w:sz w:val="18"/>
              </w:rPr>
              <w:t>Doctoral Research Project</w:t>
            </w:r>
          </w:p>
          <w:p>
            <w:pPr>
              <w:spacing w:after="0"/>
            </w:pPr>
            <w:r>
              <w:rPr>
                <w:color w:val="5B6773"/>
                <w:sz w:val="17"/>
              </w:rPr>
              <w:t>Current</w:t>
            </w:r>
          </w:p>
        </w:tc>
        <w:tc>
          <w:tcPr>
            <w:tcW w:type="dxa" w:w="6974"/>
            <w:tcMar>
              <w:top w:w="35" w:type="dxa"/>
              <w:start w:w="160" w:type="dxa"/>
              <w:bottom w:w="50" w:type="dxa"/>
              <w:end w:w="70" w:type="dxa"/>
            </w:tcMar>
            <w:vAlign w:val="top"/>
            <w:tcBorders>
              <w:bottom w:val="single" w:sz="4" w:space="0" w:color="E6ECEF"/>
            </w:tcBorders>
          </w:tcPr>
          <w:p>
            <w:pPr>
              <w:spacing w:after="40"/>
            </w:pPr>
            <w:r>
              <w:rPr>
                <w:b/>
                <w:color w:val="0B1F33"/>
                <w:sz w:val="20"/>
              </w:rPr>
              <w:t>Parafascicular Thalamic Deep Brain Stimulation in a Rodent Model of Parkinsonism</w:t>
            </w:r>
          </w:p>
          <w:p>
            <w:pPr>
              <w:pStyle w:val="CVBullet"/>
              <w:spacing w:after="20"/>
              <w:ind w:left="215" w:hanging="125"/>
            </w:pPr>
            <w:r>
              <w:rPr>
                <w:color w:val="0F7C82"/>
              </w:rPr>
              <w:t xml:space="preserve">• </w:t>
            </w:r>
            <w:r>
              <w:t>Conducting experimental neuroscience research using a unilateral 6-OHDA rat model and parafascicular thalamic stimulation.</w:t>
            </w:r>
          </w:p>
          <w:p>
            <w:pPr>
              <w:pStyle w:val="CVBullet"/>
              <w:spacing w:after="20"/>
              <w:ind w:left="215" w:hanging="125"/>
            </w:pPr>
            <w:r>
              <w:rPr>
                <w:color w:val="0F7C82"/>
              </w:rPr>
              <w:t xml:space="preserve">• </w:t>
            </w:r>
            <w:r>
              <w:t>Contributing to protocol design, lesion validation, electrode implantation workflows, behavioral testing, and scientific documentation.</w:t>
            </w:r>
          </w:p>
          <w:p>
            <w:pPr>
              <w:pStyle w:val="CVBullet"/>
              <w:spacing w:after="20"/>
              <w:ind w:left="215" w:hanging="125"/>
            </w:pPr>
            <w:r>
              <w:rPr>
                <w:color w:val="0F7C82"/>
              </w:rPr>
              <w:t xml:space="preserve">• </w:t>
            </w:r>
            <w:r>
              <w:t>Developing behavioral data pipelines and repeated-measures statistical analyses in Python; preparing manuscript text, figures, and supplementary material while withholding unpublished quantitative results from public release.</w:t>
            </w:r>
          </w:p>
        </w:tc>
      </w:tr>
    </w:tbl>
    <w:p>
      <w:pPr>
        <w:pStyle w:val="SectionHeading"/>
        <w:spacing w:before="160" w:after="80"/>
        <w:pBdr>
          <w:bottom w:val="single" w:sz="10" w:space="4" w:color="0F7C82"/>
        </w:pBdr>
      </w:pPr>
      <w:r>
        <w:rPr>
          <w:rFonts w:ascii="Aptos Display" w:hAnsi="Aptos Display"/>
          <w:b/>
          <w:color w:val="0F7C82"/>
          <w:sz w:val="21"/>
        </w:rPr>
        <w:t>EDUCATION</w:t>
      </w:r>
    </w:p>
    <w:tbl>
      <w:tblPr>
        <w:tblW w:type="auto" w:w="0"/>
        <w:jc w:val="center"/>
        <w:tblLayout w:type="fixed"/>
        <w:tblLook w:firstColumn="1" w:firstRow="1" w:lastColumn="0" w:lastRow="0" w:noHBand="0" w:noVBand="1" w:val="04A0"/>
      </w:tblPr>
      <w:tblGrid>
        <w:gridCol w:w="2494"/>
        <w:gridCol w:w="6973"/>
      </w:tblGrid>
      <w:tr>
        <w:trPr>
          <w:cantSplit/>
        </w:trPr>
        <w:tc>
          <w:tcPr>
            <w:tcW w:type="dxa" w:w="2494"/>
            <w:tcMar>
              <w:top w:w="35" w:type="dxa"/>
              <w:start w:w="0" w:type="dxa"/>
              <w:bottom w:w="50" w:type="dxa"/>
              <w:end w:w="70" w:type="dxa"/>
            </w:tcMar>
            <w:vAlign w:val="top"/>
            <w:tcBorders>
              <w:bottom w:val="single" w:sz="4" w:space="0" w:color="E6ECEF"/>
            </w:tcBorders>
          </w:tcPr>
          <w:p>
            <w:pPr>
              <w:spacing w:after="20"/>
            </w:pPr>
            <w:r>
              <w:rPr>
                <w:b/>
                <w:color w:val="1F2933"/>
                <w:sz w:val="18"/>
              </w:rPr>
              <w:t>Iran University of Science and Technology</w:t>
            </w:r>
          </w:p>
          <w:p>
            <w:pPr>
              <w:spacing w:after="0"/>
            </w:pPr>
            <w:r>
              <w:rPr>
                <w:color w:val="5B6773"/>
                <w:sz w:val="17"/>
              </w:rPr>
              <w:t>2023 - 2026</w:t>
            </w:r>
          </w:p>
        </w:tc>
        <w:tc>
          <w:tcPr>
            <w:tcW w:type="dxa" w:w="6974"/>
            <w:tcMar>
              <w:top w:w="35" w:type="dxa"/>
              <w:start w:w="160" w:type="dxa"/>
              <w:bottom w:w="50" w:type="dxa"/>
              <w:end w:w="70" w:type="dxa"/>
            </w:tcMar>
            <w:vAlign w:val="top"/>
            <w:tcBorders>
              <w:bottom w:val="single" w:sz="4" w:space="0" w:color="E6ECEF"/>
            </w:tcBorders>
          </w:tcPr>
          <w:p>
            <w:pPr>
              <w:spacing w:after="40"/>
            </w:pPr>
            <w:r>
              <w:rPr>
                <w:b/>
                <w:color w:val="0B1F33"/>
                <w:sz w:val="20"/>
              </w:rPr>
              <w:t>M.Sc. Biomedical Engineering (Bioelectric)</w:t>
            </w:r>
          </w:p>
          <w:p>
            <w:pPr>
              <w:pStyle w:val="CVBullet"/>
              <w:spacing w:after="20"/>
              <w:ind w:left="215" w:hanging="125"/>
            </w:pPr>
            <w:r>
              <w:rPr>
                <w:color w:val="0F7C82"/>
              </w:rPr>
              <w:t xml:space="preserve">• </w:t>
            </w:r>
            <w:r>
              <w:t>Focus: neural engineering, machine learning, biomedical signal processing, and image processing.</w:t>
            </w:r>
          </w:p>
        </w:tc>
      </w:tr>
    </w:tbl>
    <w:tbl>
      <w:tblPr>
        <w:tblW w:type="auto" w:w="0"/>
        <w:jc w:val="center"/>
        <w:tblLayout w:type="fixed"/>
        <w:tblLook w:firstColumn="1" w:firstRow="1" w:lastColumn="0" w:lastRow="0" w:noHBand="0" w:noVBand="1" w:val="04A0"/>
      </w:tblPr>
      <w:tblGrid>
        <w:gridCol w:w="2494"/>
        <w:gridCol w:w="6973"/>
      </w:tblGrid>
      <w:tr>
        <w:trPr>
          <w:cantSplit/>
        </w:trPr>
        <w:tc>
          <w:tcPr>
            <w:tcW w:type="dxa" w:w="2494"/>
            <w:tcMar>
              <w:top w:w="35" w:type="dxa"/>
              <w:start w:w="0" w:type="dxa"/>
              <w:bottom w:w="50" w:type="dxa"/>
              <w:end w:w="70" w:type="dxa"/>
            </w:tcMar>
            <w:vAlign w:val="top"/>
            <w:tcBorders>
              <w:bottom w:val="single" w:sz="4" w:space="0" w:color="E6ECEF"/>
            </w:tcBorders>
          </w:tcPr>
          <w:p>
            <w:pPr>
              <w:spacing w:after="20"/>
            </w:pPr>
            <w:r>
              <w:rPr>
                <w:b/>
                <w:color w:val="1F2933"/>
                <w:sz w:val="18"/>
              </w:rPr>
              <w:t>Islamic Azad University, Tehran East Branch</w:t>
            </w:r>
          </w:p>
          <w:p>
            <w:pPr>
              <w:spacing w:after="0"/>
            </w:pPr>
            <w:r>
              <w:rPr>
                <w:color w:val="5B6773"/>
                <w:sz w:val="17"/>
              </w:rPr>
              <w:t>2019 - 2022</w:t>
            </w:r>
          </w:p>
        </w:tc>
        <w:tc>
          <w:tcPr>
            <w:tcW w:type="dxa" w:w="6974"/>
            <w:tcMar>
              <w:top w:w="35" w:type="dxa"/>
              <w:start w:w="160" w:type="dxa"/>
              <w:bottom w:w="50" w:type="dxa"/>
              <w:end w:w="70" w:type="dxa"/>
            </w:tcMar>
            <w:vAlign w:val="top"/>
            <w:tcBorders>
              <w:bottom w:val="single" w:sz="4" w:space="0" w:color="E6ECEF"/>
            </w:tcBorders>
          </w:tcPr>
          <w:p>
            <w:pPr>
              <w:spacing w:after="40"/>
            </w:pPr>
            <w:r>
              <w:rPr>
                <w:b/>
                <w:color w:val="0B1F33"/>
                <w:sz w:val="20"/>
              </w:rPr>
              <w:t>B.Sc. Biomedical Engineering  |  GPA: 18.68/20</w:t>
            </w:r>
          </w:p>
          <w:p>
            <w:pPr>
              <w:pStyle w:val="CVBullet"/>
              <w:spacing w:after="20"/>
              <w:ind w:left="215" w:hanging="125"/>
            </w:pPr>
            <w:r>
              <w:rPr>
                <w:color w:val="0F7C82"/>
              </w:rPr>
              <w:t xml:space="preserve">• </w:t>
            </w:r>
            <w:r>
              <w:t>Co-authored two ISC-indexed publications and contributed to launching the university scientific journal.</w:t>
            </w:r>
          </w:p>
        </w:tc>
      </w:tr>
    </w:tbl>
    <w:p>
      <w:pPr>
        <w:pStyle w:val="SectionHeading"/>
        <w:spacing w:before="160" w:after="80"/>
        <w:pBdr>
          <w:bottom w:val="single" w:sz="10" w:space="4" w:color="0F7C82"/>
        </w:pBdr>
      </w:pPr>
      <w:r>
        <w:rPr>
          <w:rFonts w:ascii="Aptos Display" w:hAnsi="Aptos Display"/>
          <w:b/>
          <w:color w:val="0F7C82"/>
          <w:sz w:val="21"/>
        </w:rPr>
        <w:t>PROFESSIONAL EXPERIENCE</w:t>
      </w:r>
    </w:p>
    <w:tbl>
      <w:tblPr>
        <w:tblW w:type="auto" w:w="0"/>
        <w:jc w:val="center"/>
        <w:tblLayout w:type="fixed"/>
        <w:tblLook w:firstColumn="1" w:firstRow="1" w:lastColumn="0" w:lastRow="0" w:noHBand="0" w:noVBand="1" w:val="04A0"/>
      </w:tblPr>
      <w:tblGrid>
        <w:gridCol w:w="2494"/>
        <w:gridCol w:w="6973"/>
      </w:tblGrid>
      <w:tr>
        <w:trPr>
          <w:cantSplit/>
        </w:trPr>
        <w:tc>
          <w:tcPr>
            <w:tcW w:type="dxa" w:w="2494"/>
            <w:tcMar>
              <w:top w:w="35" w:type="dxa"/>
              <w:start w:w="0" w:type="dxa"/>
              <w:bottom w:w="50" w:type="dxa"/>
              <w:end w:w="70" w:type="dxa"/>
            </w:tcMar>
            <w:vAlign w:val="top"/>
            <w:tcBorders>
              <w:bottom w:val="single" w:sz="4" w:space="0" w:color="E6ECEF"/>
            </w:tcBorders>
          </w:tcPr>
          <w:p>
            <w:pPr>
              <w:spacing w:after="20"/>
            </w:pPr>
            <w:r>
              <w:rPr>
                <w:b/>
                <w:color w:val="1F2933"/>
                <w:sz w:val="18"/>
              </w:rPr>
              <w:t>Peyramoon Teb Co.  |  Tehran</w:t>
            </w:r>
          </w:p>
          <w:p>
            <w:pPr>
              <w:spacing w:after="0"/>
            </w:pPr>
            <w:r>
              <w:rPr>
                <w:color w:val="5B6773"/>
                <w:sz w:val="17"/>
              </w:rPr>
              <w:t>Dec 2023 - Mar 2026</w:t>
            </w:r>
          </w:p>
        </w:tc>
        <w:tc>
          <w:tcPr>
            <w:tcW w:type="dxa" w:w="6974"/>
            <w:tcMar>
              <w:top w:w="35" w:type="dxa"/>
              <w:start w:w="160" w:type="dxa"/>
              <w:bottom w:w="50" w:type="dxa"/>
              <w:end w:w="70" w:type="dxa"/>
            </w:tcMar>
            <w:vAlign w:val="top"/>
            <w:tcBorders>
              <w:bottom w:val="single" w:sz="4" w:space="0" w:color="E6ECEF"/>
            </w:tcBorders>
          </w:tcPr>
          <w:p>
            <w:pPr>
              <w:spacing w:after="40"/>
            </w:pPr>
            <w:r>
              <w:rPr>
                <w:b/>
                <w:color w:val="0B1F33"/>
                <w:sz w:val="20"/>
              </w:rPr>
              <w:t>Medical Equipment Supervisor Engineer (Part-Time)</w:t>
            </w:r>
          </w:p>
          <w:p>
            <w:pPr>
              <w:pStyle w:val="CVBullet"/>
              <w:spacing w:after="20"/>
              <w:ind w:left="215" w:hanging="125"/>
            </w:pPr>
            <w:r>
              <w:rPr>
                <w:color w:val="0F7C82"/>
              </w:rPr>
              <w:t xml:space="preserve">• </w:t>
            </w:r>
            <w:r>
              <w:t>Performed equipment supervision, routine inspections, compliance checks, technical assessment, and documentation.</w:t>
            </w:r>
          </w:p>
          <w:p>
            <w:pPr>
              <w:pStyle w:val="CVBullet"/>
              <w:spacing w:after="20"/>
              <w:ind w:left="215" w:hanging="125"/>
            </w:pPr>
            <w:r>
              <w:rPr>
                <w:color w:val="0F7C82"/>
              </w:rPr>
              <w:t xml:space="preserve">• </w:t>
            </w:r>
            <w:r>
              <w:t>Supported installation, preventive maintenance, and troubleshooting in clinical settings.</w:t>
            </w:r>
          </w:p>
        </w:tc>
      </w:tr>
    </w:tbl>
    <w:tbl>
      <w:tblPr>
        <w:tblW w:type="auto" w:w="0"/>
        <w:jc w:val="center"/>
        <w:tblLayout w:type="fixed"/>
        <w:tblLook w:firstColumn="1" w:firstRow="1" w:lastColumn="0" w:lastRow="0" w:noHBand="0" w:noVBand="1" w:val="04A0"/>
      </w:tblPr>
      <w:tblGrid>
        <w:gridCol w:w="2494"/>
        <w:gridCol w:w="6973"/>
      </w:tblGrid>
      <w:tr>
        <w:trPr>
          <w:cantSplit/>
        </w:trPr>
        <w:tc>
          <w:tcPr>
            <w:tcW w:type="dxa" w:w="2494"/>
            <w:tcMar>
              <w:top w:w="35" w:type="dxa"/>
              <w:start w:w="0" w:type="dxa"/>
              <w:bottom w:w="50" w:type="dxa"/>
              <w:end w:w="70" w:type="dxa"/>
            </w:tcMar>
            <w:vAlign w:val="top"/>
            <w:tcBorders>
              <w:bottom w:val="single" w:sz="4" w:space="0" w:color="E6ECEF"/>
            </w:tcBorders>
          </w:tcPr>
          <w:p>
            <w:pPr>
              <w:spacing w:after="20"/>
            </w:pPr>
            <w:r>
              <w:rPr>
                <w:b/>
                <w:color w:val="1F2933"/>
                <w:sz w:val="18"/>
              </w:rPr>
              <w:t>Vistatech-Pishro &amp; Vista Co.  |  Tehran</w:t>
            </w:r>
          </w:p>
          <w:p>
            <w:pPr>
              <w:spacing w:after="0"/>
            </w:pPr>
            <w:r>
              <w:rPr>
                <w:color w:val="5B6773"/>
                <w:sz w:val="17"/>
              </w:rPr>
              <w:t>Mar 2023 - May 2023</w:t>
            </w:r>
          </w:p>
        </w:tc>
        <w:tc>
          <w:tcPr>
            <w:tcW w:type="dxa" w:w="6974"/>
            <w:tcMar>
              <w:top w:w="35" w:type="dxa"/>
              <w:start w:w="160" w:type="dxa"/>
              <w:bottom w:w="50" w:type="dxa"/>
              <w:end w:w="70" w:type="dxa"/>
            </w:tcMar>
            <w:vAlign w:val="top"/>
            <w:tcBorders>
              <w:bottom w:val="single" w:sz="4" w:space="0" w:color="E6ECEF"/>
            </w:tcBorders>
          </w:tcPr>
          <w:p>
            <w:pPr>
              <w:spacing w:after="40"/>
            </w:pPr>
            <w:r>
              <w:rPr>
                <w:b/>
                <w:color w:val="0B1F33"/>
                <w:sz w:val="20"/>
              </w:rPr>
              <w:t>Medical Equipment Repair Technician (Internship to Specialist Assignment)</w:t>
            </w:r>
          </w:p>
          <w:p>
            <w:pPr>
              <w:pStyle w:val="CVBullet"/>
              <w:spacing w:after="20"/>
              <w:ind w:left="215" w:hanging="125"/>
            </w:pPr>
            <w:r>
              <w:rPr>
                <w:color w:val="0F7C82"/>
              </w:rPr>
              <w:t xml:space="preserve">• </w:t>
            </w:r>
            <w:r>
              <w:t>Completed practical training in CSR and sterilization equipment, dental handpieces, autoclaves, ultrasonic cleaners, and basic laboratory devices.</w:t>
            </w:r>
          </w:p>
        </w:tc>
      </w:tr>
    </w:tbl>
    <w:tbl>
      <w:tblPr>
        <w:tblW w:type="auto" w:w="0"/>
        <w:jc w:val="center"/>
        <w:tblLayout w:type="fixed"/>
        <w:tblLook w:firstColumn="1" w:firstRow="1" w:lastColumn="0" w:lastRow="0" w:noHBand="0" w:noVBand="1" w:val="04A0"/>
      </w:tblPr>
      <w:tblGrid>
        <w:gridCol w:w="2494"/>
        <w:gridCol w:w="6973"/>
      </w:tblGrid>
      <w:tr>
        <w:trPr>
          <w:cantSplit/>
        </w:trPr>
        <w:tc>
          <w:tcPr>
            <w:tcW w:type="dxa" w:w="2494"/>
            <w:tcMar>
              <w:top w:w="35" w:type="dxa"/>
              <w:start w:w="0" w:type="dxa"/>
              <w:bottom w:w="50" w:type="dxa"/>
              <w:end w:w="70" w:type="dxa"/>
            </w:tcMar>
            <w:vAlign w:val="top"/>
            <w:tcBorders>
              <w:bottom w:val="single" w:sz="4" w:space="0" w:color="E6ECEF"/>
            </w:tcBorders>
          </w:tcPr>
          <w:p>
            <w:pPr>
              <w:spacing w:after="20"/>
            </w:pPr>
            <w:r>
              <w:rPr>
                <w:b/>
                <w:color w:val="1F2933"/>
                <w:sz w:val="18"/>
              </w:rPr>
              <w:t>Sirdent.ir</w:t>
            </w:r>
          </w:p>
          <w:p>
            <w:pPr>
              <w:spacing w:after="0"/>
            </w:pPr>
            <w:r>
              <w:rPr>
                <w:color w:val="5B6773"/>
                <w:sz w:val="17"/>
              </w:rPr>
              <w:t>Apr 2020 - Present</w:t>
            </w:r>
          </w:p>
        </w:tc>
        <w:tc>
          <w:tcPr>
            <w:tcW w:type="dxa" w:w="6974"/>
            <w:tcMar>
              <w:top w:w="35" w:type="dxa"/>
              <w:start w:w="160" w:type="dxa"/>
              <w:bottom w:w="50" w:type="dxa"/>
              <w:end w:w="70" w:type="dxa"/>
            </w:tcMar>
            <w:vAlign w:val="top"/>
            <w:tcBorders>
              <w:bottom w:val="single" w:sz="4" w:space="0" w:color="E6ECEF"/>
            </w:tcBorders>
          </w:tcPr>
          <w:p>
            <w:pPr>
              <w:spacing w:after="40"/>
            </w:pPr>
            <w:r>
              <w:rPr>
                <w:b/>
                <w:color w:val="0B1F33"/>
                <w:sz w:val="20"/>
              </w:rPr>
              <w:t>Founder and Website Administrator - Online Medical and Dental Equipment Store</w:t>
            </w:r>
          </w:p>
          <w:p>
            <w:pPr>
              <w:pStyle w:val="CVBullet"/>
              <w:spacing w:after="20"/>
              <w:ind w:left="215" w:hanging="125"/>
            </w:pPr>
            <w:r>
              <w:rPr>
                <w:color w:val="0F7C82"/>
              </w:rPr>
              <w:t xml:space="preserve">• </w:t>
            </w:r>
            <w:r>
              <w:t>Built and operate an e-commerce platform covering product management, website administration, SEO, technical content, and customer relations.</w:t>
            </w:r>
          </w:p>
        </w:tc>
      </w:tr>
    </w:tbl>
    <w:tbl>
      <w:tblPr>
        <w:tblW w:type="auto" w:w="0"/>
        <w:jc w:val="center"/>
        <w:tblLayout w:type="fixed"/>
        <w:tblLook w:firstColumn="1" w:firstRow="1" w:lastColumn="0" w:lastRow="0" w:noHBand="0" w:noVBand="1" w:val="04A0"/>
      </w:tblPr>
      <w:tblGrid>
        <w:gridCol w:w="2494"/>
        <w:gridCol w:w="6973"/>
      </w:tblGrid>
      <w:tr>
        <w:trPr>
          <w:cantSplit/>
        </w:trPr>
        <w:tc>
          <w:tcPr>
            <w:tcW w:type="dxa" w:w="2494"/>
            <w:tcMar>
              <w:top w:w="35" w:type="dxa"/>
              <w:start w:w="0" w:type="dxa"/>
              <w:bottom w:w="50" w:type="dxa"/>
              <w:end w:w="70" w:type="dxa"/>
            </w:tcMar>
            <w:vAlign w:val="top"/>
            <w:tcBorders>
              <w:bottom w:val="single" w:sz="4" w:space="0" w:color="E6ECEF"/>
            </w:tcBorders>
          </w:tcPr>
          <w:p>
            <w:pPr>
              <w:spacing w:after="20"/>
            </w:pPr>
            <w:r>
              <w:rPr>
                <w:b/>
                <w:color w:val="1F2933"/>
                <w:sz w:val="18"/>
              </w:rPr>
              <w:t>Ark Dental / Andisheh Bayesteh Tejarat Co.  |  Tehran</w:t>
            </w:r>
          </w:p>
          <w:p>
            <w:pPr>
              <w:spacing w:after="0"/>
            </w:pPr>
            <w:r>
              <w:rPr>
                <w:color w:val="5B6773"/>
                <w:sz w:val="17"/>
              </w:rPr>
              <w:t>2018 - 2020</w:t>
            </w:r>
          </w:p>
        </w:tc>
        <w:tc>
          <w:tcPr>
            <w:tcW w:type="dxa" w:w="6974"/>
            <w:tcMar>
              <w:top w:w="35" w:type="dxa"/>
              <w:start w:w="160" w:type="dxa"/>
              <w:bottom w:w="50" w:type="dxa"/>
              <w:end w:w="70" w:type="dxa"/>
            </w:tcMar>
            <w:vAlign w:val="top"/>
            <w:tcBorders>
              <w:bottom w:val="single" w:sz="4" w:space="0" w:color="E6ECEF"/>
            </w:tcBorders>
          </w:tcPr>
          <w:p>
            <w:pPr>
              <w:spacing w:after="40"/>
            </w:pPr>
            <w:r>
              <w:rPr>
                <w:b/>
                <w:color w:val="0B1F33"/>
                <w:sz w:val="20"/>
              </w:rPr>
              <w:t>Sales Representative, Medical Equipment Consultant, and Content Contributor</w:t>
            </w:r>
          </w:p>
          <w:p>
            <w:pPr>
              <w:pStyle w:val="CVBullet"/>
              <w:spacing w:after="20"/>
              <w:ind w:left="215" w:hanging="125"/>
            </w:pPr>
            <w:r>
              <w:rPr>
                <w:color w:val="0F7C82"/>
              </w:rPr>
              <w:t xml:space="preserve">• </w:t>
            </w:r>
            <w:r>
              <w:t>Progressed from a trainee role to sales visits, customer consultation, and dental-equipment product support.</w:t>
            </w:r>
          </w:p>
          <w:p>
            <w:pPr>
              <w:pStyle w:val="CVBullet"/>
              <w:spacing w:after="20"/>
              <w:ind w:left="215" w:hanging="125"/>
            </w:pPr>
            <w:r>
              <w:rPr>
                <w:color w:val="0F7C82"/>
              </w:rPr>
              <w:t xml:space="preserve">• </w:t>
            </w:r>
            <w:r>
              <w:t>Combined technical product knowledge with customer consultation and sales support.</w:t>
            </w:r>
          </w:p>
        </w:tc>
      </w:tr>
    </w:tbl>
    <w:tbl>
      <w:tblPr>
        <w:tblW w:type="auto" w:w="0"/>
        <w:jc w:val="center"/>
        <w:tblLayout w:type="fixed"/>
        <w:tblLook w:firstColumn="1" w:firstRow="1" w:lastColumn="0" w:lastRow="0" w:noHBand="0" w:noVBand="1" w:val="04A0"/>
      </w:tblPr>
      <w:tblGrid>
        <w:gridCol w:w="2494"/>
        <w:gridCol w:w="6973"/>
      </w:tblGrid>
      <w:tr>
        <w:trPr>
          <w:cantSplit/>
        </w:trPr>
        <w:tc>
          <w:tcPr>
            <w:tcW w:type="dxa" w:w="2494"/>
            <w:tcMar>
              <w:top w:w="35" w:type="dxa"/>
              <w:start w:w="0" w:type="dxa"/>
              <w:bottom w:w="50" w:type="dxa"/>
              <w:end w:w="70" w:type="dxa"/>
            </w:tcMar>
            <w:vAlign w:val="top"/>
            <w:tcBorders>
              <w:bottom w:val="single" w:sz="4" w:space="0" w:color="E6ECEF"/>
            </w:tcBorders>
          </w:tcPr>
          <w:p>
            <w:pPr>
              <w:spacing w:after="20"/>
            </w:pPr>
            <w:r>
              <w:rPr>
                <w:b/>
                <w:color w:val="1F2933"/>
                <w:sz w:val="18"/>
              </w:rPr>
              <w:t>Irandec.com</w:t>
            </w:r>
          </w:p>
          <w:p>
            <w:pPr>
              <w:spacing w:after="0"/>
            </w:pPr>
            <w:r>
              <w:rPr>
                <w:color w:val="5B6773"/>
                <w:sz w:val="17"/>
              </w:rPr>
              <w:t>Sep 2018 - Feb 2020</w:t>
            </w:r>
          </w:p>
        </w:tc>
        <w:tc>
          <w:tcPr>
            <w:tcW w:type="dxa" w:w="6974"/>
            <w:tcMar>
              <w:top w:w="35" w:type="dxa"/>
              <w:start w:w="160" w:type="dxa"/>
              <w:bottom w:w="50" w:type="dxa"/>
              <w:end w:w="70" w:type="dxa"/>
            </w:tcMar>
            <w:vAlign w:val="top"/>
            <w:tcBorders>
              <w:bottom w:val="single" w:sz="4" w:space="0" w:color="E6ECEF"/>
            </w:tcBorders>
          </w:tcPr>
          <w:p>
            <w:pPr>
              <w:spacing w:after="40"/>
            </w:pPr>
            <w:r>
              <w:rPr>
                <w:b/>
                <w:color w:val="0B1F33"/>
                <w:sz w:val="20"/>
              </w:rPr>
              <w:t>Content Creator (Part-Time)</w:t>
            </w:r>
          </w:p>
          <w:p>
            <w:pPr>
              <w:pStyle w:val="CVBullet"/>
              <w:spacing w:after="20"/>
              <w:ind w:left="215" w:hanging="125"/>
            </w:pPr>
            <w:r>
              <w:rPr>
                <w:color w:val="0F7C82"/>
              </w:rPr>
              <w:t xml:space="preserve">• </w:t>
            </w:r>
            <w:r>
              <w:t>Produced and updated product descriptions, website content, and marketing materials for an online store.</w:t>
            </w:r>
          </w:p>
        </w:tc>
      </w:tr>
    </w:tbl>
    <w:p>
      <w:pPr>
        <w:pStyle w:val="SectionHeading"/>
        <w:spacing w:before="160" w:after="80"/>
        <w:pBdr>
          <w:bottom w:val="single" w:sz="10" w:space="4" w:color="0F7C82"/>
        </w:pBdr>
      </w:pPr>
      <w:r>
        <w:rPr>
          <w:rFonts w:ascii="Aptos Display" w:hAnsi="Aptos Display"/>
          <w:b/>
          <w:color w:val="0F7C82"/>
          <w:sz w:val="21"/>
        </w:rPr>
        <w:t>TEACHING, COURSE DEVELOPMENT, AND CREATIVE WORK</w:t>
      </w:r>
    </w:p>
    <w:tbl>
      <w:tblPr>
        <w:tblW w:type="auto" w:w="0"/>
        <w:jc w:val="center"/>
        <w:tblLayout w:type="fixed"/>
        <w:tblLook w:firstColumn="1" w:firstRow="1" w:lastColumn="0" w:lastRow="0" w:noHBand="0" w:noVBand="1" w:val="04A0"/>
      </w:tblPr>
      <w:tblGrid>
        <w:gridCol w:w="2494"/>
        <w:gridCol w:w="6973"/>
      </w:tblGrid>
      <w:tr>
        <w:trPr>
          <w:cantSplit/>
        </w:trPr>
        <w:tc>
          <w:tcPr>
            <w:tcW w:type="dxa" w:w="2494"/>
            <w:tcMar>
              <w:top w:w="35" w:type="dxa"/>
              <w:start w:w="0" w:type="dxa"/>
              <w:bottom w:w="50" w:type="dxa"/>
              <w:end w:w="70" w:type="dxa"/>
            </w:tcMar>
            <w:vAlign w:val="top"/>
            <w:tcBorders>
              <w:bottom w:val="single" w:sz="4" w:space="0" w:color="E6ECEF"/>
            </w:tcBorders>
          </w:tcPr>
          <w:p>
            <w:pPr>
              <w:spacing w:after="20"/>
            </w:pPr>
            <w:r>
              <w:rPr>
                <w:b/>
                <w:color w:val="1F2933"/>
                <w:sz w:val="18"/>
              </w:rPr>
              <w:t>Amirkabir University of Technology</w:t>
            </w:r>
          </w:p>
          <w:p>
            <w:pPr>
              <w:spacing w:after="0"/>
            </w:pPr>
            <w:r>
              <w:rPr>
                <w:color w:val="5B6773"/>
                <w:sz w:val="17"/>
              </w:rPr>
              <w:t>Nov 2025  |  6 sessions, 12 hours</w:t>
            </w:r>
          </w:p>
        </w:tc>
        <w:tc>
          <w:tcPr>
            <w:tcW w:type="dxa" w:w="6974"/>
            <w:tcMar>
              <w:top w:w="35" w:type="dxa"/>
              <w:start w:w="160" w:type="dxa"/>
              <w:bottom w:w="50" w:type="dxa"/>
              <w:end w:w="70" w:type="dxa"/>
            </w:tcMar>
            <w:vAlign w:val="top"/>
            <w:tcBorders>
              <w:bottom w:val="single" w:sz="4" w:space="0" w:color="E6ECEF"/>
            </w:tcBorders>
          </w:tcPr>
          <w:p>
            <w:pPr>
              <w:spacing w:after="40"/>
            </w:pPr>
            <w:r>
              <w:rPr>
                <w:b/>
                <w:color w:val="0B1F33"/>
                <w:sz w:val="20"/>
              </w:rPr>
              <w:t>Instructor - Practical MATLAB for Neuroscience</w:t>
            </w:r>
          </w:p>
          <w:p>
            <w:pPr>
              <w:pStyle w:val="CVBullet"/>
              <w:spacing w:after="20"/>
              <w:ind w:left="215" w:hanging="125"/>
            </w:pPr>
            <w:r>
              <w:rPr>
                <w:color w:val="0F7C82"/>
              </w:rPr>
              <w:t xml:space="preserve">• </w:t>
            </w:r>
            <w:r>
              <w:t>Designed and delivered an applied course covering MATLAB workflows for neuroscience students and researchers.</w:t>
            </w:r>
          </w:p>
        </w:tc>
      </w:tr>
    </w:tbl>
    <w:tbl>
      <w:tblPr>
        <w:tblW w:type="auto" w:w="0"/>
        <w:jc w:val="center"/>
        <w:tblLayout w:type="fixed"/>
        <w:tblLook w:firstColumn="1" w:firstRow="1" w:lastColumn="0" w:lastRow="0" w:noHBand="0" w:noVBand="1" w:val="04A0"/>
      </w:tblPr>
      <w:tblGrid>
        <w:gridCol w:w="2494"/>
        <w:gridCol w:w="6973"/>
      </w:tblGrid>
      <w:tr>
        <w:trPr>
          <w:cantSplit/>
        </w:trPr>
        <w:tc>
          <w:tcPr>
            <w:tcW w:type="dxa" w:w="2494"/>
            <w:tcMar>
              <w:top w:w="35" w:type="dxa"/>
              <w:start w:w="0" w:type="dxa"/>
              <w:bottom w:w="50" w:type="dxa"/>
              <w:end w:w="70" w:type="dxa"/>
            </w:tcMar>
            <w:vAlign w:val="top"/>
            <w:tcBorders>
              <w:bottom w:val="single" w:sz="4" w:space="0" w:color="E6ECEF"/>
            </w:tcBorders>
          </w:tcPr>
          <w:p>
            <w:pPr>
              <w:spacing w:after="20"/>
            </w:pPr>
            <w:r>
              <w:rPr>
                <w:b/>
                <w:color w:val="1F2933"/>
                <w:sz w:val="18"/>
              </w:rPr>
              <w:t>Tech Academy  |  academy-tech.ir</w:t>
            </w:r>
          </w:p>
          <w:p>
            <w:pPr>
              <w:spacing w:after="0"/>
            </w:pPr>
            <w:r>
              <w:rPr>
                <w:color w:val="5B6773"/>
                <w:sz w:val="17"/>
              </w:rPr>
              <w:t>Dec 2023 - Present</w:t>
            </w:r>
          </w:p>
        </w:tc>
        <w:tc>
          <w:tcPr>
            <w:tcW w:type="dxa" w:w="6974"/>
            <w:tcMar>
              <w:top w:w="35" w:type="dxa"/>
              <w:start w:w="160" w:type="dxa"/>
              <w:bottom w:w="50" w:type="dxa"/>
              <w:end w:w="70" w:type="dxa"/>
            </w:tcMar>
            <w:vAlign w:val="top"/>
            <w:tcBorders>
              <w:bottom w:val="single" w:sz="4" w:space="0" w:color="E6ECEF"/>
            </w:tcBorders>
          </w:tcPr>
          <w:p>
            <w:pPr>
              <w:spacing w:after="40"/>
            </w:pPr>
            <w:r>
              <w:rPr>
                <w:b/>
                <w:color w:val="0B1F33"/>
                <w:sz w:val="20"/>
              </w:rPr>
              <w:t>Founder, Instructor, and Website Administrator</w:t>
            </w:r>
          </w:p>
          <w:p>
            <w:pPr>
              <w:pStyle w:val="CVBullet"/>
              <w:spacing w:after="20"/>
              <w:ind w:left="215" w:hanging="125"/>
            </w:pPr>
            <w:r>
              <w:rPr>
                <w:color w:val="0F7C82"/>
              </w:rPr>
              <w:t xml:space="preserve">• </w:t>
            </w:r>
            <w:r>
              <w:t>Recorded a 40-hour beginner-to-advanced MATLAB course comprising 38 sessions.</w:t>
            </w:r>
          </w:p>
          <w:p>
            <w:pPr>
              <w:pStyle w:val="CVBullet"/>
              <w:spacing w:after="20"/>
              <w:ind w:left="215" w:hanging="125"/>
            </w:pPr>
            <w:r>
              <w:rPr>
                <w:color w:val="0F7C82"/>
              </w:rPr>
              <w:t xml:space="preserve">• </w:t>
            </w:r>
            <w:r>
              <w:t>Manage website structure, technical operations, educational content, SEO, and course media.</w:t>
            </w:r>
          </w:p>
        </w:tc>
      </w:tr>
    </w:tbl>
    <w:tbl>
      <w:tblPr>
        <w:tblW w:type="auto" w:w="0"/>
        <w:jc w:val="center"/>
        <w:tblLayout w:type="fixed"/>
        <w:tblLook w:firstColumn="1" w:firstRow="1" w:lastColumn="0" w:lastRow="0" w:noHBand="0" w:noVBand="1" w:val="04A0"/>
      </w:tblPr>
      <w:tblGrid>
        <w:gridCol w:w="2494"/>
        <w:gridCol w:w="6973"/>
      </w:tblGrid>
      <w:tr>
        <w:trPr>
          <w:cantSplit/>
        </w:trPr>
        <w:tc>
          <w:tcPr>
            <w:tcW w:type="dxa" w:w="2494"/>
            <w:tcMar>
              <w:top w:w="35" w:type="dxa"/>
              <w:start w:w="0" w:type="dxa"/>
              <w:bottom w:w="50" w:type="dxa"/>
              <w:end w:w="70" w:type="dxa"/>
            </w:tcMar>
            <w:vAlign w:val="top"/>
            <w:tcBorders>
              <w:bottom w:val="single" w:sz="4" w:space="0" w:color="E6ECEF"/>
            </w:tcBorders>
          </w:tcPr>
          <w:p>
            <w:pPr>
              <w:spacing w:after="20"/>
            </w:pPr>
            <w:r>
              <w:rPr>
                <w:b/>
                <w:color w:val="1F2933"/>
                <w:sz w:val="18"/>
              </w:rPr>
              <w:t>Freelance  |  Istanbul / Remote</w:t>
            </w:r>
          </w:p>
          <w:p>
            <w:pPr>
              <w:spacing w:after="0"/>
            </w:pPr>
            <w:r>
              <w:rPr>
                <w:color w:val="5B6773"/>
                <w:sz w:val="17"/>
              </w:rPr>
              <w:t>Aug 2020 - Feb 2023</w:t>
            </w:r>
          </w:p>
        </w:tc>
        <w:tc>
          <w:tcPr>
            <w:tcW w:type="dxa" w:w="6974"/>
            <w:tcMar>
              <w:top w:w="35" w:type="dxa"/>
              <w:start w:w="160" w:type="dxa"/>
              <w:bottom w:w="50" w:type="dxa"/>
              <w:end w:w="70" w:type="dxa"/>
            </w:tcMar>
            <w:vAlign w:val="top"/>
            <w:tcBorders>
              <w:bottom w:val="single" w:sz="4" w:space="0" w:color="E6ECEF"/>
            </w:tcBorders>
          </w:tcPr>
          <w:p>
            <w:pPr>
              <w:spacing w:after="40"/>
            </w:pPr>
            <w:r>
              <w:rPr>
                <w:b/>
                <w:color w:val="0B1F33"/>
                <w:sz w:val="20"/>
              </w:rPr>
              <w:t>Multimedia Producer and Content Creator</w:t>
            </w:r>
          </w:p>
          <w:p>
            <w:pPr>
              <w:pStyle w:val="CVBullet"/>
              <w:spacing w:after="20"/>
              <w:ind w:left="215" w:hanging="125"/>
            </w:pPr>
            <w:r>
              <w:rPr>
                <w:color w:val="0F7C82"/>
              </w:rPr>
              <w:t xml:space="preserve">• </w:t>
            </w:r>
            <w:r>
              <w:t>Produced video, motion-graphics, website, and social-media content for commercial and educational projects.</w:t>
            </w:r>
          </w:p>
          <w:p>
            <w:pPr>
              <w:pStyle w:val="CVBullet"/>
              <w:spacing w:after="20"/>
              <w:ind w:left="215" w:hanging="125"/>
            </w:pPr>
            <w:r>
              <w:rPr>
                <w:color w:val="0F7C82"/>
              </w:rPr>
              <w:t xml:space="preserve">• </w:t>
            </w:r>
            <w:r>
              <w:t>Managed Nix Broker social channels and produced 15 promotional videos; led a creative team for the Amirkabir International Winter School of MBA.</w:t>
            </w:r>
          </w:p>
        </w:tc>
      </w:tr>
    </w:tbl>
    <w:p>
      <w:pPr>
        <w:pStyle w:val="SectionHeading"/>
        <w:spacing w:before="160" w:after="80"/>
        <w:pBdr>
          <w:bottom w:val="single" w:sz="10" w:space="4" w:color="0F7C82"/>
        </w:pBdr>
      </w:pPr>
      <w:r>
        <w:rPr>
          <w:rFonts w:ascii="Aptos Display" w:hAnsi="Aptos Display"/>
          <w:b/>
          <w:color w:val="0F7C82"/>
          <w:sz w:val="21"/>
        </w:rPr>
        <w:t>TECHNICAL SKILLS</w:t>
      </w:r>
    </w:p>
    <w:tbl>
      <w:tblPr>
        <w:tblW w:type="auto" w:w="0"/>
        <w:jc w:val="center"/>
        <w:tblLayout w:type="fixed"/>
        <w:tblLook w:firstColumn="1" w:firstRow="1" w:lastColumn="0" w:lastRow="0" w:noHBand="0" w:noVBand="1" w:val="04A0"/>
      </w:tblPr>
      <w:tblGrid>
        <w:gridCol w:w="5188"/>
        <w:gridCol w:w="5188"/>
      </w:tblGrid>
      <w:tr>
        <w:tc>
          <w:tcPr>
            <w:tcW w:type="dxa" w:w="5188"/>
            <w:tcMar>
              <w:top w:w="60" w:type="dxa"/>
              <w:start w:w="0" w:type="dxa"/>
              <w:bottom w:w="65" w:type="dxa"/>
              <w:end w:w="90" w:type="dxa"/>
            </w:tcMar>
            <w:tcBorders>
              <w:bottom w:val="single" w:sz="4" w:space="0" w:color="E6ECEF"/>
            </w:tcBorders>
          </w:tcPr>
          <w:p>
            <w:pPr>
              <w:spacing w:after="20"/>
            </w:pPr>
            <w:r>
              <w:rPr>
                <w:b/>
                <w:color w:val="0B1F33"/>
                <w:sz w:val="17"/>
              </w:rPr>
              <w:t>Research and experimental</w:t>
            </w:r>
          </w:p>
          <w:p>
            <w:pPr>
              <w:spacing w:after="0" w:line="240" w:lineRule="auto"/>
            </w:pPr>
            <w:r>
              <w:rPr>
                <w:color w:val="1F2933"/>
                <w:sz w:val="16"/>
              </w:rPr>
              <w:t>Rodent research; stereotaxic workflows; DBS and neuromodulation; behavioral testing; protocol development.</w:t>
            </w:r>
          </w:p>
        </w:tc>
        <w:tc>
          <w:tcPr>
            <w:tcW w:type="dxa" w:w="5188"/>
            <w:tcMar>
              <w:top w:w="60" w:type="dxa"/>
              <w:start w:w="170" w:type="dxa"/>
              <w:bottom w:w="65" w:type="dxa"/>
              <w:end w:w="90" w:type="dxa"/>
            </w:tcMar>
            <w:tcBorders>
              <w:bottom w:val="single" w:sz="4" w:space="0" w:color="E6ECEF"/>
            </w:tcBorders>
          </w:tcPr>
          <w:p>
            <w:pPr>
              <w:spacing w:after="20"/>
            </w:pPr>
            <w:r>
              <w:rPr>
                <w:b/>
                <w:color w:val="0B1F33"/>
                <w:sz w:val="17"/>
              </w:rPr>
              <w:t>Programming and analysis</w:t>
            </w:r>
          </w:p>
          <w:p>
            <w:pPr>
              <w:spacing w:after="0" w:line="240" w:lineRule="auto"/>
            </w:pPr>
            <w:r>
              <w:rPr>
                <w:color w:val="1F2933"/>
                <w:sz w:val="16"/>
              </w:rPr>
              <w:t>Python; MATLAB; statistics; repeated-measures modeling; machine learning; signal/image processing; data visualization.</w:t>
            </w:r>
          </w:p>
        </w:tc>
      </w:tr>
      <w:tr>
        <w:tc>
          <w:tcPr>
            <w:tcW w:type="dxa" w:w="5188"/>
            <w:tcMar>
              <w:top w:w="60" w:type="dxa"/>
              <w:start w:w="0" w:type="dxa"/>
              <w:bottom w:w="65" w:type="dxa"/>
              <w:end w:w="90" w:type="dxa"/>
            </w:tcMar>
            <w:tcBorders>
              <w:bottom w:val="single" w:sz="4" w:space="0" w:color="E6ECEF"/>
            </w:tcBorders>
          </w:tcPr>
          <w:p>
            <w:pPr>
              <w:spacing w:after="20"/>
            </w:pPr>
            <w:r>
              <w:rPr>
                <w:b/>
                <w:color w:val="0B1F33"/>
                <w:sz w:val="17"/>
              </w:rPr>
              <w:t>Scientific communication</w:t>
            </w:r>
          </w:p>
          <w:p>
            <w:pPr>
              <w:spacing w:after="0" w:line="240" w:lineRule="auto"/>
            </w:pPr>
            <w:r>
              <w:rPr>
                <w:color w:val="1F2933"/>
                <w:sz w:val="16"/>
              </w:rPr>
              <w:t>Scientific writing; evidence extraction; publication figures; graphical abstracts; teaching materials.</w:t>
            </w:r>
          </w:p>
        </w:tc>
        <w:tc>
          <w:tcPr>
            <w:tcW w:type="dxa" w:w="5188"/>
            <w:tcMar>
              <w:top w:w="60" w:type="dxa"/>
              <w:start w:w="170" w:type="dxa"/>
              <w:bottom w:w="65" w:type="dxa"/>
              <w:end w:w="90" w:type="dxa"/>
            </w:tcMar>
            <w:tcBorders>
              <w:bottom w:val="single" w:sz="4" w:space="0" w:color="E6ECEF"/>
            </w:tcBorders>
          </w:tcPr>
          <w:p>
            <w:pPr>
              <w:spacing w:after="20"/>
            </w:pPr>
            <w:r>
              <w:rPr>
                <w:b/>
                <w:color w:val="0B1F33"/>
                <w:sz w:val="17"/>
              </w:rPr>
              <w:t>Medical and digital operations</w:t>
            </w:r>
          </w:p>
          <w:p>
            <w:pPr>
              <w:spacing w:after="0" w:line="240" w:lineRule="auto"/>
            </w:pPr>
            <w:r>
              <w:rPr>
                <w:color w:val="1F2933"/>
                <w:sz w:val="16"/>
              </w:rPr>
              <w:t>Equipment inspection and troubleshooting; website administration; SEO; e-commerce; video and motion graphics.</w:t>
            </w:r>
          </w:p>
        </w:tc>
      </w:tr>
    </w:tbl>
    <w:sectPr w:rsidR="00FC693F" w:rsidRPr="0006063C" w:rsidSect="00034616">
      <w:footerReference w:type="default" r:id="rId12"/>
      <w:pgSz w:w="11906" w:h="16838"/>
      <w:pgMar w:top="595" w:right="765" w:bottom="567" w:left="765" w:header="283"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773"/>
        <w:sz w:val="14"/>
      </w:rPr>
      <w:t>Public professional CV | Updated July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7" w:lineRule="auto"/>
    </w:pPr>
    <w:rPr>
      <w:rFonts w:ascii="Aptos" w:hAnsi="Aptos"/>
      <w:color w:val="1F2933"/>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Heading">
    <w:name w:val="Section Heading"/>
  </w:style>
  <w:style w:type="paragraph" w:customStyle="1" w:styleId="CVBullet">
    <w:name w:val="CV Bullet"/>
    <w:pPr>
      <w:spacing w:after="30" w:line="245" w:lineRule="auto"/>
    </w:pPr>
    <w:rPr>
      <w:rFonts w:ascii="Aptos" w:hAnsi="Aptos"/>
      <w:color w:val="1F293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ablofazlbabaei@gmail.com" TargetMode="External"/><Relationship Id="rId10" Type="http://schemas.openxmlformats.org/officeDocument/2006/relationships/hyperlink" Target="https://github.com/A-Babaei" TargetMode="External"/><Relationship Id="rId11" Type="http://schemas.openxmlformats.org/officeDocument/2006/relationships/hyperlink" Target="https://academy-tech.ir"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Babaei - Professional CV</dc:title>
  <dc:subject>Neuroscience, biomedical engineering, scientific programming, and professional experience</dc:subject>
  <dc:creator>A. Babaei</dc:creator>
  <cp:keywords>Neuroscience, Biomedical Engineering, DBS, Python, MATLAB, Scientific Computing</cp:keywords>
  <dc:description>generated by python-docx</dc:description>
  <cp:lastModifiedBy/>
  <cp:revision>1</cp:revision>
  <dcterms:created xsi:type="dcterms:W3CDTF">2013-12-23T23:15:00Z</dcterms:created>
  <dcterms:modified xsi:type="dcterms:W3CDTF">2013-12-23T23:15:00Z</dcterms:modified>
  <cp:category/>
</cp:coreProperties>
</file>