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6912"/>
        <w:gridCol w:w="3024"/>
      </w:tblGrid>
      <w:tr>
        <w:tc>
          <w:tcPr>
            <w:tcW w:type="dxa" w:w="5328"/>
            <w:tcMar>
              <w:top w:w="0" w:type="dxa"/>
              <w:start w:w="0" w:type="dxa"/>
              <w:bottom w:w="0" w:type="dxa"/>
              <w:end w:w="0" w:type="dxa"/>
            </w:tcMar>
          </w:tcPr>
          <w:p>
            <w:r>
              <w:rPr>
                <w:rFonts w:ascii="Arial" w:hAnsi="Arial"/>
                <w:b/>
                <w:color w:val="071F31"/>
                <w:sz w:val="50"/>
              </w:rPr>
              <w:t>A. BABAEI</w:t>
            </w:r>
          </w:p>
          <w:p>
            <w:pPr>
              <w:spacing w:after="0"/>
            </w:pPr>
            <w:r>
              <w:rPr>
                <w:rFonts w:ascii="Arial" w:hAnsi="Arial"/>
                <w:b/>
                <w:color w:val="008080"/>
                <w:sz w:val="20"/>
              </w:rPr>
              <w:t>Biomedical Engineer | Neuroscience Researcher | Prospective PhD Applicant</w:t>
            </w:r>
          </w:p>
          <w:p>
            <w:pPr>
              <w:spacing w:after="0"/>
            </w:pPr>
            <w:r>
              <w:rPr>
                <w:rFonts w:ascii="Arial" w:hAnsi="Arial"/>
                <w:color w:val="5A6973"/>
                <w:sz w:val="17"/>
              </w:rPr>
              <w:t>Translational neuroscience · Neural engineering · Neuromodulation</w:t>
            </w:r>
          </w:p>
        </w:tc>
        <w:tc>
          <w:tcPr>
            <w:tcW w:type="dxa" w:w="5328"/>
            <w:tcMar>
              <w:top w:w="0" w:type="dxa"/>
              <w:start w:w="0" w:type="dxa"/>
              <w:bottom w:w="0" w:type="dxa"/>
              <w:end w:w="0" w:type="dxa"/>
            </w:tcMar>
          </w:tcPr>
          <w:p>
            <w:pPr>
              <w:spacing w:after="0"/>
              <w:jc w:val="right"/>
            </w:pPr>
            <w:r>
              <w:rPr>
                <w:rFonts w:ascii="Arial" w:hAnsi="Arial"/>
                <w:color w:val="5A6973"/>
                <w:sz w:val="17"/>
              </w:rPr>
              <w:t>Tehran, Iran</w:t>
            </w:r>
          </w:p>
          <w:p>
            <w:pPr>
              <w:spacing w:after="0"/>
              <w:jc w:val="right"/>
            </w:pPr>
            <w:r>
              <w:rPr>
                <w:rFonts w:ascii="Arial" w:hAnsi="Arial"/>
                <w:color w:val="5A6973"/>
                <w:sz w:val="17"/>
              </w:rPr>
              <w:t>+98 919 651 5051</w:t>
            </w:r>
          </w:p>
          <w:p>
            <w:pPr>
              <w:spacing w:after="0"/>
              <w:jc w:val="right"/>
            </w:pPr>
            <w:r>
              <w:rPr>
                <w:rFonts w:ascii="Arial" w:hAnsi="Arial"/>
                <w:color w:val="5A6973"/>
                <w:sz w:val="17"/>
              </w:rPr>
              <w:t>ablofazlbabaei@gmail.com</w:t>
            </w:r>
          </w:p>
          <w:p>
            <w:pPr>
              <w:spacing w:after="0"/>
              <w:jc w:val="right"/>
            </w:pPr>
            <w:hyperlink r:id="rId9">
              <w:r>
                <w:rPr>
                  <w:color w:val="0B6F85"/>
                  <w:u w:val="single"/>
                </w:rPr>
                <w:t>Portfolio</w:t>
              </w:r>
            </w:hyperlink>
            <w:r>
              <w:t xml:space="preserve"> | </w:t>
            </w:r>
            <w:hyperlink r:id="rId10">
              <w:r>
                <w:rPr>
                  <w:color w:val="0B6F85"/>
                  <w:u w:val="single"/>
                </w:rPr>
                <w:t>GitHub</w:t>
              </w:r>
            </w:hyperlink>
          </w:p>
        </w:tc>
      </w:tr>
    </w:tbl>
    <w:p>
      <w:pPr>
        <w:spacing w:before="140" w:after="60"/>
        <w:keepNext/>
        <w:pBdr>
          <w:bottom w:val="single" w:sz="8" w:space="3" w:color="B9CBD5"/>
        </w:pBdr>
      </w:pPr>
      <w:r>
        <w:rPr>
          <w:rFonts w:ascii="Arial" w:hAnsi="Arial"/>
          <w:b/>
          <w:color w:val="008080"/>
          <w:sz w:val="21"/>
        </w:rPr>
        <w:t>PROFILE</w:t>
      </w:r>
    </w:p>
    <w:p>
      <w:pPr>
        <w:spacing w:after="60" w:line="247" w:lineRule="auto"/>
      </w:pPr>
      <w:r>
        <w:rPr>
          <w:rFonts w:ascii="Arial" w:hAnsi="Arial"/>
          <w:color w:val="23313A"/>
          <w:sz w:val="18"/>
        </w:rPr>
        <w:t>Biomedical engineer with an M.Sc. in Biomedical Engineering (Bioelectric) and hands-on experience in preclinical neuroscience, neuromodulation, rodent behavioral research, scientific programming, biomedical instrumentation, and technical scientific communication. Seeking doctoral training that integrates translational neuroscience, neurocognitive systems, neural engineering, and clinically relevant neurotechnology.</w:t>
      </w:r>
    </w:p>
    <w:p>
      <w:pPr>
        <w:spacing w:before="140" w:after="60"/>
        <w:keepNext/>
        <w:pBdr>
          <w:bottom w:val="single" w:sz="8" w:space="3" w:color="B9CBD5"/>
        </w:pBdr>
      </w:pPr>
      <w:r>
        <w:rPr>
          <w:rFonts w:ascii="Arial" w:hAnsi="Arial"/>
          <w:b/>
          <w:color w:val="008080"/>
          <w:sz w:val="21"/>
        </w:rPr>
        <w:t>RESEARCH INTERESTS</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5328"/>
        <w:gridCol w:w="5328"/>
      </w:tblGrid>
      <w:tr>
        <w:tc>
          <w:tcPr>
            <w:tcW w:type="dxa" w:w="5328"/>
            <w:tcMar>
              <w:top w:w="20" w:type="dxa"/>
              <w:start w:w="40" w:type="dxa"/>
              <w:bottom w:w="20" w:type="dxa"/>
              <w:end w:w="40" w:type="dxa"/>
            </w:tcMar>
          </w:tcPr>
          <w:p>
            <w:pPr>
              <w:spacing w:after="0"/>
            </w:pPr>
            <w:r>
              <w:rPr>
                <w:rFonts w:ascii="Arial" w:hAnsi="Arial"/>
                <w:color w:val="23313A"/>
                <w:sz w:val="17"/>
              </w:rPr>
              <w:t>• Translational neuroscience</w:t>
            </w:r>
          </w:p>
        </w:tc>
        <w:tc>
          <w:tcPr>
            <w:tcW w:type="dxa" w:w="5328"/>
            <w:tcMar>
              <w:top w:w="20" w:type="dxa"/>
              <w:start w:w="40" w:type="dxa"/>
              <w:bottom w:w="20" w:type="dxa"/>
              <w:end w:w="40" w:type="dxa"/>
            </w:tcMar>
          </w:tcPr>
          <w:p>
            <w:pPr>
              <w:spacing w:after="0"/>
            </w:pPr>
            <w:r>
              <w:rPr>
                <w:rFonts w:ascii="Arial" w:hAnsi="Arial"/>
                <w:color w:val="23313A"/>
                <w:sz w:val="17"/>
              </w:rPr>
              <w:t>• Neurocognitive neuroscience</w:t>
            </w:r>
          </w:p>
        </w:tc>
      </w:tr>
      <w:tr>
        <w:tc>
          <w:tcPr>
            <w:tcW w:type="dxa" w:w="5328"/>
            <w:tcMar>
              <w:top w:w="20" w:type="dxa"/>
              <w:start w:w="40" w:type="dxa"/>
              <w:bottom w:w="20" w:type="dxa"/>
              <w:end w:w="40" w:type="dxa"/>
            </w:tcMar>
          </w:tcPr>
          <w:p>
            <w:pPr>
              <w:spacing w:after="0"/>
            </w:pPr>
            <w:r>
              <w:rPr>
                <w:rFonts w:ascii="Arial" w:hAnsi="Arial"/>
                <w:color w:val="23313A"/>
                <w:sz w:val="17"/>
              </w:rPr>
              <w:t>• Deep brain stimulation and circuit neuromodulation</w:t>
            </w:r>
          </w:p>
        </w:tc>
        <w:tc>
          <w:tcPr>
            <w:tcW w:type="dxa" w:w="5328"/>
            <w:tcMar>
              <w:top w:w="20" w:type="dxa"/>
              <w:start w:w="40" w:type="dxa"/>
              <w:bottom w:w="20" w:type="dxa"/>
              <w:end w:w="40" w:type="dxa"/>
            </w:tcMar>
          </w:tcPr>
          <w:p>
            <w:pPr>
              <w:spacing w:after="0"/>
            </w:pPr>
            <w:r>
              <w:rPr>
                <w:rFonts w:ascii="Arial" w:hAnsi="Arial"/>
                <w:color w:val="23313A"/>
                <w:sz w:val="17"/>
              </w:rPr>
              <w:t>• Neurodegenerative diseases and disease-modifying or restorative approaches</w:t>
            </w:r>
          </w:p>
        </w:tc>
      </w:tr>
      <w:tr>
        <w:tc>
          <w:tcPr>
            <w:tcW w:type="dxa" w:w="5328"/>
            <w:tcMar>
              <w:top w:w="20" w:type="dxa"/>
              <w:start w:w="40" w:type="dxa"/>
              <w:bottom w:w="20" w:type="dxa"/>
              <w:end w:w="40" w:type="dxa"/>
            </w:tcMar>
          </w:tcPr>
          <w:p>
            <w:pPr>
              <w:spacing w:after="0"/>
            </w:pPr>
            <w:r>
              <w:rPr>
                <w:rFonts w:ascii="Arial" w:hAnsi="Arial"/>
                <w:color w:val="23313A"/>
                <w:sz w:val="17"/>
              </w:rPr>
              <w:t>• Biomedical device design and development</w:t>
            </w:r>
          </w:p>
        </w:tc>
        <w:tc>
          <w:tcPr>
            <w:tcW w:type="dxa" w:w="5328"/>
            <w:tcMar>
              <w:top w:w="20" w:type="dxa"/>
              <w:start w:w="40" w:type="dxa"/>
              <w:bottom w:w="20" w:type="dxa"/>
              <w:end w:w="40" w:type="dxa"/>
            </w:tcMar>
          </w:tcPr>
          <w:p>
            <w:pPr>
              <w:spacing w:after="0"/>
            </w:pPr>
            <w:r>
              <w:rPr>
                <w:rFonts w:ascii="Arial" w:hAnsi="Arial"/>
                <w:color w:val="23313A"/>
                <w:sz w:val="17"/>
              </w:rPr>
              <w:t>• Rehabilitation engineering and assistive or rehabilitative devices</w:t>
            </w:r>
          </w:p>
        </w:tc>
      </w:tr>
      <w:tr>
        <w:tc>
          <w:tcPr>
            <w:tcW w:type="dxa" w:w="5328"/>
            <w:tcMar>
              <w:top w:w="20" w:type="dxa"/>
              <w:start w:w="40" w:type="dxa"/>
              <w:bottom w:w="20" w:type="dxa"/>
              <w:end w:w="40" w:type="dxa"/>
            </w:tcMar>
          </w:tcPr>
          <w:p>
            <w:pPr>
              <w:spacing w:after="0"/>
            </w:pPr>
            <w:r>
              <w:rPr>
                <w:rFonts w:ascii="Arial" w:hAnsi="Arial"/>
                <w:color w:val="23313A"/>
                <w:sz w:val="17"/>
              </w:rPr>
              <w:t>• Rodent neurosurgery and preclinical disease models</w:t>
            </w:r>
          </w:p>
        </w:tc>
        <w:tc>
          <w:tcPr>
            <w:tcW w:type="dxa" w:w="5328"/>
            <w:tcMar>
              <w:top w:w="20" w:type="dxa"/>
              <w:start w:w="40" w:type="dxa"/>
              <w:bottom w:w="20" w:type="dxa"/>
              <w:end w:w="40" w:type="dxa"/>
            </w:tcMar>
          </w:tcPr>
          <w:p>
            <w:pPr>
              <w:spacing w:after="0"/>
            </w:pPr>
            <w:r>
              <w:rPr>
                <w:rFonts w:ascii="Arial" w:hAnsi="Arial"/>
                <w:color w:val="23313A"/>
                <w:sz w:val="17"/>
              </w:rPr>
              <w:t>• Neural signal acquisition, instrumentation, and analysis</w:t>
            </w:r>
          </w:p>
        </w:tc>
      </w:tr>
      <w:tr>
        <w:tc>
          <w:tcPr>
            <w:tcW w:type="dxa" w:w="5328"/>
            <w:tcMar>
              <w:top w:w="20" w:type="dxa"/>
              <w:start w:w="40" w:type="dxa"/>
              <w:bottom w:w="20" w:type="dxa"/>
              <w:end w:w="40" w:type="dxa"/>
            </w:tcMar>
          </w:tcPr>
          <w:p>
            <w:pPr>
              <w:spacing w:after="0"/>
            </w:pPr>
            <w:r>
              <w:rPr>
                <w:rFonts w:ascii="Arial" w:hAnsi="Arial"/>
                <w:color w:val="23313A"/>
                <w:sz w:val="17"/>
              </w:rPr>
              <w:t>• Brain-behavior relationships and quantitative phenotyping</w:t>
            </w:r>
          </w:p>
        </w:tc>
        <w:tc>
          <w:tcPr>
            <w:tcW w:type="dxa" w:w="5328"/>
            <w:tcMar>
              <w:top w:w="20" w:type="dxa"/>
              <w:start w:w="40" w:type="dxa"/>
              <w:bottom w:w="20" w:type="dxa"/>
              <w:end w:w="40" w:type="dxa"/>
            </w:tcMar>
          </w:tcPr>
          <w:p>
            <w:pPr>
              <w:spacing w:after="0"/>
            </w:pPr>
            <w:r>
              <w:rPr>
                <w:rFonts w:ascii="Arial" w:hAnsi="Arial"/>
                <w:color w:val="23313A"/>
                <w:sz w:val="17"/>
              </w:rPr>
              <w:t>• Scientific computing and reproducible biomedical analysis</w:t>
            </w:r>
          </w:p>
        </w:tc>
      </w:tr>
    </w:tbl>
    <w:p>
      <w:pPr>
        <w:spacing w:before="140" w:after="60"/>
        <w:keepNext/>
        <w:pBdr>
          <w:bottom w:val="single" w:sz="8" w:space="3" w:color="B9CBD5"/>
        </w:pBdr>
      </w:pPr>
      <w:r>
        <w:rPr>
          <w:rFonts w:ascii="Arial" w:hAnsi="Arial"/>
          <w:b/>
          <w:color w:val="008080"/>
          <w:sz w:val="21"/>
        </w:rPr>
        <w:t>EDUCATION</w:t>
      </w:r>
    </w:p>
    <w:tbl>
      <w:tblPr>
        <w:tblW w:type="auto" w:w="0"/>
        <w:jc w:val="center"/>
        <w:tblLayout w:type="fixed"/>
        <w:tblLook w:firstColumn="1" w:firstRow="1" w:lastColumn="0" w:lastRow="0" w:noHBand="0" w:noVBand="1" w:val="04A0"/>
      </w:tblPr>
      <w:tblGrid>
        <w:gridCol w:w="8136"/>
        <w:gridCol w:w="1800"/>
      </w:tblGrid>
      <w:tr>
        <w:tc>
          <w:tcPr>
            <w:tcW w:type="dxa" w:w="5328"/>
            <w:tcMar>
              <w:top w:w="40" w:type="dxa"/>
              <w:start w:w="0" w:type="dxa"/>
              <w:bottom w:w="20" w:type="dxa"/>
              <w:end w:w="60" w:type="dxa"/>
            </w:tcMar>
          </w:tcPr>
          <w:p>
            <w:pPr>
              <w:spacing w:after="0"/>
            </w:pPr>
            <w:r>
              <w:rPr>
                <w:rFonts w:ascii="Arial" w:hAnsi="Arial"/>
                <w:b/>
                <w:color w:val="071F31"/>
                <w:sz w:val="19"/>
              </w:rPr>
              <w:t>M.Sc. in Biomedical Engineering (Bioelectric)</w:t>
            </w:r>
            <w:r>
              <w:rPr>
                <w:rFonts w:ascii="Arial" w:hAnsi="Arial"/>
                <w:color w:val="5A6973"/>
                <w:sz w:val="18"/>
              </w:rPr>
              <w:t xml:space="preserve"> | Iran University of Science and Technology</w:t>
            </w:r>
          </w:p>
          <w:p>
            <w:pPr>
              <w:spacing w:after="20"/>
            </w:pPr>
            <w:r>
              <w:rPr>
                <w:rFonts w:ascii="Arial" w:hAnsi="Arial"/>
                <w:i/>
                <w:color w:val="5A6973"/>
                <w:sz w:val="16"/>
              </w:rPr>
              <w:t>Tehran, Iran</w:t>
            </w:r>
          </w:p>
        </w:tc>
        <w:tc>
          <w:tcPr>
            <w:tcW w:type="dxa" w:w="5328"/>
            <w:tcMar>
              <w:top w:w="40" w:type="dxa"/>
              <w:start w:w="0" w:type="dxa"/>
              <w:bottom w:w="20" w:type="dxa"/>
              <w:end w:w="0" w:type="dxa"/>
            </w:tcMar>
          </w:tcPr>
          <w:p>
            <w:pPr>
              <w:spacing w:after="0"/>
              <w:jc w:val="right"/>
            </w:pPr>
            <w:r>
              <w:rPr>
                <w:rFonts w:ascii="Arial" w:hAnsi="Arial"/>
                <w:b/>
                <w:color w:val="008080"/>
                <w:sz w:val="17"/>
              </w:rPr>
              <w:t>2023-2026</w:t>
            </w:r>
          </w:p>
        </w:tc>
      </w:tr>
    </w:tbl>
    <w:p>
      <w:pPr>
        <w:pStyle w:val="ListBullet"/>
        <w:spacing w:after="30" w:line="240" w:lineRule="auto"/>
        <w:ind w:left="259" w:hanging="173"/>
      </w:pPr>
      <w:r>
        <w:rPr>
          <w:rFonts w:ascii="Arial" w:hAnsi="Arial"/>
          <w:color w:val="23313A"/>
          <w:sz w:val="17"/>
        </w:rPr>
        <w:t>Graduate focus: neural engineering, neuromodulation, machine learning, biomedical signal processing, and image processing.</w:t>
      </w:r>
    </w:p>
    <w:p>
      <w:pPr>
        <w:pStyle w:val="ListBullet"/>
        <w:spacing w:after="30" w:line="240" w:lineRule="auto"/>
        <w:ind w:left="259" w:hanging="173"/>
      </w:pPr>
      <w:r>
        <w:rPr>
          <w:rFonts w:ascii="Arial" w:hAnsi="Arial"/>
          <w:color w:val="23313A"/>
          <w:sz w:val="17"/>
        </w:rPr>
        <w:t>Research integrated preclinical experimentation, deep brain stimulation, behavioral assessment, and computational analysis.</w:t>
      </w:r>
    </w:p>
    <w:tbl>
      <w:tblPr>
        <w:tblW w:type="auto" w:w="0"/>
        <w:jc w:val="center"/>
        <w:tblLayout w:type="fixed"/>
        <w:tblLook w:firstColumn="1" w:firstRow="1" w:lastColumn="0" w:lastRow="0" w:noHBand="0" w:noVBand="1" w:val="04A0"/>
      </w:tblPr>
      <w:tblGrid>
        <w:gridCol w:w="8136"/>
        <w:gridCol w:w="1800"/>
      </w:tblGrid>
      <w:tr>
        <w:tc>
          <w:tcPr>
            <w:tcW w:type="dxa" w:w="5328"/>
            <w:tcMar>
              <w:top w:w="40" w:type="dxa"/>
              <w:start w:w="0" w:type="dxa"/>
              <w:bottom w:w="20" w:type="dxa"/>
              <w:end w:w="60" w:type="dxa"/>
            </w:tcMar>
          </w:tcPr>
          <w:p>
            <w:pPr>
              <w:spacing w:after="0"/>
            </w:pPr>
            <w:r>
              <w:rPr>
                <w:rFonts w:ascii="Arial" w:hAnsi="Arial"/>
                <w:b/>
                <w:color w:val="071F31"/>
                <w:sz w:val="19"/>
              </w:rPr>
              <w:t>B.Sc. in Biomedical Engineering</w:t>
            </w:r>
            <w:r>
              <w:rPr>
                <w:rFonts w:ascii="Arial" w:hAnsi="Arial"/>
                <w:color w:val="5A6973"/>
                <w:sz w:val="18"/>
              </w:rPr>
              <w:t xml:space="preserve"> | Islamic Azad University, Tehran East</w:t>
            </w:r>
          </w:p>
          <w:p>
            <w:pPr>
              <w:spacing w:after="20"/>
            </w:pPr>
            <w:r>
              <w:rPr>
                <w:rFonts w:ascii="Arial" w:hAnsi="Arial"/>
                <w:i/>
                <w:color w:val="5A6973"/>
                <w:sz w:val="16"/>
              </w:rPr>
              <w:t>Tehran, Iran</w:t>
            </w:r>
          </w:p>
        </w:tc>
        <w:tc>
          <w:tcPr>
            <w:tcW w:type="dxa" w:w="5328"/>
            <w:tcMar>
              <w:top w:w="40" w:type="dxa"/>
              <w:start w:w="0" w:type="dxa"/>
              <w:bottom w:w="20" w:type="dxa"/>
              <w:end w:w="0" w:type="dxa"/>
            </w:tcMar>
          </w:tcPr>
          <w:p>
            <w:pPr>
              <w:spacing w:after="0"/>
              <w:jc w:val="right"/>
            </w:pPr>
            <w:r>
              <w:rPr>
                <w:rFonts w:ascii="Arial" w:hAnsi="Arial"/>
                <w:b/>
                <w:color w:val="008080"/>
                <w:sz w:val="17"/>
              </w:rPr>
              <w:t>2019-2022</w:t>
            </w:r>
          </w:p>
        </w:tc>
      </w:tr>
    </w:tbl>
    <w:p>
      <w:pPr>
        <w:pStyle w:val="ListBullet"/>
        <w:keepNext/>
        <w:spacing w:after="30" w:line="240" w:lineRule="auto"/>
        <w:ind w:left="259" w:hanging="173"/>
      </w:pPr>
      <w:r>
        <w:rPr>
          <w:rFonts w:ascii="Arial" w:hAnsi="Arial"/>
          <w:color w:val="23313A"/>
          <w:sz w:val="17"/>
        </w:rPr>
        <w:t>GPA: 18.68/20.</w:t>
      </w:r>
    </w:p>
    <w:p>
      <w:pPr>
        <w:pStyle w:val="ListBullet"/>
        <w:spacing w:after="30" w:line="240" w:lineRule="auto"/>
        <w:ind w:left="259" w:hanging="173"/>
      </w:pPr>
      <w:r>
        <w:rPr>
          <w:rFonts w:ascii="Arial" w:hAnsi="Arial"/>
          <w:color w:val="23313A"/>
          <w:sz w:val="17"/>
        </w:rPr>
        <w:t>Bachelor's project: Design and Development of a Custom-Built Neural Potential Recording Device.</w:t>
      </w:r>
    </w:p>
    <w:p>
      <w:pPr>
        <w:pStyle w:val="ListBullet"/>
        <w:spacing w:after="30" w:line="240" w:lineRule="auto"/>
        <w:ind w:left="259" w:hanging="173"/>
      </w:pPr>
      <w:r>
        <w:rPr>
          <w:rFonts w:ascii="Arial" w:hAnsi="Arial"/>
          <w:color w:val="23313A"/>
          <w:sz w:val="17"/>
        </w:rPr>
        <w:t>Contributed to the launch of the university scientific journal and participated in research activities.</w:t>
      </w:r>
    </w:p>
    <w:p>
      <w:pPr>
        <w:spacing w:before="140" w:after="60"/>
        <w:keepNext/>
        <w:pBdr>
          <w:bottom w:val="single" w:sz="8" w:space="3" w:color="B9CBD5"/>
        </w:pBdr>
      </w:pPr>
      <w:r>
        <w:rPr>
          <w:rFonts w:ascii="Arial" w:hAnsi="Arial"/>
          <w:b/>
          <w:color w:val="008080"/>
          <w:sz w:val="21"/>
        </w:rPr>
        <w:t>RESEARCH EXPERIENCE</w:t>
      </w:r>
    </w:p>
    <w:tbl>
      <w:tblPr>
        <w:tblW w:type="auto" w:w="0"/>
        <w:jc w:val="center"/>
        <w:tblLayout w:type="fixed"/>
        <w:tblLook w:firstColumn="1" w:firstRow="1" w:lastColumn="0" w:lastRow="0" w:noHBand="0" w:noVBand="1" w:val="04A0"/>
      </w:tblPr>
      <w:tblGrid>
        <w:gridCol w:w="8136"/>
        <w:gridCol w:w="1800"/>
      </w:tblGrid>
      <w:tr>
        <w:tc>
          <w:tcPr>
            <w:tcW w:type="dxa" w:w="5328"/>
            <w:tcMar>
              <w:top w:w="40" w:type="dxa"/>
              <w:start w:w="0" w:type="dxa"/>
              <w:bottom w:w="20" w:type="dxa"/>
              <w:end w:w="60" w:type="dxa"/>
            </w:tcMar>
          </w:tcPr>
          <w:p>
            <w:pPr>
              <w:spacing w:after="0"/>
            </w:pPr>
            <w:r>
              <w:rPr>
                <w:rFonts w:ascii="Arial" w:hAnsi="Arial"/>
                <w:b/>
                <w:color w:val="071F31"/>
                <w:sz w:val="19"/>
              </w:rPr>
              <w:t>Graduate Researcher - Neuromodulation and Behavioral Neuroscience</w:t>
            </w:r>
            <w:r>
              <w:rPr>
                <w:rFonts w:ascii="Arial" w:hAnsi="Arial"/>
                <w:color w:val="5A6973"/>
                <w:sz w:val="18"/>
              </w:rPr>
              <w:t xml:space="preserve"> | Master's Research Project</w:t>
            </w:r>
          </w:p>
          <w:p>
            <w:pPr>
              <w:spacing w:after="20"/>
            </w:pPr>
            <w:r>
              <w:rPr>
                <w:rFonts w:ascii="Arial" w:hAnsi="Arial"/>
                <w:i/>
                <w:color w:val="5A6973"/>
                <w:sz w:val="16"/>
              </w:rPr>
              <w:t>Tehran, Iran</w:t>
            </w:r>
          </w:p>
        </w:tc>
        <w:tc>
          <w:tcPr>
            <w:tcW w:type="dxa" w:w="5328"/>
            <w:tcMar>
              <w:top w:w="40" w:type="dxa"/>
              <w:start w:w="0" w:type="dxa"/>
              <w:bottom w:w="20" w:type="dxa"/>
              <w:end w:w="0" w:type="dxa"/>
            </w:tcMar>
          </w:tcPr>
          <w:p>
            <w:pPr>
              <w:spacing w:after="0"/>
              <w:jc w:val="right"/>
            </w:pPr>
            <w:r>
              <w:rPr>
                <w:rFonts w:ascii="Arial" w:hAnsi="Arial"/>
                <w:b/>
                <w:color w:val="008080"/>
                <w:sz w:val="17"/>
              </w:rPr>
              <w:t>2023-2026</w:t>
            </w:r>
          </w:p>
        </w:tc>
      </w:tr>
    </w:tbl>
    <w:p>
      <w:pPr>
        <w:pStyle w:val="ListBullet"/>
        <w:spacing w:after="30" w:line="240" w:lineRule="auto"/>
        <w:ind w:left="259" w:hanging="173"/>
      </w:pPr>
      <w:r>
        <w:rPr>
          <w:rFonts w:ascii="Arial" w:hAnsi="Arial"/>
          <w:color w:val="23313A"/>
          <w:sz w:val="17"/>
        </w:rPr>
        <w:t>Investigated parafascicular thalamic stimulation in a unilateral 6-OHDA rat model of Parkinsonian motor dysfunction.</w:t>
      </w:r>
    </w:p>
    <w:p>
      <w:pPr>
        <w:pStyle w:val="ListBullet"/>
        <w:spacing w:after="30" w:line="240" w:lineRule="auto"/>
        <w:ind w:left="259" w:hanging="173"/>
      </w:pPr>
      <w:r>
        <w:rPr>
          <w:rFonts w:ascii="Arial" w:hAnsi="Arial"/>
          <w:color w:val="23313A"/>
          <w:sz w:val="17"/>
        </w:rPr>
        <w:t>Performed or supported rodent handling, stereotaxic procedures, lesion validation, electrode-implantation workflows, deep brain stimulation, and behavioral testing.</w:t>
      </w:r>
    </w:p>
    <w:p>
      <w:pPr>
        <w:pStyle w:val="ListBullet"/>
        <w:spacing w:after="30" w:line="240" w:lineRule="auto"/>
        <w:ind w:left="259" w:hanging="173"/>
      </w:pPr>
      <w:r>
        <w:rPr>
          <w:rFonts w:ascii="Arial" w:hAnsi="Arial"/>
          <w:color w:val="23313A"/>
          <w:sz w:val="17"/>
        </w:rPr>
        <w:t>Developed video-based behavioral-analysis workflows and customized computational pipelines for event extraction and structured datasets.</w:t>
      </w:r>
    </w:p>
    <w:p>
      <w:pPr>
        <w:pStyle w:val="ListBullet"/>
        <w:spacing w:after="30" w:line="240" w:lineRule="auto"/>
        <w:ind w:left="259" w:hanging="173"/>
      </w:pPr>
      <w:r>
        <w:rPr>
          <w:rFonts w:ascii="Arial" w:hAnsi="Arial"/>
          <w:color w:val="23313A"/>
          <w:sz w:val="17"/>
        </w:rPr>
        <w:t>Applied repeated-measures statistical methods, model comparison, dose-response analysis, multiple-testing control, and publication-oriented visualization in Python.</w:t>
      </w:r>
    </w:p>
    <w:p>
      <w:pPr>
        <w:pStyle w:val="ListBullet"/>
        <w:spacing w:after="30" w:line="240" w:lineRule="auto"/>
        <w:ind w:left="259" w:hanging="173"/>
      </w:pPr>
      <w:r>
        <w:rPr>
          <w:rFonts w:ascii="Arial" w:hAnsi="Arial"/>
          <w:color w:val="23313A"/>
          <w:sz w:val="17"/>
        </w:rPr>
        <w:t>Prepared manuscript sections, supplementary tables, scientific figures, graphical abstracts, and submission documentation.</w:t>
      </w:r>
    </w:p>
    <w:tbl>
      <w:tblPr>
        <w:tblW w:type="auto" w:w="0"/>
        <w:jc w:val="center"/>
        <w:tblLayout w:type="fixed"/>
        <w:tblLook w:firstColumn="1" w:firstRow="1" w:lastColumn="0" w:lastRow="0" w:noHBand="0" w:noVBand="1" w:val="04A0"/>
      </w:tblPr>
      <w:tblGrid>
        <w:gridCol w:w="8136"/>
        <w:gridCol w:w="1800"/>
      </w:tblGrid>
      <w:tr>
        <w:tc>
          <w:tcPr>
            <w:tcW w:type="dxa" w:w="5328"/>
            <w:tcMar>
              <w:top w:w="40" w:type="dxa"/>
              <w:start w:w="0" w:type="dxa"/>
              <w:bottom w:w="20" w:type="dxa"/>
              <w:end w:w="60" w:type="dxa"/>
            </w:tcMar>
          </w:tcPr>
          <w:p>
            <w:pPr>
              <w:spacing w:after="0"/>
            </w:pPr>
            <w:r>
              <w:rPr>
                <w:rFonts w:ascii="Arial" w:hAnsi="Arial"/>
                <w:b/>
                <w:color w:val="071F31"/>
                <w:sz w:val="19"/>
              </w:rPr>
              <w:t>Biomedical Instrumentation Project</w:t>
            </w:r>
            <w:r>
              <w:rPr>
                <w:rFonts w:ascii="Arial" w:hAnsi="Arial"/>
                <w:color w:val="5A6973"/>
                <w:sz w:val="18"/>
              </w:rPr>
              <w:t xml:space="preserve"> | Bachelor's Capstone Project</w:t>
            </w:r>
          </w:p>
          <w:p>
            <w:pPr>
              <w:spacing w:after="20"/>
            </w:pPr>
            <w:r>
              <w:rPr>
                <w:rFonts w:ascii="Arial" w:hAnsi="Arial"/>
                <w:i/>
                <w:color w:val="5A6973"/>
                <w:sz w:val="16"/>
              </w:rPr>
              <w:t>Tehran, Iran</w:t>
            </w:r>
          </w:p>
        </w:tc>
        <w:tc>
          <w:tcPr>
            <w:tcW w:type="dxa" w:w="5328"/>
            <w:tcMar>
              <w:top w:w="40" w:type="dxa"/>
              <w:start w:w="0" w:type="dxa"/>
              <w:bottom w:w="20" w:type="dxa"/>
              <w:end w:w="0" w:type="dxa"/>
            </w:tcMar>
          </w:tcPr>
          <w:p>
            <w:pPr>
              <w:spacing w:after="0"/>
              <w:jc w:val="right"/>
            </w:pPr>
            <w:r>
              <w:rPr>
                <w:rFonts w:ascii="Arial" w:hAnsi="Arial"/>
                <w:b/>
                <w:color w:val="008080"/>
                <w:sz w:val="17"/>
              </w:rPr>
              <w:t>2021-2022</w:t>
            </w:r>
          </w:p>
        </w:tc>
      </w:tr>
    </w:tbl>
    <w:p>
      <w:pPr>
        <w:pStyle w:val="ListBullet"/>
        <w:spacing w:after="30" w:line="240" w:lineRule="auto"/>
        <w:ind w:left="259" w:hanging="173"/>
      </w:pPr>
      <w:r>
        <w:rPr>
          <w:rFonts w:ascii="Arial" w:hAnsi="Arial"/>
          <w:color w:val="23313A"/>
          <w:sz w:val="17"/>
        </w:rPr>
        <w:t>Designed and developed a custom-built device for recording neural potentials.</w:t>
      </w:r>
    </w:p>
    <w:p>
      <w:pPr>
        <w:pStyle w:val="ListBullet"/>
        <w:spacing w:after="30" w:line="240" w:lineRule="auto"/>
        <w:ind w:left="259" w:hanging="173"/>
      </w:pPr>
      <w:r>
        <w:rPr>
          <w:rFonts w:ascii="Arial" w:hAnsi="Arial"/>
          <w:color w:val="23313A"/>
          <w:sz w:val="17"/>
        </w:rPr>
        <w:t>Integrated biomedical instrumentation principles, signal acquisition, circuit-level development, and system testing.</w:t>
      </w:r>
    </w:p>
    <w:p>
      <w:pPr>
        <w:spacing w:before="140" w:after="60"/>
        <w:keepNext/>
        <w:pBdr>
          <w:bottom w:val="single" w:sz="8" w:space="3" w:color="B9CBD5"/>
        </w:pBdr>
      </w:pPr>
      <w:r>
        <w:rPr>
          <w:rFonts w:ascii="Arial" w:hAnsi="Arial"/>
          <w:b/>
          <w:color w:val="008080"/>
          <w:sz w:val="21"/>
        </w:rPr>
        <w:t>METHODS AND TECHNICAL SKILLS</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5328"/>
        <w:gridCol w:w="5328"/>
      </w:tblGrid>
      <w:tr>
        <w:tc>
          <w:tcPr>
            <w:tcW w:type="dxa" w:w="5328"/>
            <w:tcMar>
              <w:top w:w="20" w:type="dxa"/>
              <w:start w:w="40" w:type="dxa"/>
              <w:bottom w:w="20" w:type="dxa"/>
              <w:end w:w="40" w:type="dxa"/>
            </w:tcMar>
          </w:tcPr>
          <w:p>
            <w:pPr>
              <w:spacing w:after="0"/>
            </w:pPr>
            <w:r>
              <w:rPr>
                <w:rFonts w:ascii="Arial" w:hAnsi="Arial"/>
                <w:color w:val="23313A"/>
                <w:sz w:val="17"/>
              </w:rPr>
              <w:t>• Rodent handling and behavioral testing</w:t>
            </w:r>
          </w:p>
        </w:tc>
        <w:tc>
          <w:tcPr>
            <w:tcW w:type="dxa" w:w="5328"/>
            <w:tcMar>
              <w:top w:w="20" w:type="dxa"/>
              <w:start w:w="40" w:type="dxa"/>
              <w:bottom w:w="20" w:type="dxa"/>
              <w:end w:w="40" w:type="dxa"/>
            </w:tcMar>
          </w:tcPr>
          <w:p>
            <w:pPr>
              <w:spacing w:after="0"/>
            </w:pPr>
            <w:r>
              <w:rPr>
                <w:rFonts w:ascii="Arial" w:hAnsi="Arial"/>
                <w:color w:val="23313A"/>
                <w:sz w:val="17"/>
              </w:rPr>
              <w:t>• Stereotaxic and rodent neurosurgical workflows</w:t>
            </w:r>
          </w:p>
        </w:tc>
      </w:tr>
      <w:tr>
        <w:tc>
          <w:tcPr>
            <w:tcW w:type="dxa" w:w="5328"/>
            <w:tcMar>
              <w:top w:w="20" w:type="dxa"/>
              <w:start w:w="40" w:type="dxa"/>
              <w:bottom w:w="20" w:type="dxa"/>
              <w:end w:w="40" w:type="dxa"/>
            </w:tcMar>
          </w:tcPr>
          <w:p>
            <w:pPr>
              <w:spacing w:after="0"/>
            </w:pPr>
            <w:r>
              <w:rPr>
                <w:rFonts w:ascii="Arial" w:hAnsi="Arial"/>
                <w:color w:val="23313A"/>
                <w:sz w:val="17"/>
              </w:rPr>
              <w:t>• 6-OHDA disease models and DBS protocols</w:t>
            </w:r>
          </w:p>
        </w:tc>
        <w:tc>
          <w:tcPr>
            <w:tcW w:type="dxa" w:w="5328"/>
            <w:tcMar>
              <w:top w:w="20" w:type="dxa"/>
              <w:start w:w="40" w:type="dxa"/>
              <w:bottom w:w="20" w:type="dxa"/>
              <w:end w:w="40" w:type="dxa"/>
            </w:tcMar>
          </w:tcPr>
          <w:p>
            <w:pPr>
              <w:spacing w:after="0"/>
            </w:pPr>
            <w:r>
              <w:rPr>
                <w:rFonts w:ascii="Arial" w:hAnsi="Arial"/>
                <w:color w:val="23313A"/>
                <w:sz w:val="17"/>
              </w:rPr>
              <w:t>• Python and MATLAB</w:t>
            </w:r>
          </w:p>
        </w:tc>
      </w:tr>
      <w:tr>
        <w:tc>
          <w:tcPr>
            <w:tcW w:type="dxa" w:w="5328"/>
            <w:tcMar>
              <w:top w:w="20" w:type="dxa"/>
              <w:start w:w="40" w:type="dxa"/>
              <w:bottom w:w="20" w:type="dxa"/>
              <w:end w:w="40" w:type="dxa"/>
            </w:tcMar>
          </w:tcPr>
          <w:p>
            <w:pPr>
              <w:spacing w:after="0"/>
            </w:pPr>
            <w:r>
              <w:rPr>
                <w:rFonts w:ascii="Arial" w:hAnsi="Arial"/>
                <w:color w:val="23313A"/>
                <w:sz w:val="17"/>
              </w:rPr>
              <w:t>• GEE, mixed models, model comparison, and FDR control</w:t>
            </w:r>
          </w:p>
        </w:tc>
        <w:tc>
          <w:tcPr>
            <w:tcW w:type="dxa" w:w="5328"/>
            <w:tcMar>
              <w:top w:w="20" w:type="dxa"/>
              <w:start w:w="40" w:type="dxa"/>
              <w:bottom w:w="20" w:type="dxa"/>
              <w:end w:w="40" w:type="dxa"/>
            </w:tcMar>
          </w:tcPr>
          <w:p>
            <w:pPr>
              <w:spacing w:after="0"/>
            </w:pPr>
            <w:r>
              <w:rPr>
                <w:rFonts w:ascii="Arial" w:hAnsi="Arial"/>
                <w:color w:val="23313A"/>
                <w:sz w:val="17"/>
              </w:rPr>
              <w:t>• Neural and biomedical signal processing</w:t>
            </w:r>
          </w:p>
        </w:tc>
      </w:tr>
      <w:tr>
        <w:tc>
          <w:tcPr>
            <w:tcW w:type="dxa" w:w="5328"/>
            <w:tcMar>
              <w:top w:w="20" w:type="dxa"/>
              <w:start w:w="40" w:type="dxa"/>
              <w:bottom w:w="20" w:type="dxa"/>
              <w:end w:w="40" w:type="dxa"/>
            </w:tcMar>
          </w:tcPr>
          <w:p>
            <w:pPr>
              <w:spacing w:after="0"/>
            </w:pPr>
            <w:r>
              <w:rPr>
                <w:rFonts w:ascii="Arial" w:hAnsi="Arial"/>
                <w:color w:val="23313A"/>
                <w:sz w:val="17"/>
              </w:rPr>
              <w:t>• Image processing and machine learning</w:t>
            </w:r>
          </w:p>
        </w:tc>
        <w:tc>
          <w:tcPr>
            <w:tcW w:type="dxa" w:w="5328"/>
            <w:tcMar>
              <w:top w:w="20" w:type="dxa"/>
              <w:start w:w="40" w:type="dxa"/>
              <w:bottom w:w="20" w:type="dxa"/>
              <w:end w:w="40" w:type="dxa"/>
            </w:tcMar>
          </w:tcPr>
          <w:p>
            <w:pPr>
              <w:spacing w:after="0"/>
            </w:pPr>
            <w:r>
              <w:rPr>
                <w:rFonts w:ascii="Arial" w:hAnsi="Arial"/>
                <w:color w:val="23313A"/>
                <w:sz w:val="17"/>
              </w:rPr>
              <w:t>• Video-based behavioral analysis</w:t>
            </w:r>
          </w:p>
        </w:tc>
      </w:tr>
      <w:tr>
        <w:tc>
          <w:tcPr>
            <w:tcW w:type="dxa" w:w="5328"/>
            <w:tcMar>
              <w:top w:w="20" w:type="dxa"/>
              <w:start w:w="40" w:type="dxa"/>
              <w:bottom w:w="20" w:type="dxa"/>
              <w:end w:w="40" w:type="dxa"/>
            </w:tcMar>
          </w:tcPr>
          <w:p>
            <w:pPr>
              <w:spacing w:after="0"/>
            </w:pPr>
            <w:r>
              <w:rPr>
                <w:rFonts w:ascii="Arial" w:hAnsi="Arial"/>
                <w:color w:val="23313A"/>
                <w:sz w:val="17"/>
              </w:rPr>
              <w:t>• Scientific visualization and reproducible reporting</w:t>
            </w:r>
          </w:p>
        </w:tc>
        <w:tc>
          <w:tcPr>
            <w:tcW w:type="dxa" w:w="5328"/>
            <w:tcMar>
              <w:top w:w="20" w:type="dxa"/>
              <w:start w:w="40" w:type="dxa"/>
              <w:bottom w:w="20" w:type="dxa"/>
              <w:end w:w="40" w:type="dxa"/>
            </w:tcMar>
          </w:tcPr>
          <w:p>
            <w:pPr>
              <w:spacing w:after="0"/>
            </w:pPr>
            <w:r>
              <w:rPr>
                <w:rFonts w:ascii="Arial" w:hAnsi="Arial"/>
                <w:color w:val="23313A"/>
                <w:sz w:val="17"/>
              </w:rPr>
              <w:t>• Manuscript, figure, and graphical-abstract preparation</w:t>
            </w:r>
          </w:p>
        </w:tc>
      </w:tr>
    </w:tbl>
    <w:p>
      <w:pPr>
        <w:spacing w:before="140" w:after="60"/>
        <w:pBdr>
          <w:bottom w:val="single" w:sz="8" w:space="3" w:color="B9CBD5"/>
        </w:pBdr>
        <w:keepNext/>
        <w:pageBreakBefore/>
      </w:pPr>
      <w:r>
        <w:rPr>
          <w:rFonts w:ascii="Arial" w:hAnsi="Arial"/>
          <w:b/>
          <w:color w:val="008080"/>
          <w:sz w:val="21"/>
        </w:rPr>
        <w:t>TEACHING AND SCIENTIFIC COMMUNICATION</w:t>
      </w:r>
    </w:p>
    <w:tbl>
      <w:tblPr>
        <w:tblW w:type="auto" w:w="0"/>
        <w:jc w:val="center"/>
        <w:tblLayout w:type="fixed"/>
        <w:tblLook w:firstColumn="1" w:firstRow="1" w:lastColumn="0" w:lastRow="0" w:noHBand="0" w:noVBand="1" w:val="04A0"/>
      </w:tblPr>
      <w:tblGrid>
        <w:gridCol w:w="8136"/>
        <w:gridCol w:w="1800"/>
      </w:tblGrid>
      <w:tr>
        <w:tc>
          <w:tcPr>
            <w:tcW w:type="dxa" w:w="5328"/>
            <w:tcMar>
              <w:top w:w="40" w:type="dxa"/>
              <w:start w:w="0" w:type="dxa"/>
              <w:bottom w:w="20" w:type="dxa"/>
              <w:end w:w="60" w:type="dxa"/>
            </w:tcMar>
          </w:tcPr>
          <w:p>
            <w:pPr>
              <w:spacing w:after="0"/>
            </w:pPr>
            <w:r>
              <w:rPr>
                <w:rFonts w:ascii="Arial" w:hAnsi="Arial"/>
                <w:b/>
                <w:color w:val="071F31"/>
                <w:sz w:val="19"/>
              </w:rPr>
              <w:t>Instructor - Practical MATLAB for Neuroscience</w:t>
            </w:r>
            <w:r>
              <w:rPr>
                <w:rFonts w:ascii="Arial" w:hAnsi="Arial"/>
                <w:color w:val="5A6973"/>
                <w:sz w:val="18"/>
              </w:rPr>
              <w:t xml:space="preserve"> | Amirkabir University of Technology, International Neuroscience School</w:t>
            </w:r>
          </w:p>
          <w:p>
            <w:pPr>
              <w:spacing w:after="20"/>
            </w:pPr>
            <w:r>
              <w:rPr>
                <w:rFonts w:ascii="Arial" w:hAnsi="Arial"/>
                <w:i/>
                <w:color w:val="5A6973"/>
                <w:sz w:val="16"/>
              </w:rPr>
              <w:t>Tehran, Iran</w:t>
            </w:r>
          </w:p>
        </w:tc>
        <w:tc>
          <w:tcPr>
            <w:tcW w:type="dxa" w:w="5328"/>
            <w:tcMar>
              <w:top w:w="40" w:type="dxa"/>
              <w:start w:w="0" w:type="dxa"/>
              <w:bottom w:w="20" w:type="dxa"/>
              <w:end w:w="0" w:type="dxa"/>
            </w:tcMar>
          </w:tcPr>
          <w:p>
            <w:pPr>
              <w:spacing w:after="0"/>
              <w:jc w:val="right"/>
            </w:pPr>
            <w:r>
              <w:rPr>
                <w:rFonts w:ascii="Arial" w:hAnsi="Arial"/>
                <w:b/>
                <w:color w:val="008080"/>
                <w:sz w:val="17"/>
              </w:rPr>
              <w:t>Nov 2025</w:t>
            </w:r>
          </w:p>
        </w:tc>
      </w:tr>
    </w:tbl>
    <w:p>
      <w:pPr>
        <w:pStyle w:val="ListBullet"/>
        <w:spacing w:after="30" w:line="240" w:lineRule="auto"/>
        <w:ind w:left="259" w:hanging="173"/>
      </w:pPr>
      <w:r>
        <w:rPr>
          <w:rFonts w:ascii="Arial" w:hAnsi="Arial"/>
          <w:color w:val="23313A"/>
          <w:sz w:val="17"/>
        </w:rPr>
        <w:t>Designed and delivered six practical sessions (12 hours) focused on MATLAB applications in neuroscience.</w:t>
      </w:r>
    </w:p>
    <w:tbl>
      <w:tblPr>
        <w:tblW w:type="auto" w:w="0"/>
        <w:jc w:val="center"/>
        <w:tblLayout w:type="fixed"/>
        <w:tblLook w:firstColumn="1" w:firstRow="1" w:lastColumn="0" w:lastRow="0" w:noHBand="0" w:noVBand="1" w:val="04A0"/>
      </w:tblPr>
      <w:tblGrid>
        <w:gridCol w:w="8136"/>
        <w:gridCol w:w="1800"/>
      </w:tblGrid>
      <w:tr>
        <w:tc>
          <w:tcPr>
            <w:tcW w:type="dxa" w:w="5328"/>
            <w:tcMar>
              <w:top w:w="40" w:type="dxa"/>
              <w:start w:w="0" w:type="dxa"/>
              <w:bottom w:w="20" w:type="dxa"/>
              <w:end w:w="60" w:type="dxa"/>
            </w:tcMar>
          </w:tcPr>
          <w:p>
            <w:pPr>
              <w:spacing w:after="0"/>
            </w:pPr>
            <w:r>
              <w:rPr>
                <w:rFonts w:ascii="Arial" w:hAnsi="Arial"/>
                <w:b/>
                <w:color w:val="071F31"/>
                <w:sz w:val="19"/>
              </w:rPr>
              <w:t>Course Developer and Instructor - MATLAB Beginner to Advanced</w:t>
            </w:r>
            <w:r>
              <w:rPr>
                <w:rFonts w:ascii="Arial" w:hAnsi="Arial"/>
                <w:color w:val="5A6973"/>
                <w:sz w:val="18"/>
              </w:rPr>
              <w:t xml:space="preserve"> | Tech Academy</w:t>
            </w:r>
          </w:p>
          <w:p>
            <w:pPr>
              <w:spacing w:after="20"/>
            </w:pPr>
            <w:r>
              <w:rPr>
                <w:rFonts w:ascii="Arial" w:hAnsi="Arial"/>
                <w:i/>
                <w:color w:val="5A6973"/>
                <w:sz w:val="16"/>
              </w:rPr>
              <w:t>Tehran, Iran</w:t>
            </w:r>
          </w:p>
        </w:tc>
        <w:tc>
          <w:tcPr>
            <w:tcW w:type="dxa" w:w="5328"/>
            <w:tcMar>
              <w:top w:w="40" w:type="dxa"/>
              <w:start w:w="0" w:type="dxa"/>
              <w:bottom w:w="20" w:type="dxa"/>
              <w:end w:w="0" w:type="dxa"/>
            </w:tcMar>
          </w:tcPr>
          <w:p>
            <w:pPr>
              <w:spacing w:after="0"/>
              <w:jc w:val="right"/>
            </w:pPr>
            <w:r>
              <w:rPr>
                <w:rFonts w:ascii="Arial" w:hAnsi="Arial"/>
                <w:b/>
                <w:color w:val="008080"/>
                <w:sz w:val="17"/>
              </w:rPr>
              <w:t>Dec 2023-Present</w:t>
            </w:r>
          </w:p>
        </w:tc>
      </w:tr>
    </w:tbl>
    <w:p>
      <w:pPr>
        <w:pStyle w:val="ListBullet"/>
        <w:spacing w:after="30" w:line="240" w:lineRule="auto"/>
        <w:ind w:left="259" w:hanging="173"/>
      </w:pPr>
      <w:r>
        <w:rPr>
          <w:rFonts w:ascii="Arial" w:hAnsi="Arial"/>
          <w:color w:val="23313A"/>
          <w:sz w:val="17"/>
        </w:rPr>
        <w:t>Produced a structured 40-hour offline course comprising 38 sessions, including lesson plans, code examples, presentations, exercises, and neuroscience-oriented applications.</w:t>
      </w:r>
    </w:p>
    <w:p>
      <w:pPr>
        <w:spacing w:before="140" w:after="60"/>
        <w:keepNext/>
        <w:pBdr>
          <w:bottom w:val="single" w:sz="8" w:space="3" w:color="B9CBD5"/>
        </w:pBdr>
      </w:pPr>
      <w:r>
        <w:rPr>
          <w:rFonts w:ascii="Arial" w:hAnsi="Arial"/>
          <w:b/>
          <w:color w:val="008080"/>
          <w:sz w:val="21"/>
        </w:rPr>
        <w:t>RESEARCH OUTPUTS AND PROFESSIONAL LINKS</w:t>
      </w:r>
    </w:p>
    <w:p>
      <w:pPr>
        <w:spacing w:after="20"/>
      </w:pPr>
      <w:r>
        <w:rPr>
          <w:b/>
          <w:sz w:val="17"/>
        </w:rPr>
        <w:t xml:space="preserve">Peer-reviewed outputs: </w:t>
      </w:r>
      <w:r>
        <w:rPr>
          <w:sz w:val="17"/>
        </w:rPr>
        <w:t>Four articles reported in the source CV (two ISI-indexed and two ISC-indexed). Complete bibliographic citations should be inserted before formal submission.</w:t>
      </w:r>
    </w:p>
    <w:p>
      <w:pPr>
        <w:spacing w:after="20"/>
      </w:pPr>
      <w:r>
        <w:rPr>
          <w:b/>
          <w:sz w:val="17"/>
        </w:rPr>
        <w:t xml:space="preserve">Code and portfolio: </w:t>
      </w:r>
      <w:hyperlink r:id="rId10">
        <w:r>
          <w:rPr>
            <w:color w:val="0B6F85"/>
            <w:u w:val="single"/>
          </w:rPr>
          <w:t>github.com/A-Babaei</w:t>
        </w:r>
      </w:hyperlink>
      <w:r>
        <w:t xml:space="preserve"> | </w:t>
      </w:r>
      <w:hyperlink r:id="rId9">
        <w:r>
          <w:rPr>
            <w:color w:val="0B6F85"/>
            <w:u w:val="single"/>
          </w:rPr>
          <w:t>a-babaei.github.io</w:t>
        </w:r>
      </w:hyperlink>
    </w:p>
    <w:p>
      <w:pPr>
        <w:spacing w:before="140" w:after="60"/>
        <w:keepNext/>
        <w:pBdr>
          <w:bottom w:val="single" w:sz="8" w:space="3" w:color="B9CBD5"/>
        </w:pBdr>
      </w:pPr>
      <w:r>
        <w:rPr>
          <w:rFonts w:ascii="Arial" w:hAnsi="Arial"/>
          <w:b/>
          <w:color w:val="008080"/>
          <w:sz w:val="21"/>
        </w:rPr>
        <w:t>RELEVANT TECHNICAL EXPERIENCE</w:t>
      </w:r>
    </w:p>
    <w:tbl>
      <w:tblPr>
        <w:tblW w:type="auto" w:w="0"/>
        <w:jc w:val="center"/>
        <w:tblLayout w:type="fixed"/>
        <w:tblLook w:firstColumn="1" w:firstRow="1" w:lastColumn="0" w:lastRow="0" w:noHBand="0" w:noVBand="1" w:val="04A0"/>
      </w:tblPr>
      <w:tblGrid>
        <w:gridCol w:w="8136"/>
        <w:gridCol w:w="1800"/>
      </w:tblGrid>
      <w:tr>
        <w:tc>
          <w:tcPr>
            <w:tcW w:type="dxa" w:w="5328"/>
            <w:tcMar>
              <w:top w:w="40" w:type="dxa"/>
              <w:start w:w="0" w:type="dxa"/>
              <w:bottom w:w="20" w:type="dxa"/>
              <w:end w:w="60" w:type="dxa"/>
            </w:tcMar>
          </w:tcPr>
          <w:p>
            <w:pPr>
              <w:spacing w:after="0"/>
            </w:pPr>
            <w:r>
              <w:rPr>
                <w:rFonts w:ascii="Arial" w:hAnsi="Arial"/>
                <w:b/>
                <w:color w:val="071F31"/>
                <w:sz w:val="19"/>
              </w:rPr>
              <w:t>Medical Equipment Supervisor Engineer (Part-Time)</w:t>
            </w:r>
            <w:r>
              <w:rPr>
                <w:rFonts w:ascii="Arial" w:hAnsi="Arial"/>
                <w:color w:val="5A6973"/>
                <w:sz w:val="18"/>
              </w:rPr>
              <w:t xml:space="preserve"> | Peyramoon Teb Co.</w:t>
            </w:r>
          </w:p>
          <w:p>
            <w:pPr>
              <w:spacing w:after="20"/>
            </w:pPr>
            <w:r>
              <w:rPr>
                <w:rFonts w:ascii="Arial" w:hAnsi="Arial"/>
                <w:i/>
                <w:color w:val="5A6973"/>
                <w:sz w:val="16"/>
              </w:rPr>
              <w:t>Tehran, Iran</w:t>
            </w:r>
          </w:p>
        </w:tc>
        <w:tc>
          <w:tcPr>
            <w:tcW w:type="dxa" w:w="5328"/>
            <w:tcMar>
              <w:top w:w="40" w:type="dxa"/>
              <w:start w:w="0" w:type="dxa"/>
              <w:bottom w:w="20" w:type="dxa"/>
              <w:end w:w="0" w:type="dxa"/>
            </w:tcMar>
          </w:tcPr>
          <w:p>
            <w:pPr>
              <w:spacing w:after="0"/>
              <w:jc w:val="right"/>
            </w:pPr>
            <w:r>
              <w:rPr>
                <w:rFonts w:ascii="Arial" w:hAnsi="Arial"/>
                <w:b/>
                <w:color w:val="008080"/>
                <w:sz w:val="17"/>
              </w:rPr>
              <w:t>Dec 2023-Mar 2026</w:t>
            </w:r>
          </w:p>
        </w:tc>
      </w:tr>
    </w:tbl>
    <w:p>
      <w:pPr>
        <w:pStyle w:val="ListBullet"/>
        <w:spacing w:after="30" w:line="240" w:lineRule="auto"/>
        <w:ind w:left="259" w:hanging="173"/>
      </w:pPr>
      <w:r>
        <w:rPr>
          <w:rFonts w:ascii="Arial" w:hAnsi="Arial"/>
          <w:color w:val="23313A"/>
          <w:sz w:val="17"/>
        </w:rPr>
        <w:t>Conducted device inspections, compliance checks, technical assessments, installation support, maintenance coordination, and troubleshooting.</w:t>
      </w:r>
    </w:p>
    <w:tbl>
      <w:tblPr>
        <w:tblW w:type="auto" w:w="0"/>
        <w:jc w:val="center"/>
        <w:tblLayout w:type="fixed"/>
        <w:tblLook w:firstColumn="1" w:firstRow="1" w:lastColumn="0" w:lastRow="0" w:noHBand="0" w:noVBand="1" w:val="04A0"/>
      </w:tblPr>
      <w:tblGrid>
        <w:gridCol w:w="8136"/>
        <w:gridCol w:w="1800"/>
      </w:tblGrid>
      <w:tr>
        <w:tc>
          <w:tcPr>
            <w:tcW w:type="dxa" w:w="5328"/>
            <w:tcMar>
              <w:top w:w="40" w:type="dxa"/>
              <w:start w:w="0" w:type="dxa"/>
              <w:bottom w:w="20" w:type="dxa"/>
              <w:end w:w="60" w:type="dxa"/>
            </w:tcMar>
          </w:tcPr>
          <w:p>
            <w:pPr>
              <w:spacing w:after="0"/>
            </w:pPr>
            <w:r>
              <w:rPr>
                <w:rFonts w:ascii="Arial" w:hAnsi="Arial"/>
                <w:b/>
                <w:color w:val="071F31"/>
                <w:sz w:val="19"/>
              </w:rPr>
              <w:t>Medical Equipment Repair Technician</w:t>
            </w:r>
            <w:r>
              <w:rPr>
                <w:rFonts w:ascii="Arial" w:hAnsi="Arial"/>
                <w:color w:val="5A6973"/>
                <w:sz w:val="18"/>
              </w:rPr>
              <w:t xml:space="preserve"> | Vistatech-Pishro &amp; Vista Co.</w:t>
            </w:r>
          </w:p>
          <w:p>
            <w:pPr>
              <w:spacing w:after="20"/>
            </w:pPr>
            <w:r>
              <w:rPr>
                <w:rFonts w:ascii="Arial" w:hAnsi="Arial"/>
                <w:i/>
                <w:color w:val="5A6973"/>
                <w:sz w:val="16"/>
              </w:rPr>
              <w:t>Tehran, Iran</w:t>
            </w:r>
          </w:p>
        </w:tc>
        <w:tc>
          <w:tcPr>
            <w:tcW w:type="dxa" w:w="5328"/>
            <w:tcMar>
              <w:top w:w="40" w:type="dxa"/>
              <w:start w:w="0" w:type="dxa"/>
              <w:bottom w:w="20" w:type="dxa"/>
              <w:end w:w="0" w:type="dxa"/>
            </w:tcMar>
          </w:tcPr>
          <w:p>
            <w:pPr>
              <w:spacing w:after="0"/>
              <w:jc w:val="right"/>
            </w:pPr>
            <w:r>
              <w:rPr>
                <w:rFonts w:ascii="Arial" w:hAnsi="Arial"/>
                <w:b/>
                <w:color w:val="008080"/>
                <w:sz w:val="17"/>
              </w:rPr>
              <w:t>Mar 2023-May 2023</w:t>
            </w:r>
          </w:p>
        </w:tc>
      </w:tr>
    </w:tbl>
    <w:p>
      <w:pPr>
        <w:pStyle w:val="ListBullet"/>
        <w:spacing w:after="30" w:line="240" w:lineRule="auto"/>
        <w:ind w:left="259" w:hanging="173"/>
      </w:pPr>
      <w:r>
        <w:rPr>
          <w:rFonts w:ascii="Arial" w:hAnsi="Arial"/>
          <w:color w:val="23313A"/>
          <w:sz w:val="17"/>
        </w:rPr>
        <w:t>Worked with sterilization systems, autoclaves, ultrasonic devices, dental handpieces, and basic laboratory equipment.</w:t>
      </w:r>
    </w:p>
    <w:sectPr w:rsidR="00FC693F" w:rsidRPr="0006063C" w:rsidSect="00034616">
      <w:footerReference w:type="default" r:id="rId11"/>
      <w:pgSz w:w="12240" w:h="15840"/>
      <w:pgMar w:top="691"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2919A"/>
        <w:sz w:val="15"/>
      </w:rPr>
      <w:t>A. Babaei - Academic CV for PhD Applications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babaei.github.io/" TargetMode="External"/><Relationship Id="rId10" Type="http://schemas.openxmlformats.org/officeDocument/2006/relationships/hyperlink" Target="https://github.com/A-Babaei"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