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c>
          <w:tcPr>
            <w:tcW w:type="dxa" w:w="11906"/>
            <w:shd w:val="clear" w:color="auto" w:fill="0A0B0D"/>
            <w:tcMar>
              <w:top w:w="150" w:type="dxa"/>
              <w:bottom w:w="130" w:type="dxa"/>
              <w:start w:w="400" w:type="dxa"/>
              <w:end w:w="400" w:type="dxa"/>
            </w:tcMar>
          </w:tcPr>
          <w:p>
            <w:pPr>
              <w:spacing w:after="120"/>
            </w:pPr>
            <w:r>
              <w:rPr>
                <w:rFonts w:ascii="微软雅黑" w:hAnsi="微软雅黑" w:eastAsia="微软雅黑"/>
                <w:b/>
                <w:color w:val="C4CBD3"/>
                <w:sz w:val="20"/>
              </w:rPr>
              <w:t>◧  MERIDIAN   集团运营管理中心</w:t>
            </w: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 xml:space="preserve">                                                      MEETING  BRIEF</w:t>
            </w:r>
          </w:p>
          <w:p>
            <w:pPr>
              <w:spacing w:after="60" w:before="40" w:line="240" w:lineRule="auto"/>
            </w:pPr>
            <w:r>
              <w:rPr>
                <w:rFonts w:ascii="微软雅黑" w:hAnsi="微软雅黑" w:eastAsia="微软雅黑"/>
                <w:b/>
                <w:color w:val="3FE0E0"/>
                <w:sz w:val="15"/>
              </w:rPr>
              <w:t>QUARTERLY  BUSINESS  REVIEW  &amp;  STRATEGIC  ALIGNMENT</w:t>
            </w:r>
          </w:p>
          <w:p>
            <w:pPr>
              <w:spacing w:after="80" w:before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48"/>
              </w:rPr>
              <w:t>第三季度经营分析与</w:t>
            </w:r>
            <w:r>
              <w:rPr>
                <w:rFonts w:ascii="微软雅黑" w:hAnsi="微软雅黑" w:eastAsia="微软雅黑"/>
                <w:b/>
                <w:color w:val="3FE0E0"/>
                <w:sz w:val="48"/>
              </w:rPr>
              <w:t>战略协同</w:t>
            </w:r>
            <w:r>
              <w:rPr>
                <w:rFonts w:ascii="微软雅黑" w:hAnsi="微软雅黑" w:eastAsia="微软雅黑"/>
                <w:b/>
                <w:color w:val="FFFFFF"/>
                <w:sz w:val="48"/>
              </w:rPr>
              <w:t>会议简报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3FE0E0"/>
                <w:sz w:val="19"/>
              </w:rPr>
              <w:t xml:space="preserve">｜ </w:t>
            </w:r>
            <w:r>
              <w:rPr>
                <w:rFonts w:ascii="微软雅黑" w:hAnsi="微软雅黑" w:eastAsia="微软雅黑"/>
                <w:b w:val="0"/>
                <w:color w:val="AEB6C0"/>
                <w:sz w:val="19"/>
              </w:rPr>
              <w:t>围绕季度业绩复盘、重点项目进度与下一阶段资源调配的决策纪要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76"/>
        <w:gridCol w:w="2976"/>
        <w:gridCol w:w="2976"/>
        <w:gridCol w:w="2976"/>
      </w:tblGrid>
      <w:tr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会议编号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MTG-2026-Q3-018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会议日期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2026-06-09 周二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时间地点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14:00 / 总部 A 座 9F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主持人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陈志远 · 运营副总裁</w:t>
            </w:r>
          </w:p>
        </w:tc>
      </w:tr>
      <w:tr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记录人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林思齐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应到 / 实到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12 / 11 人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会议时长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EAEEF2"/>
                <w:sz w:val="19"/>
              </w:rPr>
              <w:t>95 分钟</w:t>
            </w:r>
          </w:p>
        </w:tc>
        <w:tc>
          <w:tcPr>
            <w:tcW w:type="dxa" w:w="2976"/>
            <w:shd w:val="clear" w:color="auto" w:fill="14161A"/>
            <w:tcMar>
              <w:top w:w="70" w:type="dxa"/>
              <w:bottom w:w="70" w:type="dxa"/>
              <w:start w:w="4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29595"/>
                <w:sz w:val="14"/>
              </w:rPr>
              <w:t>密级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/>
                <w:color w:val="3FE0E0"/>
                <w:sz w:val="19"/>
              </w:rPr>
              <w:t>内部 · 限阅</w:t>
            </w:r>
          </w:p>
        </w:tc>
      </w:tr>
    </w:tbl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01  </w:t>
      </w:r>
      <w:r>
        <w:rPr>
          <w:rFonts w:ascii="微软雅黑" w:hAnsi="微软雅黑" w:eastAsia="微软雅黑"/>
          <w:b/>
          <w:color w:val="0A0B0D"/>
          <w:sz w:val="26"/>
        </w:rPr>
        <w:t xml:space="preserve">会议概要  </w:t>
      </w:r>
      <w:r>
        <w:rPr>
          <w:rFonts w:ascii="微软雅黑" w:hAnsi="微软雅黑" w:eastAsia="微软雅黑"/>
          <w:b/>
          <w:color w:val="737B85"/>
          <w:sz w:val="14"/>
        </w:rPr>
        <w:t>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4082"/>
      </w:tblGrid>
      <w:tr>
        <w:tc>
          <w:tcPr>
            <w:tcW w:type="dxa" w:w="6236"/>
            <w:shd w:val="clear" w:color="auto" w:fill="F5F7F8"/>
            <w:tcMar>
              <w:top w:w="120" w:type="dxa"/>
              <w:bottom w:w="120" w:type="dxa"/>
              <w:start w:w="200" w:type="dxa"/>
              <w:end w:w="200" w:type="dxa"/>
            </w:tcMar>
            <w:tcBorders>
              <w:left w:val="single" w:sz="24" w:color="3FE0E0"/>
            </w:tcBorders>
          </w:tcPr>
          <w:p>
            <w:pPr>
              <w:spacing w:after="60" w:line="312" w:lineRule="auto"/>
            </w:pPr>
            <w:r>
              <w:rPr>
                <w:rFonts w:ascii="微软雅黑" w:hAnsi="微软雅黑" w:eastAsia="微软雅黑"/>
                <w:b/>
                <w:color w:val="0A0B0D"/>
                <w:sz w:val="18"/>
              </w:rPr>
              <w:t>本次会议聚焦第三季度整体经营态势，对营收、成本与重点项目交付情况进行全面复盘。</w:t>
            </w:r>
          </w:p>
          <w:p>
            <w:pPr>
              <w:spacing w:after="0" w:before="0" w:line="312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会议确认季度营收同比增长稳健，核心业务线毛利率改善明显；同时指出渠道拓展进度滞后、新品上市节奏需要前置等问题。与会者就资源向高潜力区域倾斜、跨部门交付协同机制达成共识，并明确第四季度优先级工作与责任人，最终形成 5 项正式决议、8 项行动事项，并对两项重大风险设置跟踪与升级路径。</w:t>
            </w:r>
          </w:p>
        </w:tc>
        <w:tc>
          <w:tcPr>
            <w:tcW w:type="dxa" w:w="4082"/>
            <w:tcMar>
              <w:top w:w="0" w:type="dxa"/>
              <w:bottom w:w="0" w:type="dxa"/>
              <w:start w:w="14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082"/>
            </w:tblGrid>
            <w:tr>
              <w:tc>
                <w:tcPr>
                  <w:tcW w:type="dxa" w:w="4082"/>
                  <w:shd w:val="clear" w:color="auto" w:fill="3FE0E0"/>
                  <w:tcMar>
                    <w:top w:w="85" w:type="dxa"/>
                    <w:bottom w:w="85" w:type="dxa"/>
                    <w:start w:w="200" w:type="dxa"/>
                    <w:end w:w="20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A0B0D"/>
                      <w:sz w:val="36"/>
                    </w:rPr>
                    <w:t xml:space="preserve">5   </w:t>
                  </w:r>
                  <w:r>
                    <w:rPr>
                      <w:rFonts w:ascii="微软雅黑" w:hAnsi="微软雅黑" w:eastAsia="微软雅黑"/>
                      <w:b w:val="0"/>
                      <w:color w:val="0A0B0D"/>
                      <w:sz w:val="16"/>
                    </w:rPr>
                    <w:t>正式决议 事项数</w:t>
                  </w:r>
                </w:p>
              </w:tc>
            </w:tr>
            <w:tr>
              <w:tc>
                <w:tcPr>
                  <w:tcW w:type="dxa" w:w="4082"/>
                  <w:shd w:val="clear" w:color="auto" w:fill="0A0B0D"/>
                  <w:tcMar>
                    <w:top w:w="85" w:type="dxa"/>
                    <w:bottom w:w="85" w:type="dxa"/>
                    <w:start w:w="200" w:type="dxa"/>
                    <w:end w:w="20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3FE0E0"/>
                      <w:sz w:val="36"/>
                    </w:rPr>
                    <w:t xml:space="preserve">8   </w:t>
                  </w:r>
                  <w:r>
                    <w:rPr>
                      <w:rFonts w:ascii="微软雅黑" w:hAnsi="微软雅黑" w:eastAsia="微软雅黑"/>
                      <w:b w:val="0"/>
                      <w:color w:val="3FE0E0"/>
                      <w:sz w:val="16"/>
                    </w:rPr>
                    <w:t>行动项 / 待办任务</w:t>
                  </w:r>
                </w:p>
              </w:tc>
            </w:tr>
            <w:tr>
              <w:tc>
                <w:tcPr>
                  <w:tcW w:type="dxa" w:w="4082"/>
                  <w:shd w:val="clear" w:color="auto" w:fill="E4FAFA"/>
                  <w:tcMar>
                    <w:top w:w="85" w:type="dxa"/>
                    <w:bottom w:w="85" w:type="dxa"/>
                    <w:start w:w="200" w:type="dxa"/>
                    <w:end w:w="20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hAnsi="Arial" w:eastAsia="Arial"/>
                      <w:b/>
                      <w:color w:val="0A0B0D"/>
                      <w:sz w:val="36"/>
                    </w:rPr>
                    <w:t xml:space="preserve">+12.6%   </w:t>
                  </w:r>
                  <w:r>
                    <w:rPr>
                      <w:rFonts w:ascii="微软雅黑" w:hAnsi="微软雅黑" w:eastAsia="微软雅黑"/>
                      <w:b w:val="0"/>
                      <w:color w:val="0A0B0D"/>
                      <w:sz w:val="16"/>
                    </w:rPr>
                    <w:t>季度营收 同比增速</w:t>
                  </w:r>
                </w:p>
              </w:tc>
            </w:tr>
          </w:tbl>
          <w:p/>
          <w:p>
            <w:pPr>
              <w:spacing w:after="40" w:before="0"/>
            </w:pPr>
          </w:p>
          <w:p>
            <w:pPr>
              <w:spacing w:after="40" w:before="0"/>
            </w:pPr>
          </w:p>
        </w:tc>
      </w:tr>
    </w:tbl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02  </w:t>
      </w:r>
      <w:r>
        <w:rPr>
          <w:rFonts w:ascii="微软雅黑" w:hAnsi="微软雅黑" w:eastAsia="微软雅黑"/>
          <w:b/>
          <w:color w:val="0A0B0D"/>
          <w:sz w:val="26"/>
        </w:rPr>
        <w:t xml:space="preserve">参会人员  </w:t>
      </w:r>
      <w:r>
        <w:rPr>
          <w:rFonts w:ascii="微软雅黑" w:hAnsi="微软雅黑" w:eastAsia="微软雅黑"/>
          <w:b/>
          <w:color w:val="737B85"/>
          <w:sz w:val="14"/>
        </w:rPr>
        <w:t>ATTENDEES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1"/>
        <w:gridCol w:w="2948"/>
        <w:gridCol w:w="1587"/>
        <w:gridCol w:w="4082"/>
      </w:tblGrid>
      <w:tr>
        <w:tc>
          <w:tcPr>
            <w:tcW w:type="dxa" w:w="1701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姓名</w:t>
            </w:r>
          </w:p>
        </w:tc>
        <w:tc>
          <w:tcPr>
            <w:tcW w:type="dxa" w:w="2948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部门 / 职务</w:t>
            </w:r>
          </w:p>
        </w:tc>
        <w:tc>
          <w:tcPr>
            <w:tcW w:type="dxa" w:w="1587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角色</w:t>
            </w:r>
          </w:p>
        </w:tc>
        <w:tc>
          <w:tcPr>
            <w:tcW w:type="dxa" w:w="4082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会议职责</w:t>
            </w:r>
          </w:p>
        </w:tc>
      </w:tr>
      <w:tr>
        <w:tc>
          <w:tcPr>
            <w:tcW w:type="dxa" w:w="170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陈志远</w:t>
            </w:r>
          </w:p>
        </w:tc>
        <w:tc>
          <w:tcPr>
            <w:tcW w:type="dxa" w:w="2948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运营管理中心 · 副总裁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0A0B0D"/>
                <w:sz w:val="16"/>
                <w:shd w:val="clear" w:fill="3FE0E0"/>
              </w:rPr>
              <w:t xml:space="preserve"> 主持 </w:t>
            </w:r>
          </w:p>
        </w:tc>
        <w:tc>
          <w:tcPr>
            <w:tcW w:type="dxa" w:w="408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统筹议程、裁决资源分配与最终决议</w:t>
            </w:r>
          </w:p>
        </w:tc>
      </w:tr>
      <w:tr>
        <w:tc>
          <w:tcPr>
            <w:tcW w:type="dxa" w:w="1701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苏 婷</w:t>
            </w:r>
          </w:p>
        </w:tc>
        <w:tc>
          <w:tcPr>
            <w:tcW w:type="dxa" w:w="2948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财务部 · 总监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汇报人</w:t>
            </w:r>
          </w:p>
        </w:tc>
        <w:tc>
          <w:tcPr>
            <w:tcW w:type="dxa" w:w="408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季度财务数据复盘与成本结构分析</w:t>
            </w:r>
          </w:p>
        </w:tc>
      </w:tr>
      <w:tr>
        <w:tc>
          <w:tcPr>
            <w:tcW w:type="dxa" w:w="170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王浩然</w:t>
            </w:r>
          </w:p>
        </w:tc>
        <w:tc>
          <w:tcPr>
            <w:tcW w:type="dxa" w:w="2948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市场部 · 总监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汇报人</w:t>
            </w:r>
          </w:p>
        </w:tc>
        <w:tc>
          <w:tcPr>
            <w:tcW w:type="dxa" w:w="408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渠道与品牌投放进度、新品上市规划</w:t>
            </w:r>
          </w:p>
        </w:tc>
      </w:tr>
      <w:tr>
        <w:tc>
          <w:tcPr>
            <w:tcW w:type="dxa" w:w="1701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李梦圆</w:t>
            </w:r>
          </w:p>
        </w:tc>
        <w:tc>
          <w:tcPr>
            <w:tcW w:type="dxa" w:w="2948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产品研发部 · 负责人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列席</w:t>
            </w:r>
          </w:p>
        </w:tc>
        <w:tc>
          <w:tcPr>
            <w:tcW w:type="dxa" w:w="408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新品研发节点与交付风险说明</w:t>
            </w:r>
          </w:p>
        </w:tc>
      </w:tr>
      <w:tr>
        <w:tc>
          <w:tcPr>
            <w:tcW w:type="dxa" w:w="170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张明轩</w:t>
            </w:r>
          </w:p>
        </w:tc>
        <w:tc>
          <w:tcPr>
            <w:tcW w:type="dxa" w:w="2948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销售大区 · 华东负责人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列席</w:t>
            </w:r>
          </w:p>
        </w:tc>
        <w:tc>
          <w:tcPr>
            <w:tcW w:type="dxa" w:w="408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区域销售达成与客户拓展反馈</w:t>
            </w:r>
          </w:p>
        </w:tc>
      </w:tr>
      <w:tr>
        <w:tc>
          <w:tcPr>
            <w:tcW w:type="dxa" w:w="1701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林思齐</w:t>
            </w:r>
          </w:p>
        </w:tc>
        <w:tc>
          <w:tcPr>
            <w:tcW w:type="dxa" w:w="2948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运营管理中心 · 高级专员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记录</w:t>
            </w:r>
          </w:p>
        </w:tc>
        <w:tc>
          <w:tcPr>
            <w:tcW w:type="dxa" w:w="408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会议纪要、决议与行动项跟踪</w:t>
            </w:r>
          </w:p>
        </w:tc>
      </w:tr>
    </w:tbl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03  </w:t>
      </w:r>
      <w:r>
        <w:rPr>
          <w:rFonts w:ascii="微软雅黑" w:hAnsi="微软雅黑" w:eastAsia="微软雅黑"/>
          <w:b/>
          <w:color w:val="0A0B0D"/>
          <w:sz w:val="26"/>
        </w:rPr>
        <w:t xml:space="preserve">议题与讨论纪要  </w:t>
      </w:r>
      <w:r>
        <w:rPr>
          <w:rFonts w:ascii="微软雅黑" w:hAnsi="微软雅黑" w:eastAsia="微软雅黑"/>
          <w:b/>
          <w:color w:val="737B85"/>
          <w:sz w:val="14"/>
        </w:rPr>
        <w:t>AGENDA &amp; DISCUSSION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8"/>
      </w:tblGrid>
      <w:tr>
        <w:tc>
          <w:tcPr>
            <w:tcW w:type="dxa" w:w="10318"/>
            <w:shd w:val="clear" w:color="auto" w:fill="0A0B0D"/>
            <w:tcMar>
              <w:top w:w="50" w:type="dxa"/>
              <w:bottom w:w="5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A0B0D"/>
                <w:sz w:val="16"/>
                <w:shd w:val="clear" w:fill="3FE0E0"/>
              </w:rPr>
              <w:t xml:space="preserve"> 议题 01 </w:t>
            </w: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  第三季度经营业绩复盘</w:t>
            </w:r>
            <w:r>
              <w:rPr>
                <w:rFonts w:ascii="微软雅黑" w:hAnsi="微软雅黑" w:eastAsia="微软雅黑"/>
                <w:b w:val="0"/>
                <w:color w:val="8A93A0"/>
                <w:sz w:val="17"/>
              </w:rPr>
              <w:t xml:space="preserve">        汇报：</w:t>
            </w:r>
            <w:r>
              <w:rPr>
                <w:rFonts w:ascii="微软雅黑" w:hAnsi="微软雅黑" w:eastAsia="微软雅黑"/>
                <w:b w:val="0"/>
                <w:color w:val="3FE0E0"/>
                <w:sz w:val="17"/>
              </w:rPr>
              <w:t>苏婷 · 30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FFFFFF"/>
            <w:tcMar>
              <w:top w:w="70" w:type="dxa"/>
              <w:bottom w:w="7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9595"/>
                <w:sz w:val="16"/>
              </w:rPr>
              <w:t>关键结论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季度营收 4.82 亿元，同比 +12.6%，环比 +5.3%，达成季度目标 103%。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综合毛利率提升至 38.4%，主因高毛利产品占比上升与采购优化。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经营性现金流转正，回款周期由 62 天缩短至 54 天。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9595"/>
                <w:sz w:val="16"/>
              </w:rPr>
              <w:t>讨论要点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华东、华南表现突出，西部区域增速低于预期需重点关注。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销售费用率同比上升 1.8pct，投放 ROI 有待优化。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建议建立区域盈利看板，按月跟踪边际贡献。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8"/>
      </w:tblGrid>
      <w:tr>
        <w:tc>
          <w:tcPr>
            <w:tcW w:type="dxa" w:w="10318"/>
            <w:shd w:val="clear" w:color="auto" w:fill="0A0B0D"/>
            <w:tcMar>
              <w:top w:w="50" w:type="dxa"/>
              <w:bottom w:w="5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A0B0D"/>
                <w:sz w:val="16"/>
                <w:shd w:val="clear" w:fill="3FE0E0"/>
              </w:rPr>
              <w:t xml:space="preserve"> 议题 02 </w:t>
            </w: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  重点项目进度与交付风险</w:t>
            </w:r>
            <w:r>
              <w:rPr>
                <w:rFonts w:ascii="微软雅黑" w:hAnsi="微软雅黑" w:eastAsia="微软雅黑"/>
                <w:b w:val="0"/>
                <w:color w:val="8A93A0"/>
                <w:sz w:val="17"/>
              </w:rPr>
              <w:t xml:space="preserve">        汇报：</w:t>
            </w:r>
            <w:r>
              <w:rPr>
                <w:rFonts w:ascii="微软雅黑" w:hAnsi="微软雅黑" w:eastAsia="微软雅黑"/>
                <w:b w:val="0"/>
                <w:color w:val="3FE0E0"/>
                <w:sz w:val="17"/>
              </w:rPr>
              <w:t>李梦圆 · 25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FFFFFF"/>
            <w:tcMar>
              <w:top w:w="70" w:type="dxa"/>
              <w:bottom w:w="7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9595"/>
                <w:sz w:val="16"/>
              </w:rPr>
              <w:t>进展情况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新一代旗舰产品已完成研发验证，进入小批量试产阶段。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配套供应链协议签署完成 80%，关键物料锁定产能。</w:t>
            </w:r>
          </w:p>
        </w:tc>
        <w:tc>
          <w:tcPr>
            <w:tcW w:type="dxa" w:w="5159"/>
            <w:shd w:val="clear" w:color="auto" w:fill="FFFFFF"/>
            <w:tcMar>
              <w:top w:w="70" w:type="dxa"/>
              <w:bottom w:w="7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9595"/>
                <w:sz w:val="16"/>
              </w:rPr>
              <w:t>风险与对策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核心芯片交期存在 3 周波动，已启动双供应商备份。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上市窗口建议前置至 10 月，抢占节日销售旺季。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8"/>
      </w:tblGrid>
      <w:tr>
        <w:tc>
          <w:tcPr>
            <w:tcW w:type="dxa" w:w="10318"/>
            <w:shd w:val="clear" w:color="auto" w:fill="0A0B0D"/>
            <w:tcMar>
              <w:top w:w="50" w:type="dxa"/>
              <w:bottom w:w="5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A0B0D"/>
                <w:sz w:val="16"/>
                <w:shd w:val="clear" w:fill="3FE0E0"/>
              </w:rPr>
              <w:t xml:space="preserve"> 议题 03 </w:t>
            </w: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  市场渠道拓展与品牌投放</w:t>
            </w:r>
            <w:r>
              <w:rPr>
                <w:rFonts w:ascii="微软雅黑" w:hAnsi="微软雅黑" w:eastAsia="微软雅黑"/>
                <w:b w:val="0"/>
                <w:color w:val="8A93A0"/>
                <w:sz w:val="17"/>
              </w:rPr>
              <w:t xml:space="preserve">        汇报：</w:t>
            </w:r>
            <w:r>
              <w:rPr>
                <w:rFonts w:ascii="微软雅黑" w:hAnsi="微软雅黑" w:eastAsia="微软雅黑"/>
                <w:b w:val="0"/>
                <w:color w:val="3FE0E0"/>
                <w:sz w:val="17"/>
              </w:rPr>
              <w:t>王浩然 · 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8"/>
      </w:tblGrid>
      <w:tr>
        <w:tc>
          <w:tcPr>
            <w:tcW w:type="dxa" w:w="10318"/>
            <w:shd w:val="clear" w:color="auto" w:fill="FFFFFF"/>
            <w:tcMar>
              <w:top w:w="70" w:type="dxa"/>
              <w:bottom w:w="70" w:type="dxa"/>
              <w:start w:w="200" w:type="dxa"/>
              <w:end w:w="20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29595"/>
                <w:sz w:val="16"/>
              </w:rPr>
              <w:t>核心议程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新增经销渠道 36 家，覆盖率达成 78%，距全年目标尚有 12pct 缺口，需在 Q4 加速下沉市场布局。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线上自营渠道 GMV 同比 +34%，私域复购率提升至 26%，建议追加内容营销与会员运营投入。</w:t>
            </w:r>
          </w:p>
          <w:p>
            <w:pPr>
              <w:spacing w:after="2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4"/>
              </w:rPr>
              <w:t xml:space="preserve">◆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品牌投放预算建议向高转化的短视频与区域分众渠道倾斜，缩减低效硬广占比，整体 ROI 目标提升至 1:4.5。</w:t>
            </w:r>
          </w:p>
        </w:tc>
      </w:tr>
    </w:tbl>
    <w:p>
      <w:pPr>
        <w:spacing w:after="40"/>
      </w:pPr>
    </w:p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04  </w:t>
      </w:r>
      <w:r>
        <w:rPr>
          <w:rFonts w:ascii="微软雅黑" w:hAnsi="微软雅黑" w:eastAsia="微软雅黑"/>
          <w:b/>
          <w:color w:val="0A0B0D"/>
          <w:sz w:val="26"/>
        </w:rPr>
        <w:t xml:space="preserve">决议事项  </w:t>
      </w:r>
      <w:r>
        <w:rPr>
          <w:rFonts w:ascii="微软雅黑" w:hAnsi="微软雅黑" w:eastAsia="微软雅黑"/>
          <w:b/>
          <w:color w:val="737B85"/>
          <w:sz w:val="14"/>
        </w:rPr>
        <w:t>RESOLUTIONS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4"/>
        <w:gridCol w:w="4762"/>
        <w:gridCol w:w="1814"/>
        <w:gridCol w:w="1361"/>
        <w:gridCol w:w="1587"/>
      </w:tblGrid>
      <w:tr>
        <w:tc>
          <w:tcPr>
            <w:tcW w:type="dxa" w:w="794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No.</w:t>
            </w:r>
          </w:p>
        </w:tc>
        <w:tc>
          <w:tcPr>
            <w:tcW w:type="dxa" w:w="4762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决议内容</w:t>
            </w:r>
          </w:p>
        </w:tc>
        <w:tc>
          <w:tcPr>
            <w:tcW w:type="dxa" w:w="1814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责任部门</w:t>
            </w:r>
          </w:p>
        </w:tc>
        <w:tc>
          <w:tcPr>
            <w:tcW w:type="dxa" w:w="1361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优先级</w:t>
            </w:r>
          </w:p>
        </w:tc>
        <w:tc>
          <w:tcPr>
            <w:tcW w:type="dxa" w:w="1587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状态</w:t>
            </w:r>
          </w:p>
        </w:tc>
      </w:tr>
      <w:tr>
        <w:tc>
          <w:tcPr>
            <w:tcW w:type="dxa" w:w="79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R1</w:t>
            </w:r>
          </w:p>
        </w:tc>
        <w:tc>
          <w:tcPr>
            <w:tcW w:type="dxa" w:w="476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批准旗舰新品上市窗口前置至 10 月第二周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产品研发部</w:t>
            </w:r>
          </w:p>
        </w:tc>
        <w:tc>
          <w:tcPr>
            <w:tcW w:type="dxa" w:w="136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FE0E0"/>
                <w:sz w:val="16"/>
                <w:shd w:val="clear" w:fill="0A0B0D"/>
              </w:rPr>
              <w:t xml:space="preserve"> 高 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已通过</w:t>
            </w:r>
          </w:p>
        </w:tc>
      </w:tr>
      <w:tr>
        <w:tc>
          <w:tcPr>
            <w:tcW w:type="dxa" w:w="79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R2</w:t>
            </w:r>
          </w:p>
        </w:tc>
        <w:tc>
          <w:tcPr>
            <w:tcW w:type="dxa" w:w="476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设立西部区域专项扶持预算 800 万元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财务部 / 销售</w:t>
            </w:r>
          </w:p>
        </w:tc>
        <w:tc>
          <w:tcPr>
            <w:tcW w:type="dxa" w:w="1361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FE0E0"/>
                <w:sz w:val="16"/>
                <w:shd w:val="clear" w:fill="0A0B0D"/>
              </w:rPr>
              <w:t xml:space="preserve"> 高 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已通过</w:t>
            </w:r>
          </w:p>
        </w:tc>
      </w:tr>
      <w:tr>
        <w:tc>
          <w:tcPr>
            <w:tcW w:type="dxa" w:w="79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R3</w:t>
            </w:r>
          </w:p>
        </w:tc>
        <w:tc>
          <w:tcPr>
            <w:tcW w:type="dxa" w:w="476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上线区域盈利看板，按月跟踪边际贡献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运营管理中心</w:t>
            </w:r>
          </w:p>
        </w:tc>
        <w:tc>
          <w:tcPr>
            <w:tcW w:type="dxa" w:w="136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29595"/>
                <w:sz w:val="16"/>
                <w:shd w:val="clear" w:fill="E4FAFA"/>
              </w:rPr>
              <w:t xml:space="preserve"> 中 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已通过</w:t>
            </w:r>
          </w:p>
        </w:tc>
      </w:tr>
      <w:tr>
        <w:tc>
          <w:tcPr>
            <w:tcW w:type="dxa" w:w="79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R4</w:t>
            </w:r>
          </w:p>
        </w:tc>
        <w:tc>
          <w:tcPr>
            <w:tcW w:type="dxa" w:w="476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核心物料启用双供应商备份机制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供应链部</w:t>
            </w:r>
          </w:p>
        </w:tc>
        <w:tc>
          <w:tcPr>
            <w:tcW w:type="dxa" w:w="1361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FE0E0"/>
                <w:sz w:val="16"/>
                <w:shd w:val="clear" w:fill="0A0B0D"/>
              </w:rPr>
              <w:t xml:space="preserve"> 高 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已通过</w:t>
            </w:r>
          </w:p>
        </w:tc>
      </w:tr>
      <w:tr>
        <w:tc>
          <w:tcPr>
            <w:tcW w:type="dxa" w:w="79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R5</w:t>
            </w:r>
          </w:p>
        </w:tc>
        <w:tc>
          <w:tcPr>
            <w:tcW w:type="dxa" w:w="476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品牌投放结构调整，硬广占比下调至 25%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市场部</w:t>
            </w:r>
          </w:p>
        </w:tc>
        <w:tc>
          <w:tcPr>
            <w:tcW w:type="dxa" w:w="1361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129595"/>
                <w:sz w:val="16"/>
                <w:shd w:val="clear" w:fill="E4FAFA"/>
              </w:rPr>
              <w:t xml:space="preserve"> 中 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已通过</w:t>
            </w:r>
          </w:p>
        </w:tc>
      </w:tr>
    </w:tbl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05  </w:t>
      </w:r>
      <w:r>
        <w:rPr>
          <w:rFonts w:ascii="微软雅黑" w:hAnsi="微软雅黑" w:eastAsia="微软雅黑"/>
          <w:b/>
          <w:color w:val="0A0B0D"/>
          <w:sz w:val="26"/>
        </w:rPr>
        <w:t xml:space="preserve">行动项与责任分工  </w:t>
      </w:r>
      <w:r>
        <w:rPr>
          <w:rFonts w:ascii="微软雅黑" w:hAnsi="微软雅黑" w:eastAsia="微软雅黑"/>
          <w:b/>
          <w:color w:val="737B85"/>
          <w:sz w:val="14"/>
        </w:rPr>
        <w:t>ACTION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"/>
        <w:gridCol w:w="4422"/>
        <w:gridCol w:w="1587"/>
        <w:gridCol w:w="1814"/>
        <w:gridCol w:w="1814"/>
      </w:tblGrid>
      <w:tr>
        <w:tc>
          <w:tcPr>
            <w:tcW w:type="dxa" w:w="680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☐</w:t>
            </w:r>
          </w:p>
        </w:tc>
        <w:tc>
          <w:tcPr>
            <w:tcW w:type="dxa" w:w="4422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任务事项</w:t>
            </w:r>
          </w:p>
        </w:tc>
        <w:tc>
          <w:tcPr>
            <w:tcW w:type="dxa" w:w="1587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负责人</w:t>
            </w:r>
          </w:p>
        </w:tc>
        <w:tc>
          <w:tcPr>
            <w:tcW w:type="dxa" w:w="1814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截止日期</w:t>
            </w:r>
          </w:p>
        </w:tc>
        <w:tc>
          <w:tcPr>
            <w:tcW w:type="dxa" w:w="1814"/>
            <w:shd w:val="clear" w:color="auto" w:fill="0A0B0D"/>
            <w:tcMar>
              <w:top w:w="55" w:type="dxa"/>
              <w:bottom w:w="55" w:type="dxa"/>
              <w:start w:w="13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3FE0E0"/>
                <w:sz w:val="16"/>
              </w:rPr>
              <w:t>验收标准</w:t>
            </w:r>
          </w:p>
        </w:tc>
      </w:tr>
      <w:tr>
        <w:tc>
          <w:tcPr>
            <w:tcW w:type="dxa" w:w="680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☐</w:t>
            </w:r>
          </w:p>
        </w:tc>
        <w:tc>
          <w:tcPr>
            <w:tcW w:type="dxa" w:w="442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制定旗舰新品上市作战方案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王浩然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2026-06-20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方案评审通过</w:t>
            </w:r>
          </w:p>
        </w:tc>
      </w:tr>
      <w:tr>
        <w:tc>
          <w:tcPr>
            <w:tcW w:type="dxa" w:w="680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☐</w:t>
            </w:r>
          </w:p>
        </w:tc>
        <w:tc>
          <w:tcPr>
            <w:tcW w:type="dxa" w:w="442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完成西部专项预算分解与下达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苏婷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2026-06-18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预算文件签发</w:t>
            </w:r>
          </w:p>
        </w:tc>
      </w:tr>
      <w:tr>
        <w:tc>
          <w:tcPr>
            <w:tcW w:type="dxa" w:w="680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☐</w:t>
            </w:r>
          </w:p>
        </w:tc>
        <w:tc>
          <w:tcPr>
            <w:tcW w:type="dxa" w:w="442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搭建区域盈利看板 V1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林思齐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2026-06-30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看板上线试运行</w:t>
            </w:r>
          </w:p>
        </w:tc>
      </w:tr>
      <w:tr>
        <w:tc>
          <w:tcPr>
            <w:tcW w:type="dxa" w:w="680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☐</w:t>
            </w:r>
          </w:p>
        </w:tc>
        <w:tc>
          <w:tcPr>
            <w:tcW w:type="dxa" w:w="4422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确认双供应商备份协议</w:t>
            </w:r>
          </w:p>
        </w:tc>
        <w:tc>
          <w:tcPr>
            <w:tcW w:type="dxa" w:w="1587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供应链部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2026-06-25</w:t>
            </w:r>
          </w:p>
        </w:tc>
        <w:tc>
          <w:tcPr>
            <w:tcW w:type="dxa" w:w="1814"/>
            <w:shd w:val="clear" w:color="auto" w:fill="F5F7F8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协议签署完成</w:t>
            </w:r>
          </w:p>
        </w:tc>
      </w:tr>
      <w:tr>
        <w:tc>
          <w:tcPr>
            <w:tcW w:type="dxa" w:w="680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☐</w:t>
            </w:r>
          </w:p>
        </w:tc>
        <w:tc>
          <w:tcPr>
            <w:tcW w:type="dxa" w:w="4422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调整 Q4 品牌投放媒介组合</w:t>
            </w:r>
          </w:p>
        </w:tc>
        <w:tc>
          <w:tcPr>
            <w:tcW w:type="dxa" w:w="1587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市场部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2026-07-05</w:t>
            </w:r>
          </w:p>
        </w:tc>
        <w:tc>
          <w:tcPr>
            <w:tcW w:type="dxa" w:w="1814"/>
            <w:shd w:val="clear" w:color="auto" w:fill="FFFFFF"/>
            <w:tcMar>
              <w:top w:w="42" w:type="dxa"/>
              <w:bottom w:w="42" w:type="dxa"/>
              <w:start w:w="130" w:type="dxa"/>
              <w:end w:w="80" w:type="dxa"/>
            </w:tcMar>
            <w:vAlign w:val="center"/>
            <w:tcBorders>
              <w:bottom w:val="single" w:sz="6" w:color="E2E6EA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投放计划发布</w:t>
            </w:r>
          </w:p>
        </w:tc>
      </w:tr>
    </w:tbl>
    <w:p>
      <w:pPr>
        <w:spacing w:before="140" w:after="60"/>
        <w:ind w:left="794" w:right="794"/>
      </w:pPr>
      <w:r>
        <w:rPr>
          <w:rFonts w:ascii="Arial" w:hAnsi="Arial" w:eastAsia="Arial"/>
          <w:b/>
          <w:color w:val="129595"/>
          <w:sz w:val="30"/>
        </w:rPr>
        <w:t xml:space="preserve">06  </w:t>
      </w:r>
      <w:r>
        <w:rPr>
          <w:rFonts w:ascii="微软雅黑" w:hAnsi="微软雅黑" w:eastAsia="微软雅黑"/>
          <w:b/>
          <w:color w:val="0A0B0D"/>
          <w:sz w:val="26"/>
        </w:rPr>
        <w:t xml:space="preserve">风险提示与下一步  </w:t>
      </w:r>
      <w:r>
        <w:rPr>
          <w:rFonts w:ascii="微软雅黑" w:hAnsi="微软雅黑" w:eastAsia="微软雅黑"/>
          <w:b/>
          <w:color w:val="737B85"/>
          <w:sz w:val="14"/>
        </w:rPr>
        <w:t>RISK &amp; NEXT STEPS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shd w:val="clear" w:color="auto" w:fill="0A0B0D"/>
            <w:tcMar>
              <w:top w:w="90" w:type="dxa"/>
              <w:bottom w:w="90" w:type="dxa"/>
              <w:start w:w="220" w:type="dxa"/>
              <w:end w:w="20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3FE0E0"/>
                <w:sz w:val="20"/>
              </w:rPr>
              <w:t>重点风险跟踪</w:t>
            </w:r>
          </w:p>
          <w:p>
            <w:pPr>
              <w:spacing w:after="40" w:before="0" w:line="300" w:lineRule="auto"/>
            </w:pPr>
            <w:r>
              <w:rPr>
                <w:rFonts w:ascii="微软雅黑" w:hAnsi="微软雅黑" w:eastAsia="微软雅黑"/>
                <w:b w:val="0"/>
                <w:color w:val="3FE0E0"/>
                <w:sz w:val="12"/>
              </w:rPr>
              <w:t xml:space="preserve">● </w:t>
            </w:r>
            <w:r>
              <w:rPr>
                <w:rFonts w:ascii="微软雅黑" w:hAnsi="微软雅黑" w:eastAsia="微软雅黑"/>
                <w:b w:val="0"/>
                <w:color w:val="C9D0D8"/>
                <w:sz w:val="18"/>
              </w:rPr>
              <w:t>核心芯片交期波动，可能影响试产节奏 — 已设升级机制，每周复核。</w:t>
            </w:r>
          </w:p>
          <w:p>
            <w:pPr>
              <w:spacing w:after="40" w:before="0" w:line="300" w:lineRule="auto"/>
            </w:pPr>
            <w:r>
              <w:rPr>
                <w:rFonts w:ascii="微软雅黑" w:hAnsi="微软雅黑" w:eastAsia="微软雅黑"/>
                <w:b w:val="0"/>
                <w:color w:val="3FE0E0"/>
                <w:sz w:val="12"/>
              </w:rPr>
              <w:t xml:space="preserve">● </w:t>
            </w:r>
            <w:r>
              <w:rPr>
                <w:rFonts w:ascii="微软雅黑" w:hAnsi="微软雅黑" w:eastAsia="微软雅黑"/>
                <w:b w:val="0"/>
                <w:color w:val="C9D0D8"/>
                <w:sz w:val="18"/>
              </w:rPr>
              <w:t>西部区域增速持续低迷，需观察专项预算效果，8 月评估止损。</w:t>
            </w:r>
          </w:p>
          <w:p>
            <w:pPr>
              <w:spacing w:after="40" w:before="0" w:line="300" w:lineRule="auto"/>
            </w:pPr>
            <w:r>
              <w:rPr>
                <w:rFonts w:ascii="微软雅黑" w:hAnsi="微软雅黑" w:eastAsia="微软雅黑"/>
                <w:b w:val="0"/>
                <w:color w:val="3FE0E0"/>
                <w:sz w:val="12"/>
              </w:rPr>
              <w:t xml:space="preserve">● </w:t>
            </w:r>
            <w:r>
              <w:rPr>
                <w:rFonts w:ascii="微软雅黑" w:hAnsi="微软雅黑" w:eastAsia="微软雅黑"/>
                <w:b w:val="0"/>
                <w:color w:val="C9D0D8"/>
                <w:sz w:val="18"/>
              </w:rPr>
              <w:t>销售费用率上升，存在投放效率下滑风险。</w:t>
            </w:r>
          </w:p>
        </w:tc>
        <w:tc>
          <w:tcPr>
            <w:tcW w:type="dxa" w:w="5159"/>
            <w:shd w:val="clear" w:color="auto" w:fill="E4FAFA"/>
            <w:tcMar>
              <w:top w:w="90" w:type="dxa"/>
              <w:bottom w:w="90" w:type="dxa"/>
              <w:start w:w="220" w:type="dxa"/>
              <w:end w:w="20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29595"/>
                <w:sz w:val="20"/>
              </w:rPr>
              <w:t>下一步与下次会议</w:t>
            </w:r>
          </w:p>
          <w:p>
            <w:pPr>
              <w:spacing w:after="4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2"/>
              </w:rPr>
              <w:t xml:space="preserve">●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各责任人于 6 月 20 日前提交行动项首轮进展。</w:t>
            </w:r>
          </w:p>
          <w:p>
            <w:pPr>
              <w:spacing w:after="40" w:before="0" w:line="300" w:lineRule="auto"/>
            </w:pPr>
            <w:r>
              <w:rPr>
                <w:rFonts w:ascii="微软雅黑" w:hAnsi="微软雅黑" w:eastAsia="微软雅黑"/>
                <w:b w:val="0"/>
                <w:color w:val="129595"/>
                <w:sz w:val="12"/>
              </w:rPr>
              <w:t xml:space="preserve">● </w:t>
            </w:r>
            <w:r>
              <w:rPr>
                <w:rFonts w:ascii="微软雅黑" w:hAnsi="微软雅黑" w:eastAsia="微软雅黑"/>
                <w:b w:val="0"/>
                <w:color w:val="1C2126"/>
                <w:sz w:val="18"/>
              </w:rPr>
              <w:t>运营中心汇总形成周度跟踪简报，下次例会 07-08 周三 14:00。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6"/>
        <w:gridCol w:w="3436"/>
        <w:gridCol w:w="3436"/>
      </w:tblGrid>
      <w:tr>
        <w:tc>
          <w:tcPr>
            <w:tcW w:type="dxa" w:w="3436"/>
            <w:tcMar>
              <w:top w:w="60" w:type="dxa"/>
              <w:bottom w:w="20" w:type="dxa"/>
              <w:start w:w="120" w:type="dxa"/>
              <w:end w:w="200" w:type="dxa"/>
            </w:tcMar>
            <w:tcBorders>
              <w:top w:val="single" w:sz="18" w:color="0A0B0D"/>
            </w:tcBorders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/>
                <w:color w:val="737B85"/>
                <w:sz w:val="16"/>
              </w:rPr>
              <w:t>记录人 / RECORDER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 w:val="0"/>
                <w:color w:val="737B85"/>
                <w:sz w:val="16"/>
              </w:rPr>
              <w:t>日期：________________</w:t>
            </w:r>
          </w:p>
        </w:tc>
        <w:tc>
          <w:tcPr>
            <w:tcW w:type="dxa" w:w="3436"/>
            <w:tcMar>
              <w:top w:w="60" w:type="dxa"/>
              <w:bottom w:w="20" w:type="dxa"/>
              <w:start w:w="120" w:type="dxa"/>
              <w:end w:w="200" w:type="dxa"/>
            </w:tcMar>
            <w:tcBorders>
              <w:top w:val="single" w:sz="18" w:color="0A0B0D"/>
            </w:tcBorders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/>
                <w:color w:val="737B85"/>
                <w:sz w:val="16"/>
              </w:rPr>
              <w:t>主持人 / CHAIR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 w:val="0"/>
                <w:color w:val="737B85"/>
                <w:sz w:val="16"/>
              </w:rPr>
              <w:t>日期：________________</w:t>
            </w:r>
          </w:p>
        </w:tc>
        <w:tc>
          <w:tcPr>
            <w:tcW w:type="dxa" w:w="3436"/>
            <w:tcMar>
              <w:top w:w="60" w:type="dxa"/>
              <w:bottom w:w="20" w:type="dxa"/>
              <w:start w:w="120" w:type="dxa"/>
              <w:end w:w="200" w:type="dxa"/>
            </w:tcMar>
            <w:tcBorders>
              <w:top w:val="single" w:sz="18" w:color="0A0B0D"/>
            </w:tcBorders>
          </w:tcPr>
          <w:p>
            <w:pPr>
              <w:spacing w:after="160"/>
            </w:pPr>
            <w:r>
              <w:rPr>
                <w:rFonts w:ascii="微软雅黑" w:hAnsi="微软雅黑" w:eastAsia="微软雅黑"/>
                <w:b/>
                <w:color w:val="737B85"/>
                <w:sz w:val="16"/>
              </w:rPr>
              <w:t>审批 / APPROVED</w:t>
            </w:r>
          </w:p>
          <w:p>
            <w:pPr>
              <w:spacing w:after="0" w:before="0" w:line="269" w:lineRule="auto"/>
            </w:pPr>
            <w:r>
              <w:rPr>
                <w:rFonts w:ascii="微软雅黑" w:hAnsi="微软雅黑" w:eastAsia="微软雅黑"/>
                <w:b w:val="0"/>
                <w:color w:val="737B85"/>
                <w:sz w:val="16"/>
              </w:rPr>
              <w:t>日期：________________</w:t>
            </w:r>
          </w:p>
        </w:tc>
      </w:tr>
    </w:tbl>
    <w:p>
      <w:pPr>
        <w:spacing w:before="200"/>
        <w:ind w:left="794" w:right="794"/>
      </w:pPr>
      <w:r>
        <w:rPr>
          <w:rFonts w:ascii="微软雅黑" w:hAnsi="微软雅黑" w:eastAsia="微软雅黑"/>
          <w:b w:val="0"/>
          <w:color w:val="737B85"/>
          <w:sz w:val="15"/>
        </w:rPr>
        <w:t xml:space="preserve">MERIDIAN 集团运营管理中心   |   会议简报模板 v2.0          </w:t>
      </w:r>
      <w:r>
        <w:rPr>
          <w:rFonts w:ascii="微软雅黑" w:hAnsi="微软雅黑" w:eastAsia="微软雅黑"/>
          <w:b/>
          <w:color w:val="129595"/>
          <w:sz w:val="15"/>
        </w:rPr>
        <w:t xml:space="preserve">CONFIDENTIAL · 内部限阅          </w:t>
      </w:r>
      <w:r>
        <w:rPr>
          <w:rFonts w:ascii="微软雅黑" w:hAnsi="微软雅黑" w:eastAsia="微软雅黑"/>
          <w:b w:val="0"/>
          <w:color w:val="737B85"/>
          <w:sz w:val="15"/>
        </w:rPr>
        <w:t>第 1 页 / 共 1 页</w:t>
      </w:r>
    </w:p>
    <w:sectPr w:rsidR="00FC693F" w:rsidRPr="0006063C" w:rsidSect="00034616">
      <w:pgSz w:w="11906" w:h="16838"/>
      <w:pgMar w:top="0" w:right="0" w:bottom="454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