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906"/>
      </w:tblGrid>
      <w:tr>
        <w:trPr>
          <w:trHeight w:val="16700" w:hRule="exact"/>
        </w:trPr>
        <w:tc>
          <w:tcPr>
            <w:tcW w:type="dxa" w:w="11906"/>
            <w:shd w:val="clear" w:color="auto" w:fill="0a0518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vAlign w:val="top"/>
          </w:tcPr>
          <w:p>
            <w:pPr>
              <w:spacing w:before="600" w:after="20"/>
              <w:ind w:left="1247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［ 企业名称 ］</w:t>
            </w:r>
          </w:p>
          <w:p>
            <w:pPr>
              <w:spacing w:before="0" w:after="0" w:line="312" w:lineRule="auto"/>
              <w:ind w:left="1247"/>
            </w:pPr>
            <w:r>
              <w:rPr>
                <w:rFonts w:ascii="微软雅黑" w:hAnsi="微软雅黑" w:eastAsia="微软雅黑"/>
                <w:b w:val="0"/>
                <w:color w:val="9A92B8"/>
                <w:sz w:val="16"/>
              </w:rPr>
              <w:t>FINANCE · ANNUAL REPORT</w:t>
            </w: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80" w:line="312" w:lineRule="auto"/>
              <w:ind w:left="1247"/>
            </w:pPr>
            <w:r>
              <w:rPr>
                <w:rFonts w:ascii="微软雅黑" w:hAnsi="微软雅黑" w:eastAsia="微软雅黑"/>
                <w:b/>
                <w:color w:val="F06FC2"/>
                <w:sz w:val="22"/>
              </w:rPr>
              <w:t>〔 财 务 报 告 〕</w:t>
            </w:r>
          </w:p>
          <w:p>
            <w:pPr>
              <w:spacing w:before="80" w:after="40" w:line="312" w:lineRule="auto"/>
              <w:ind w:left="1247"/>
            </w:pPr>
            <w:r>
              <w:rPr>
                <w:rFonts w:ascii="微软雅黑" w:hAnsi="微软雅黑" w:eastAsia="微软雅黑"/>
                <w:b/>
                <w:color w:val="FFFFFF"/>
                <w:sz w:val="72"/>
              </w:rPr>
              <w:t>企业财务分析报告</w:t>
            </w:r>
          </w:p>
          <w:p>
            <w:pPr>
              <w:spacing w:before="0" w:after="40" w:line="312" w:lineRule="auto"/>
              <w:ind w:left="1247"/>
            </w:pPr>
            <w:r>
              <w:rPr>
                <w:rFonts w:ascii="微软雅黑" w:hAnsi="微软雅黑" w:eastAsia="微软雅黑"/>
                <w:b w:val="0"/>
                <w:color w:val="E879C8"/>
                <w:sz w:val="26"/>
              </w:rPr>
              <w:t>FINANCIAL  ANALYSIS  REPORT</w:t>
            </w:r>
          </w:p>
          <w:p>
            <w:pPr>
              <w:spacing w:before="80" w:after="120" w:line="312" w:lineRule="auto"/>
              <w:ind w:left="1247"/>
            </w:pPr>
            <w:r>
              <w:rPr>
                <w:rFonts w:ascii="微软雅黑" w:hAnsi="微软雅黑" w:eastAsia="微软雅黑"/>
                <w:b/>
                <w:color w:val="F06FC2"/>
                <w:sz w:val="92"/>
              </w:rPr>
              <w:t>20XX</w:t>
            </w:r>
          </w:p>
          <w:p>
            <w:pPr>
              <w:spacing w:before="0" w:after="120" w:line="312" w:lineRule="auto"/>
              <w:ind w:left="1247" w:right="6520"/>
              <w:pBdr>
                <w:bottom w:val="single" w:sz="24" w:space="2" w:color="c026d3"/>
              </w:pBdr>
            </w:pPr>
            <w:r>
              <w:rPr>
                <w:rFonts w:ascii="微软雅黑" w:hAnsi="微软雅黑" w:eastAsia="微软雅黑"/>
                <w:b w:val="0"/>
                <w:color w:val="FFFFFF"/>
                <w:sz w:val="4"/>
              </w:rPr>
              <w:t xml:space="preserve"> </w:t>
            </w:r>
          </w:p>
          <w:p>
            <w:pPr>
              <w:spacing w:before="80" w:after="40" w:line="312" w:lineRule="auto"/>
              <w:ind w:left="1247"/>
            </w:pPr>
            <w:r>
              <w:rPr>
                <w:rFonts w:ascii="微软雅黑" w:hAnsi="微软雅黑" w:eastAsia="微软雅黑"/>
                <w:b w:val="0"/>
                <w:color w:val="C8C2DC"/>
                <w:sz w:val="20"/>
              </w:rPr>
              <w:t>本报告依据企业会计准则编制，涵盖资产负债、利润、现金流量等核心财务信息及指标分析，供管理层决策、投资者参考及监管报送之用。</w:t>
            </w: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0" w:line="312" w:lineRule="auto"/>
              <w:ind w:left="1247"/>
            </w:pPr>
          </w:p>
          <w:p>
            <w:pPr>
              <w:spacing w:before="0" w:after="60" w:line="312" w:lineRule="auto"/>
              <w:ind w:left="1247" w:right="1247"/>
              <w:pBdr>
                <w:bottom w:val="single" w:sz="4" w:space="4" w:color="3a2c52"/>
              </w:pBdr>
            </w:pPr>
            <w:r>
              <w:rPr>
                <w:rFonts w:ascii="微软雅黑" w:hAnsi="微软雅黑" w:eastAsia="微软雅黑"/>
                <w:b w:val="0"/>
                <w:color w:val="E879C8"/>
                <w:sz w:val="19"/>
              </w:rPr>
              <w:t xml:space="preserve">报告期间　　</w:t>
            </w:r>
            <w:r>
              <w:rPr>
                <w:rFonts w:ascii="微软雅黑" w:hAnsi="微软雅黑" w:eastAsia="微软雅黑"/>
                <w:b w:val="0"/>
                <w:color w:val="FFFFFF"/>
                <w:sz w:val="19"/>
              </w:rPr>
              <w:t>20XX 年度（XX.01 – XX.12）</w:t>
            </w:r>
          </w:p>
          <w:p>
            <w:pPr>
              <w:spacing w:before="0" w:after="60" w:line="312" w:lineRule="auto"/>
              <w:ind w:left="1247" w:right="1247"/>
              <w:pBdr>
                <w:bottom w:val="single" w:sz="4" w:space="4" w:color="3a2c52"/>
              </w:pBdr>
            </w:pPr>
            <w:r>
              <w:rPr>
                <w:rFonts w:ascii="微软雅黑" w:hAnsi="微软雅黑" w:eastAsia="微软雅黑"/>
                <w:b w:val="0"/>
                <w:color w:val="E879C8"/>
                <w:sz w:val="19"/>
              </w:rPr>
              <w:t xml:space="preserve">编制单位　　</w:t>
            </w:r>
            <w:r>
              <w:rPr>
                <w:rFonts w:ascii="微软雅黑" w:hAnsi="微软雅黑" w:eastAsia="微软雅黑"/>
                <w:b w:val="0"/>
                <w:color w:val="FFFFFF"/>
                <w:sz w:val="19"/>
              </w:rPr>
              <w:t>财务管理部</w:t>
            </w:r>
          </w:p>
          <w:p>
            <w:pPr>
              <w:spacing w:before="0" w:after="60" w:line="312" w:lineRule="auto"/>
              <w:ind w:left="1247" w:right="1247"/>
              <w:pBdr>
                <w:bottom w:val="single" w:sz="4" w:space="4" w:color="3a2c52"/>
              </w:pBdr>
            </w:pPr>
            <w:r>
              <w:rPr>
                <w:rFonts w:ascii="微软雅黑" w:hAnsi="微软雅黑" w:eastAsia="微软雅黑"/>
                <w:b w:val="0"/>
                <w:color w:val="E879C8"/>
                <w:sz w:val="19"/>
              </w:rPr>
              <w:t xml:space="preserve">报告编号　　</w:t>
            </w:r>
            <w:r>
              <w:rPr>
                <w:rFonts w:ascii="微软雅黑" w:hAnsi="微软雅黑" w:eastAsia="微软雅黑"/>
                <w:b w:val="0"/>
                <w:color w:val="FFFFFF"/>
                <w:sz w:val="19"/>
              </w:rPr>
              <w:t>FIN-RPT-20XX-001</w:t>
            </w:r>
          </w:p>
          <w:p>
            <w:pPr>
              <w:spacing w:before="0" w:after="60" w:line="312" w:lineRule="auto"/>
              <w:ind w:left="1247" w:right="1247"/>
              <w:pBdr>
                <w:bottom w:val="single" w:sz="4" w:space="4" w:color="3a2c52"/>
              </w:pBdr>
            </w:pPr>
            <w:r>
              <w:rPr>
                <w:rFonts w:ascii="微软雅黑" w:hAnsi="微软雅黑" w:eastAsia="微软雅黑"/>
                <w:b w:val="0"/>
                <w:color w:val="E879C8"/>
                <w:sz w:val="19"/>
              </w:rPr>
              <w:t xml:space="preserve">编制日期　　</w:t>
            </w:r>
            <w:r>
              <w:rPr>
                <w:rFonts w:ascii="微软雅黑" w:hAnsi="微软雅黑" w:eastAsia="微软雅黑"/>
                <w:b w:val="0"/>
                <w:color w:val="FFFFFF"/>
                <w:sz w:val="19"/>
              </w:rPr>
              <w:t>20XX 年 XX 月 XX 日</w:t>
            </w:r>
          </w:p>
          <w:p>
            <w:pPr>
              <w:spacing w:before="0" w:after="60" w:line="312" w:lineRule="auto"/>
              <w:ind w:left="1247" w:right="1247"/>
              <w:pBdr>
                <w:bottom w:val="single" w:sz="4" w:space="4" w:color="3a2c52"/>
              </w:pBdr>
            </w:pPr>
            <w:r>
              <w:rPr>
                <w:rFonts w:ascii="微软雅黑" w:hAnsi="微软雅黑" w:eastAsia="微软雅黑"/>
                <w:b w:val="0"/>
                <w:color w:val="E879C8"/>
                <w:sz w:val="19"/>
              </w:rPr>
              <w:t xml:space="preserve">币种单位　　</w:t>
            </w:r>
            <w:r>
              <w:rPr>
                <w:rFonts w:ascii="微软雅黑" w:hAnsi="微软雅黑" w:eastAsia="微软雅黑"/>
                <w:b w:val="0"/>
                <w:color w:val="FFFFFF"/>
                <w:sz w:val="19"/>
              </w:rPr>
              <w:t>人民币元（除特别注明外）</w:t>
            </w:r>
          </w:p>
          <w:p>
            <w:pPr>
              <w:spacing w:before="200"/>
              <w:jc w:val="center"/>
            </w:pPr>
            <w:r>
              <w:rPr>
                <w:rFonts w:ascii="微软雅黑" w:hAnsi="微软雅黑" w:eastAsia="微软雅黑"/>
                <w:b w:val="0"/>
                <w:color w:val="9A92B8"/>
                <w:sz w:val="16"/>
              </w:rPr>
              <w:t>本文件包含敏感财务信息，未经授权不得复制、转发或对外披露 · 版权所有</w:t>
            </w:r>
          </w:p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120" w:after="160"/>
        <w:pBdr>
          <w:bottom w:val="single" w:sz="18" w:space="4" w:color="fb6a3c"/>
        </w:pBdr>
      </w:pPr>
      <w:r>
        <w:rPr>
          <w:rFonts w:ascii="微软雅黑" w:hAnsi="微软雅黑" w:eastAsia="微软雅黑"/>
          <w:b/>
          <w:color w:val="FFFFFF"/>
          <w:sz w:val="26"/>
          <w:shd w:val="clear" w:color="auto" w:fill="6d28d9"/>
        </w:rPr>
        <w:t xml:space="preserve">  目录  </w:t>
      </w:r>
      <w:r>
        <w:rPr>
          <w:rFonts w:ascii="微软雅黑" w:hAnsi="微软雅黑" w:eastAsia="微软雅黑"/>
          <w:b/>
          <w:color w:val="6D28D9"/>
          <w:sz w:val="32"/>
        </w:rPr>
        <w:t xml:space="preserve">  CONTENTS</w:t>
      </w:r>
    </w:p>
    <w:p>
      <w:pPr>
        <w:spacing w:after="40"/>
      </w:pPr>
      <w:r>
        <w:rPr>
          <w:rFonts w:ascii="微软雅黑" w:hAnsi="微软雅黑" w:eastAsia="微软雅黑"/>
          <w:b/>
          <w:color w:val="FB6A3C"/>
          <w:sz w:val="22"/>
        </w:rPr>
        <w:t xml:space="preserve">01  </w:t>
      </w:r>
      <w:r>
        <w:rPr>
          <w:rFonts w:ascii="微软雅黑" w:hAnsi="微软雅黑" w:eastAsia="微软雅黑"/>
          <w:b/>
          <w:color w:val="1C1630"/>
          <w:sz w:val="22"/>
        </w:rPr>
        <w:t>报告概述与编制说明</w:t>
      </w:r>
      <w:r>
        <w:rPr>
          <w:rFonts w:ascii="微软雅黑" w:hAnsi="微软雅黑" w:eastAsia="微软雅黑"/>
          <w:b w:val="0"/>
          <w:color w:val="5D5870"/>
          <w:sz w:val="20"/>
        </w:rPr>
        <w:t xml:space="preserve">   ……………………………  03</w:t>
      </w:r>
    </w:p>
    <w:p>
      <w:pPr>
        <w:spacing w:after="80"/>
        <w:ind w:left="440"/>
      </w:pPr>
      <w:r>
        <w:rPr>
          <w:rFonts w:ascii="微软雅黑" w:hAnsi="微软雅黑" w:eastAsia="微软雅黑"/>
          <w:b w:val="0"/>
          <w:color w:val="5D5870"/>
          <w:sz w:val="18"/>
        </w:rPr>
        <w:t>1.1 编制依据  1.2 报告范围与编制基础  1.3 重要提示</w:t>
      </w:r>
    </w:p>
    <w:p>
      <w:pPr>
        <w:spacing w:after="40"/>
      </w:pPr>
      <w:r>
        <w:rPr>
          <w:rFonts w:ascii="微软雅黑" w:hAnsi="微软雅黑" w:eastAsia="微软雅黑"/>
          <w:b/>
          <w:color w:val="FB6A3C"/>
          <w:sz w:val="22"/>
        </w:rPr>
        <w:t xml:space="preserve">02  </w:t>
      </w:r>
      <w:r>
        <w:rPr>
          <w:rFonts w:ascii="微软雅黑" w:hAnsi="微软雅黑" w:eastAsia="微软雅黑"/>
          <w:b/>
          <w:color w:val="1C1630"/>
          <w:sz w:val="22"/>
        </w:rPr>
        <w:t>公司基本情况与经营概览</w:t>
      </w:r>
      <w:r>
        <w:rPr>
          <w:rFonts w:ascii="微软雅黑" w:hAnsi="微软雅黑" w:eastAsia="微软雅黑"/>
          <w:b w:val="0"/>
          <w:color w:val="5D5870"/>
          <w:sz w:val="20"/>
        </w:rPr>
        <w:t xml:space="preserve">   ……………………………  04</w:t>
      </w:r>
    </w:p>
    <w:p>
      <w:pPr>
        <w:spacing w:after="80"/>
        <w:ind w:left="440"/>
      </w:pPr>
      <w:r>
        <w:rPr>
          <w:rFonts w:ascii="微软雅黑" w:hAnsi="微软雅黑" w:eastAsia="微软雅黑"/>
          <w:b w:val="0"/>
          <w:color w:val="5D5870"/>
          <w:sz w:val="18"/>
        </w:rPr>
        <w:t>2.1 公司基本信息  2.2 经营关键指标  2.3 经营业绩简评</w:t>
      </w:r>
    </w:p>
    <w:p>
      <w:pPr>
        <w:spacing w:after="40"/>
      </w:pPr>
      <w:r>
        <w:rPr>
          <w:rFonts w:ascii="微软雅黑" w:hAnsi="微软雅黑" w:eastAsia="微软雅黑"/>
          <w:b/>
          <w:color w:val="FB6A3C"/>
          <w:sz w:val="22"/>
        </w:rPr>
        <w:t xml:space="preserve">03  </w:t>
      </w:r>
      <w:r>
        <w:rPr>
          <w:rFonts w:ascii="微软雅黑" w:hAnsi="微软雅黑" w:eastAsia="微软雅黑"/>
          <w:b/>
          <w:color w:val="1C1630"/>
          <w:sz w:val="22"/>
        </w:rPr>
        <w:t>主要财务报表</w:t>
      </w:r>
      <w:r>
        <w:rPr>
          <w:rFonts w:ascii="微软雅黑" w:hAnsi="微软雅黑" w:eastAsia="微软雅黑"/>
          <w:b w:val="0"/>
          <w:color w:val="5D5870"/>
          <w:sz w:val="20"/>
        </w:rPr>
        <w:t xml:space="preserve">   ……………………………  05</w:t>
      </w:r>
    </w:p>
    <w:p>
      <w:pPr>
        <w:spacing w:after="80"/>
        <w:ind w:left="440"/>
      </w:pPr>
      <w:r>
        <w:rPr>
          <w:rFonts w:ascii="微软雅黑" w:hAnsi="微软雅黑" w:eastAsia="微软雅黑"/>
          <w:b w:val="0"/>
          <w:color w:val="5D5870"/>
          <w:sz w:val="18"/>
        </w:rPr>
        <w:t>3.1 资产负债表  3.2 利润表  3.3 现金流量表</w:t>
      </w:r>
    </w:p>
    <w:p>
      <w:pPr>
        <w:spacing w:after="40"/>
      </w:pPr>
      <w:r>
        <w:rPr>
          <w:rFonts w:ascii="微软雅黑" w:hAnsi="微软雅黑" w:eastAsia="微软雅黑"/>
          <w:b/>
          <w:color w:val="FB6A3C"/>
          <w:sz w:val="22"/>
        </w:rPr>
        <w:t xml:space="preserve">04  </w:t>
      </w:r>
      <w:r>
        <w:rPr>
          <w:rFonts w:ascii="微软雅黑" w:hAnsi="微软雅黑" w:eastAsia="微软雅黑"/>
          <w:b/>
          <w:color w:val="1C1630"/>
          <w:sz w:val="22"/>
        </w:rPr>
        <w:t>财务指标分析</w:t>
      </w:r>
      <w:r>
        <w:rPr>
          <w:rFonts w:ascii="微软雅黑" w:hAnsi="微软雅黑" w:eastAsia="微软雅黑"/>
          <w:b w:val="0"/>
          <w:color w:val="5D5870"/>
          <w:sz w:val="20"/>
        </w:rPr>
        <w:t xml:space="preserve">   ……………………………  08</w:t>
      </w:r>
    </w:p>
    <w:p>
      <w:pPr>
        <w:spacing w:after="80"/>
        <w:ind w:left="440"/>
      </w:pPr>
      <w:r>
        <w:rPr>
          <w:rFonts w:ascii="微软雅黑" w:hAnsi="微软雅黑" w:eastAsia="微软雅黑"/>
          <w:b w:val="0"/>
          <w:color w:val="5D5870"/>
          <w:sz w:val="18"/>
        </w:rPr>
        <w:t>4.1 偿债能力  4.2 营运能力  4.3 盈利能力  4.4 成长能力</w:t>
      </w:r>
    </w:p>
    <w:p>
      <w:pPr>
        <w:spacing w:after="40"/>
      </w:pPr>
      <w:r>
        <w:rPr>
          <w:rFonts w:ascii="微软雅黑" w:hAnsi="微软雅黑" w:eastAsia="微软雅黑"/>
          <w:b/>
          <w:color w:val="FB6A3C"/>
          <w:sz w:val="22"/>
        </w:rPr>
        <w:t xml:space="preserve">05  </w:t>
      </w:r>
      <w:r>
        <w:rPr>
          <w:rFonts w:ascii="微软雅黑" w:hAnsi="微软雅黑" w:eastAsia="微软雅黑"/>
          <w:b/>
          <w:color w:val="1C1630"/>
          <w:sz w:val="22"/>
        </w:rPr>
        <w:t>预算执行与差异分析</w:t>
      </w:r>
      <w:r>
        <w:rPr>
          <w:rFonts w:ascii="微软雅黑" w:hAnsi="微软雅黑" w:eastAsia="微软雅黑"/>
          <w:b w:val="0"/>
          <w:color w:val="5D5870"/>
          <w:sz w:val="20"/>
        </w:rPr>
        <w:t xml:space="preserve">   ……………………………  10</w:t>
      </w:r>
    </w:p>
    <w:p>
      <w:pPr>
        <w:spacing w:after="80"/>
        <w:ind w:left="440"/>
      </w:pPr>
      <w:r>
        <w:rPr>
          <w:rFonts w:ascii="微软雅黑" w:hAnsi="微软雅黑" w:eastAsia="微软雅黑"/>
          <w:b w:val="0"/>
          <w:color w:val="5D5870"/>
          <w:sz w:val="18"/>
        </w:rPr>
        <w:t>5.1 执行总览  5.2 重大差异原因分析</w:t>
      </w:r>
    </w:p>
    <w:p>
      <w:pPr>
        <w:spacing w:after="40"/>
      </w:pPr>
      <w:r>
        <w:rPr>
          <w:rFonts w:ascii="微软雅黑" w:hAnsi="微软雅黑" w:eastAsia="微软雅黑"/>
          <w:b/>
          <w:color w:val="FB6A3C"/>
          <w:sz w:val="22"/>
        </w:rPr>
        <w:t xml:space="preserve">06  </w:t>
      </w:r>
      <w:r>
        <w:rPr>
          <w:rFonts w:ascii="微软雅黑" w:hAnsi="微软雅黑" w:eastAsia="微软雅黑"/>
          <w:b/>
          <w:color w:val="1C1630"/>
          <w:sz w:val="22"/>
        </w:rPr>
        <w:t>财务报表附注（节选）</w:t>
      </w:r>
      <w:r>
        <w:rPr>
          <w:rFonts w:ascii="微软雅黑" w:hAnsi="微软雅黑" w:eastAsia="微软雅黑"/>
          <w:b w:val="0"/>
          <w:color w:val="5D5870"/>
          <w:sz w:val="20"/>
        </w:rPr>
        <w:t xml:space="preserve">   ……………………………  11</w:t>
      </w:r>
    </w:p>
    <w:p>
      <w:pPr>
        <w:spacing w:after="80"/>
        <w:ind w:left="440"/>
      </w:pPr>
      <w:r>
        <w:rPr>
          <w:rFonts w:ascii="微软雅黑" w:hAnsi="微软雅黑" w:eastAsia="微软雅黑"/>
          <w:b w:val="0"/>
          <w:color w:val="5D5870"/>
          <w:sz w:val="18"/>
        </w:rPr>
        <w:t>6.1 会计政策  6.2 科目明细  6.3 或有事项</w:t>
      </w:r>
    </w:p>
    <w:p>
      <w:pPr>
        <w:spacing w:after="40"/>
      </w:pPr>
      <w:r>
        <w:rPr>
          <w:rFonts w:ascii="微软雅黑" w:hAnsi="微软雅黑" w:eastAsia="微软雅黑"/>
          <w:b/>
          <w:color w:val="FB6A3C"/>
          <w:sz w:val="22"/>
        </w:rPr>
        <w:t xml:space="preserve">07  </w:t>
      </w:r>
      <w:r>
        <w:rPr>
          <w:rFonts w:ascii="微软雅黑" w:hAnsi="微软雅黑" w:eastAsia="微软雅黑"/>
          <w:b/>
          <w:color w:val="1C1630"/>
          <w:sz w:val="22"/>
        </w:rPr>
        <w:t>风险提示与管理建议</w:t>
      </w:r>
      <w:r>
        <w:rPr>
          <w:rFonts w:ascii="微软雅黑" w:hAnsi="微软雅黑" w:eastAsia="微软雅黑"/>
          <w:b w:val="0"/>
          <w:color w:val="5D5870"/>
          <w:sz w:val="20"/>
        </w:rPr>
        <w:t xml:space="preserve">   ……………………………  12</w:t>
      </w:r>
    </w:p>
    <w:p>
      <w:pPr>
        <w:spacing w:after="80"/>
        <w:ind w:left="440"/>
      </w:pPr>
      <w:r>
        <w:rPr>
          <w:rFonts w:ascii="微软雅黑" w:hAnsi="微软雅黑" w:eastAsia="微软雅黑"/>
          <w:b w:val="0"/>
          <w:color w:val="5D5870"/>
          <w:sz w:val="18"/>
        </w:rPr>
        <w:t>7.1 风险识别  7.2 评估矩阵  7.3 改进建议</w:t>
      </w:r>
    </w:p>
    <w:p>
      <w:pPr>
        <w:spacing w:after="40"/>
      </w:pPr>
      <w:r>
        <w:rPr>
          <w:rFonts w:ascii="微软雅黑" w:hAnsi="微软雅黑" w:eastAsia="微软雅黑"/>
          <w:b/>
          <w:color w:val="FB6A3C"/>
          <w:sz w:val="22"/>
        </w:rPr>
        <w:t xml:space="preserve">08  </w:t>
      </w:r>
      <w:r>
        <w:rPr>
          <w:rFonts w:ascii="微软雅黑" w:hAnsi="微软雅黑" w:eastAsia="微软雅黑"/>
          <w:b/>
          <w:color w:val="1C1630"/>
          <w:sz w:val="22"/>
        </w:rPr>
        <w:t>声明、签署与审批</w:t>
      </w:r>
      <w:r>
        <w:rPr>
          <w:rFonts w:ascii="微软雅黑" w:hAnsi="微软雅黑" w:eastAsia="微软雅黑"/>
          <w:b w:val="0"/>
          <w:color w:val="5D5870"/>
          <w:sz w:val="20"/>
        </w:rPr>
        <w:t xml:space="preserve">   ……………………………  13</w:t>
      </w:r>
    </w:p>
    <w:p>
      <w:pPr>
        <w:spacing w:after="80"/>
        <w:ind w:left="440"/>
      </w:pPr>
      <w:r>
        <w:rPr>
          <w:rFonts w:ascii="微软雅黑" w:hAnsi="微软雅黑" w:eastAsia="微软雅黑"/>
          <w:b w:val="0"/>
          <w:color w:val="5D5870"/>
          <w:sz w:val="18"/>
        </w:rPr>
        <w:t>8.1 责任声明  8.2 签署  8.3 审批记录  8.4 盖章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2ec"/>
            <w:tcBorders>
              <w:left w:val="single" w:sz="30" w:space="0" w:color="fb6a3c"/>
              <w:top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6D28D9"/>
                <w:sz w:val="20"/>
              </w:rPr>
              <w:t>使用说明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本文件为通用模板。所有以「［ ］」「XX」「示例数据」标注处均为占位内容，请在实际使用时替换为真实信息。表格结构、编号体系与层级样式可直接沿用。</w:t>
            </w:r>
          </w:p>
        </w:tc>
      </w:tr>
    </w:tbl>
    <w:p>
      <w:r>
        <w:br w:type="page"/>
      </w:r>
    </w:p>
    <w:p>
      <w:pPr>
        <w:spacing w:before="120" w:after="160"/>
        <w:pBdr>
          <w:bottom w:val="single" w:sz="18" w:space="4" w:color="fb6a3c"/>
        </w:pBdr>
      </w:pPr>
      <w:r>
        <w:rPr>
          <w:rFonts w:ascii="微软雅黑" w:hAnsi="微软雅黑" w:eastAsia="微软雅黑"/>
          <w:b/>
          <w:color w:val="FFFFFF"/>
          <w:sz w:val="26"/>
          <w:shd w:val="clear" w:color="auto" w:fill="6d28d9"/>
        </w:rPr>
        <w:t xml:space="preserve">  01  </w:t>
      </w:r>
      <w:r>
        <w:rPr>
          <w:rFonts w:ascii="微软雅黑" w:hAnsi="微软雅黑" w:eastAsia="微软雅黑"/>
          <w:b/>
          <w:color w:val="6D28D9"/>
          <w:sz w:val="32"/>
        </w:rPr>
        <w:t xml:space="preserve">  报告概述与编制说明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1.1 编制依据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本报告依据下列规范及制度编制，确保财务信息的真实、准确、完整：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6D28D9"/>
          <w:sz w:val="20"/>
        </w:rPr>
        <w:t xml:space="preserve">1. </w:t>
      </w:r>
      <w:r>
        <w:rPr>
          <w:rFonts w:ascii="微软雅黑" w:hAnsi="微软雅黑" w:eastAsia="微软雅黑"/>
          <w:b w:val="0"/>
          <w:color w:val="1C1630"/>
          <w:sz w:val="20"/>
        </w:rPr>
        <w:t>《中华人民共和国会计法》及相关法律法规；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6D28D9"/>
          <w:sz w:val="20"/>
        </w:rPr>
        <w:t xml:space="preserve">2. </w:t>
      </w:r>
      <w:r>
        <w:rPr>
          <w:rFonts w:ascii="微软雅黑" w:hAnsi="微软雅黑" w:eastAsia="微软雅黑"/>
          <w:b w:val="0"/>
          <w:color w:val="1C1630"/>
          <w:sz w:val="20"/>
        </w:rPr>
        <w:t>《企业会计准则——基本准则》及各项具体准则；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6D28D9"/>
          <w:sz w:val="20"/>
        </w:rPr>
        <w:t xml:space="preserve">3. </w:t>
      </w:r>
      <w:r>
        <w:rPr>
          <w:rFonts w:ascii="微软雅黑" w:hAnsi="微软雅黑" w:eastAsia="微软雅黑"/>
          <w:b w:val="0"/>
          <w:color w:val="1C1630"/>
          <w:sz w:val="20"/>
        </w:rPr>
        <w:t>财政部发布的会计准则应用指南与解释公告；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6D28D9"/>
          <w:sz w:val="20"/>
        </w:rPr>
        <w:t xml:space="preserve">4. </w:t>
      </w:r>
      <w:r>
        <w:rPr>
          <w:rFonts w:ascii="微软雅黑" w:hAnsi="微软雅黑" w:eastAsia="微软雅黑"/>
          <w:b w:val="0"/>
          <w:color w:val="1C1630"/>
          <w:sz w:val="20"/>
        </w:rPr>
        <w:t>本企业内部《财务管理制度》与《会计核算办法》。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1.2 报告范围与编制基础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1.2.1 合并范围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本报告涵盖母公司及其全部纳入合并范围的子公司财务数据。报告期内合并范围变动情况详见第六章附注说明。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1.2.2 编制基础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财务报表以持续经营为基础，按权责发生制原则，以历史成本为主要计量属性编制；部分金融工具、投资性房地产按公允价值计量。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1.2.3 报告期间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本报告期间为 20XX 年 1 月 1 日至 20XX 年 12 月 31 日，比较期间为上一会计年度。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1.3 重要提示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0ecfa"/>
            <w:tcBorders>
              <w:left w:val="single" w:sz="30" w:space="0" w:color="c026d3"/>
              <w:top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6D28D9"/>
                <w:sz w:val="20"/>
              </w:rPr>
              <w:t>真实性声明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本企业管理层及财务负责人保证本报告所载财务信息真实、准确、完整，不存在虚假记载、误导性陈述或重大遗漏，并对其承担相应法律责任。</w:t>
            </w:r>
          </w:p>
        </w:tc>
      </w:tr>
    </w:tbl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FB6A3C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C1630"/>
          <w:sz w:val="20"/>
        </w:rPr>
        <w:t>本报告数据除特别注明外，均以人民币元为单位列示；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FB6A3C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C1630"/>
          <w:sz w:val="20"/>
        </w:rPr>
        <w:t>部分合计数与各分项加总存在的尾差系四舍五入所致；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FB6A3C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C1630"/>
          <w:sz w:val="20"/>
        </w:rPr>
        <w:t>本报告涉及的前瞻性陈述不构成实质性承诺，投资者应注意风险。</w:t>
      </w:r>
    </w:p>
    <w:p>
      <w:r>
        <w:br w:type="page"/>
      </w:r>
    </w:p>
    <w:p>
      <w:pPr>
        <w:spacing w:before="120" w:after="160"/>
        <w:pBdr>
          <w:bottom w:val="single" w:sz="18" w:space="4" w:color="fb6a3c"/>
        </w:pBdr>
      </w:pPr>
      <w:r>
        <w:rPr>
          <w:rFonts w:ascii="微软雅黑" w:hAnsi="微软雅黑" w:eastAsia="微软雅黑"/>
          <w:b/>
          <w:color w:val="FFFFFF"/>
          <w:sz w:val="26"/>
          <w:shd w:val="clear" w:color="auto" w:fill="6d28d9"/>
        </w:rPr>
        <w:t xml:space="preserve">  02  </w:t>
      </w:r>
      <w:r>
        <w:rPr>
          <w:rFonts w:ascii="微软雅黑" w:hAnsi="微软雅黑" w:eastAsia="微软雅黑"/>
          <w:b/>
          <w:color w:val="6D28D9"/>
          <w:sz w:val="32"/>
        </w:rPr>
        <w:t xml:space="preserve">  公司基本情况与经营概览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2.1 公司基本信息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1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公司全称</w:t>
            </w:r>
          </w:p>
        </w:tc>
        <w:tc>
          <w:tcPr>
            <w:tcW w:type="dxa" w:w="283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［ 企业名称有限公司 ］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统一社会信用代码</w:t>
            </w:r>
          </w:p>
        </w:tc>
        <w:tc>
          <w:tcPr>
            <w:tcW w:type="dxa" w:w="255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91XXXXXXXXXXXXXXXX</w:t>
            </w:r>
          </w:p>
        </w:tc>
      </w:tr>
      <w:tr>
        <w:tc>
          <w:tcPr>
            <w:tcW w:type="dxa" w:w="181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法定代表人</w:t>
            </w:r>
          </w:p>
        </w:tc>
        <w:tc>
          <w:tcPr>
            <w:tcW w:type="dxa" w:w="283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XXX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注册资本</w:t>
            </w:r>
          </w:p>
        </w:tc>
        <w:tc>
          <w:tcPr>
            <w:tcW w:type="dxa" w:w="255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人民币 XX,XXX 万元</w:t>
            </w:r>
          </w:p>
        </w:tc>
      </w:tr>
      <w:tr>
        <w:tc>
          <w:tcPr>
            <w:tcW w:type="dxa" w:w="181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成立日期</w:t>
            </w:r>
          </w:p>
        </w:tc>
        <w:tc>
          <w:tcPr>
            <w:tcW w:type="dxa" w:w="283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20XX-XX-XX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所属行业</w:t>
            </w:r>
          </w:p>
        </w:tc>
        <w:tc>
          <w:tcPr>
            <w:tcW w:type="dxa" w:w="255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XX 制造 / 服务业</w:t>
            </w:r>
          </w:p>
        </w:tc>
      </w:tr>
      <w:tr>
        <w:tc>
          <w:tcPr>
            <w:tcW w:type="dxa" w:w="181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注册地址</w:t>
            </w:r>
          </w:p>
        </w:tc>
        <w:tc>
          <w:tcPr>
            <w:tcW w:type="dxa" w:w="2551"/>
            <w:gridSpan w:val="3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XX 省 XX 市 XX 区 XX 路 XX 号</w:t>
            </w:r>
          </w:p>
        </w:tc>
      </w:tr>
    </w:tbl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2.2 经营关键指标概览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4f9"/>
            <w:tcBorders>
              <w:top w:val="single" w:sz="24" w:space="0" w:color="6d28d9"/>
              <w:left w:val="single" w:sz="2" w:space="0" w:color="e4e1ee"/>
              <w:bottom w:val="single" w:sz="2" w:space="0" w:color="e4e1ee"/>
              <w:right w:val="single" w:sz="2" w:space="0" w:color="e4e1ee"/>
            </w:tcBorders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5D5870"/>
                <w:sz w:val="16"/>
              </w:rPr>
              <w:t>营业收入（万元）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6D28D9"/>
                <w:sz w:val="32"/>
              </w:rPr>
              <w:t>52,860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5333F"/>
                <w:sz w:val="17"/>
              </w:rPr>
              <w:t>▲ 12.4% 同比</w:t>
            </w:r>
          </w:p>
        </w:tc>
        <w:tc>
          <w:tcPr>
            <w:tcW w:type="dxa" w:w="3289"/>
            <w:shd w:val="clear" w:color="auto" w:fill="f5f4f9"/>
            <w:tcBorders>
              <w:top w:val="single" w:sz="24" w:space="0" w:color="6d28d9"/>
              <w:left w:val="single" w:sz="2" w:space="0" w:color="e4e1ee"/>
              <w:bottom w:val="single" w:sz="2" w:space="0" w:color="e4e1ee"/>
              <w:right w:val="single" w:sz="2" w:space="0" w:color="e4e1ee"/>
            </w:tcBorders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5D5870"/>
                <w:sz w:val="16"/>
              </w:rPr>
              <w:t>净利润（万元）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6D28D9"/>
                <w:sz w:val="32"/>
              </w:rPr>
              <w:t>6,420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5333F"/>
                <w:sz w:val="17"/>
              </w:rPr>
              <w:t>▲ 8.7% 同比</w:t>
            </w:r>
          </w:p>
        </w:tc>
        <w:tc>
          <w:tcPr>
            <w:tcW w:type="dxa" w:w="3289"/>
            <w:shd w:val="clear" w:color="auto" w:fill="f5f4f9"/>
            <w:tcBorders>
              <w:top w:val="single" w:sz="24" w:space="0" w:color="6d28d9"/>
              <w:left w:val="single" w:sz="2" w:space="0" w:color="e4e1ee"/>
              <w:bottom w:val="single" w:sz="2" w:space="0" w:color="e4e1ee"/>
              <w:right w:val="single" w:sz="2" w:space="0" w:color="e4e1ee"/>
            </w:tcBorders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5D5870"/>
                <w:sz w:val="16"/>
              </w:rPr>
              <w:t>毛利率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6D28D9"/>
                <w:sz w:val="32"/>
              </w:rPr>
              <w:t>31.2%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6A34A"/>
                <w:sz w:val="17"/>
              </w:rPr>
              <w:t>▼ 0.9pct</w:t>
            </w:r>
          </w:p>
        </w:tc>
      </w:tr>
    </w:tbl>
    <w:p>
      <w:pPr>
        <w:spacing w:before="0" w:after="40" w:line="360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4f9"/>
            <w:tcBorders>
              <w:top w:val="single" w:sz="24" w:space="0" w:color="6d28d9"/>
              <w:left w:val="single" w:sz="2" w:space="0" w:color="e4e1ee"/>
              <w:bottom w:val="single" w:sz="2" w:space="0" w:color="e4e1ee"/>
              <w:right w:val="single" w:sz="2" w:space="0" w:color="e4e1ee"/>
            </w:tcBorders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5D5870"/>
                <w:sz w:val="16"/>
              </w:rPr>
              <w:t>总资产（万元）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6D28D9"/>
                <w:sz w:val="32"/>
              </w:rPr>
              <w:t>98,750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5333F"/>
                <w:sz w:val="17"/>
              </w:rPr>
              <w:t>▲ 6.1%</w:t>
            </w:r>
          </w:p>
        </w:tc>
        <w:tc>
          <w:tcPr>
            <w:tcW w:type="dxa" w:w="3289"/>
            <w:shd w:val="clear" w:color="auto" w:fill="f5f4f9"/>
            <w:tcBorders>
              <w:top w:val="single" w:sz="24" w:space="0" w:color="6d28d9"/>
              <w:left w:val="single" w:sz="2" w:space="0" w:color="e4e1ee"/>
              <w:bottom w:val="single" w:sz="2" w:space="0" w:color="e4e1ee"/>
              <w:right w:val="single" w:sz="2" w:space="0" w:color="e4e1ee"/>
            </w:tcBorders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5D5870"/>
                <w:sz w:val="16"/>
              </w:rPr>
              <w:t>资产负债率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6D28D9"/>
                <w:sz w:val="32"/>
              </w:rPr>
              <w:t>45.8%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6A34A"/>
                <w:sz w:val="17"/>
              </w:rPr>
              <w:t>▼ 2.3pct</w:t>
            </w:r>
          </w:p>
        </w:tc>
        <w:tc>
          <w:tcPr>
            <w:tcW w:type="dxa" w:w="3289"/>
            <w:shd w:val="clear" w:color="auto" w:fill="f5f4f9"/>
            <w:tcBorders>
              <w:top w:val="single" w:sz="24" w:space="0" w:color="6d28d9"/>
              <w:left w:val="single" w:sz="2" w:space="0" w:color="e4e1ee"/>
              <w:bottom w:val="single" w:sz="2" w:space="0" w:color="e4e1ee"/>
              <w:right w:val="single" w:sz="2" w:space="0" w:color="e4e1ee"/>
            </w:tcBorders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5D5870"/>
                <w:sz w:val="16"/>
              </w:rPr>
              <w:t>净资产收益率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6D28D9"/>
                <w:sz w:val="32"/>
              </w:rPr>
              <w:t>11.9%</w:t>
            </w:r>
          </w:p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5333F"/>
                <w:sz w:val="17"/>
              </w:rPr>
              <w:t>▲ 0.6pct</w:t>
            </w:r>
          </w:p>
        </w:tc>
      </w:tr>
    </w:tbl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2.3 经营业绩简评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5D5870"/>
          <w:sz w:val="20"/>
        </w:rPr>
        <w:t>报告期内，公司紧扣年度经营目标，主营业务规模稳步扩张。营业收入实现两位数增长，主要得益于核心产品销量提升与新市场开拓；净利润同步增长但增速略低于收入，反映原材料成本及费用端存在一定压力。整体财务结构保持稳健，资产负债率持续优化，偿债能力与流动性处于合理区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2ec"/>
            <w:tcBorders>
              <w:left w:val="single" w:sz="30" w:space="0" w:color="fb6a3c"/>
              <w:top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6D28D9"/>
                <w:sz w:val="20"/>
              </w:rPr>
              <w:t>管理层观点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在收入端保持增长的同时，需重点关注毛利率小幅下滑的趋势，强化成本管控与产品结构优化，以巩固盈利质量。</w:t>
            </w:r>
          </w:p>
        </w:tc>
      </w:tr>
    </w:tbl>
    <w:p>
      <w:r>
        <w:br w:type="page"/>
      </w:r>
    </w:p>
    <w:p>
      <w:pPr>
        <w:spacing w:before="120" w:after="160"/>
        <w:pBdr>
          <w:bottom w:val="single" w:sz="18" w:space="4" w:color="fb6a3c"/>
        </w:pBdr>
      </w:pPr>
      <w:r>
        <w:rPr>
          <w:rFonts w:ascii="微软雅黑" w:hAnsi="微软雅黑" w:eastAsia="微软雅黑"/>
          <w:b/>
          <w:color w:val="FFFFFF"/>
          <w:sz w:val="26"/>
          <w:shd w:val="clear" w:color="auto" w:fill="6d28d9"/>
        </w:rPr>
        <w:t xml:space="preserve">  03  </w:t>
      </w:r>
      <w:r>
        <w:rPr>
          <w:rFonts w:ascii="微软雅黑" w:hAnsi="微软雅黑" w:eastAsia="微软雅黑"/>
          <w:b/>
          <w:color w:val="6D28D9"/>
          <w:sz w:val="32"/>
        </w:rPr>
        <w:t xml:space="preserve">  主要财务报表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3.1 资产负债表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3.1.1 资产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3-1  </w:t>
      </w:r>
      <w:r>
        <w:rPr>
          <w:rFonts w:ascii="微软雅黑" w:hAnsi="微软雅黑" w:eastAsia="微软雅黑"/>
          <w:b w:val="0"/>
          <w:color w:val="5D5870"/>
          <w:sz w:val="18"/>
        </w:rPr>
        <w:t>合并资产负债表（节选）  单位：万元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685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87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期末余额</w:t>
            </w:r>
          </w:p>
        </w:tc>
        <w:tc>
          <w:tcPr>
            <w:tcW w:type="dxa" w:w="187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年初余额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变动率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流动资产合计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46,820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43,150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5333F"/>
                <w:sz w:val="18"/>
              </w:rPr>
              <w:t>8.5%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货币资金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12,360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10,980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12.6%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应收账款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15,240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14,820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2.8%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存货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16,420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14,860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10.5%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其他流动资产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2,800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2,490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12.4%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非流动资产合计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51,930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49,920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5333F"/>
                <w:sz w:val="18"/>
              </w:rPr>
              <w:t>4.0%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固定资产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38,620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37,540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2.9%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无形资产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8,310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7,980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4.1%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长期股权投资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5,000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4,400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13.6%</w:t>
            </w:r>
          </w:p>
        </w:tc>
      </w:tr>
      <w:tr>
        <w:tc>
          <w:tcPr>
            <w:tcW w:type="dxa" w:w="3685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资产总计</w:t>
            </w:r>
          </w:p>
        </w:tc>
        <w:tc>
          <w:tcPr>
            <w:tcW w:type="dxa" w:w="187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98,750</w:t>
            </w:r>
          </w:p>
        </w:tc>
        <w:tc>
          <w:tcPr>
            <w:tcW w:type="dxa" w:w="187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93,070</w:t>
            </w:r>
          </w:p>
        </w:tc>
        <w:tc>
          <w:tcPr>
            <w:tcW w:type="dxa" w:w="170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6.1%</w:t>
            </w:r>
          </w:p>
        </w:tc>
      </w:tr>
    </w:tbl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3.1.2 负债及所有者权益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3-2  </w:t>
      </w:r>
      <w:r>
        <w:rPr>
          <w:rFonts w:ascii="微软雅黑" w:hAnsi="微软雅黑" w:eastAsia="微软雅黑"/>
          <w:b w:val="0"/>
          <w:color w:val="5D5870"/>
          <w:sz w:val="18"/>
        </w:rPr>
        <w:t>负债及所有者权益（节选）  单位：万元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685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87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期末余额</w:t>
            </w:r>
          </w:p>
        </w:tc>
        <w:tc>
          <w:tcPr>
            <w:tcW w:type="dxa" w:w="187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年初余额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变动率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流动负债合计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32,140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33,560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-4.2%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短期借款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8,000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9,500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-15.8%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应付账款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14,260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14,060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1.4%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其他流动负债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9,880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10,000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-1.2%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非流动负债合计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13,100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13,940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-6.0%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长期借款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13,100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13,940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-6.0%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负债合计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45,240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47,500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-4.8%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所有者权益合计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53,510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45,570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5333F"/>
                <w:sz w:val="18"/>
              </w:rPr>
              <w:t>17.4%</w:t>
            </w:r>
          </w:p>
        </w:tc>
      </w:tr>
      <w:tr>
        <w:tc>
          <w:tcPr>
            <w:tcW w:type="dxa" w:w="3685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负债和所有者权益总计</w:t>
            </w:r>
          </w:p>
        </w:tc>
        <w:tc>
          <w:tcPr>
            <w:tcW w:type="dxa" w:w="187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98,750</w:t>
            </w:r>
          </w:p>
        </w:tc>
        <w:tc>
          <w:tcPr>
            <w:tcW w:type="dxa" w:w="187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93,070</w:t>
            </w:r>
          </w:p>
        </w:tc>
        <w:tc>
          <w:tcPr>
            <w:tcW w:type="dxa" w:w="170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6.1%</w:t>
            </w:r>
          </w:p>
        </w:tc>
      </w:tr>
    </w:tbl>
    <w:p>
      <w:pPr>
        <w:spacing w:before="0" w:after="80" w:line="360" w:lineRule="auto"/>
        <w:jc w:val="left"/>
      </w:pPr>
      <w:r>
        <w:rPr>
          <w:rFonts w:ascii="微软雅黑" w:hAnsi="微软雅黑" w:eastAsia="微软雅黑"/>
          <w:b w:val="0"/>
          <w:color w:val="5D5870"/>
          <w:sz w:val="18"/>
        </w:rPr>
        <w:t>注①：本表数据已经审计，与申报口径一致。　注②：变动率＝（期末－年初）÷ 年初 × 100%。</w:t>
      </w:r>
    </w:p>
    <w:p>
      <w:r>
        <w:br w:type="page"/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3.2 利润表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3-3  </w:t>
      </w:r>
      <w:r>
        <w:rPr>
          <w:rFonts w:ascii="微软雅黑" w:hAnsi="微软雅黑" w:eastAsia="微软雅黑"/>
          <w:b w:val="0"/>
          <w:color w:val="5D5870"/>
          <w:sz w:val="18"/>
        </w:rPr>
        <w:t>合并利润表  单位：万元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685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87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本期金额</w:t>
            </w:r>
          </w:p>
        </w:tc>
        <w:tc>
          <w:tcPr>
            <w:tcW w:type="dxa" w:w="187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上期金额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一、营业总收入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52,860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47,030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5333F"/>
                <w:sz w:val="18"/>
              </w:rPr>
              <w:t>12.4%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其中：营业收入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52,860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47,030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12.4%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二、营业总成本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45,180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40,360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5333F"/>
                <w:sz w:val="18"/>
              </w:rPr>
              <w:t>11.9%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营业成本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36,370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32,180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13.0%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销售费用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3,420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3,180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7.5%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管理费用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3,180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2,960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7.4%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研发费用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1,580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1,420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11.3%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财务费用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630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620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1.6%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三、营业利润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7,680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6,670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5333F"/>
                <w:sz w:val="18"/>
              </w:rPr>
              <w:t>15.1%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加：营业外收入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180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150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20.0%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减：营业外支出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120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110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9.1%</w:t>
            </w:r>
          </w:p>
        </w:tc>
      </w:tr>
      <w:tr>
        <w:tc>
          <w:tcPr>
            <w:tcW w:type="dxa" w:w="3685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四、利润总额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7,740</w:t>
            </w:r>
          </w:p>
        </w:tc>
        <w:tc>
          <w:tcPr>
            <w:tcW w:type="dxa" w:w="187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6,710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5333F"/>
                <w:sz w:val="18"/>
              </w:rPr>
              <w:t>15.4%</w:t>
            </w:r>
          </w:p>
        </w:tc>
      </w:tr>
      <w:tr>
        <w:tc>
          <w:tcPr>
            <w:tcW w:type="dxa" w:w="368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减：所得税费用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1,320</w:t>
            </w:r>
          </w:p>
        </w:tc>
        <w:tc>
          <w:tcPr>
            <w:tcW w:type="dxa" w:w="187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1,205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9.5%</w:t>
            </w:r>
          </w:p>
        </w:tc>
      </w:tr>
      <w:tr>
        <w:tc>
          <w:tcPr>
            <w:tcW w:type="dxa" w:w="3685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五、净利润</w:t>
            </w:r>
          </w:p>
        </w:tc>
        <w:tc>
          <w:tcPr>
            <w:tcW w:type="dxa" w:w="187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6,420</w:t>
            </w:r>
          </w:p>
        </w:tc>
        <w:tc>
          <w:tcPr>
            <w:tcW w:type="dxa" w:w="187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5,505</w:t>
            </w:r>
          </w:p>
        </w:tc>
        <w:tc>
          <w:tcPr>
            <w:tcW w:type="dxa" w:w="170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16.6%</w:t>
            </w:r>
          </w:p>
        </w:tc>
      </w:tr>
    </w:tbl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3.2.1 成本费用结构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报告期营业成本占营业收入比重为 68.8%，较上年上升 0.4 个百分点；三项期间费用（销售、管理、财务）合计占比 13.7%，整体保持稳定。研发费用持续投入，占收入比重 3.0%，体现公司对创新能力的重视。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3-4  </w:t>
      </w:r>
      <w:r>
        <w:rPr>
          <w:rFonts w:ascii="微软雅黑" w:hAnsi="微软雅黑" w:eastAsia="微软雅黑"/>
          <w:b w:val="0"/>
          <w:color w:val="5D5870"/>
          <w:sz w:val="18"/>
        </w:rPr>
        <w:t>主要成本费用占收入比重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984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占收入比重</w:t>
            </w:r>
          </w:p>
        </w:tc>
        <w:tc>
          <w:tcPr>
            <w:tcW w:type="dxa" w:w="4252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结构占比</w:t>
            </w:r>
          </w:p>
        </w:tc>
      </w:tr>
      <w:tr>
        <w:tc>
          <w:tcPr>
            <w:tcW w:type="dxa" w:w="283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营业成本</w:t>
            </w:r>
          </w:p>
        </w:tc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68.8%</w:t>
            </w:r>
          </w:p>
        </w:tc>
        <w:tc>
          <w:tcPr>
            <w:tcW w:type="dxa" w:w="4252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███████████████░░░░░</w:t>
            </w:r>
          </w:p>
        </w:tc>
      </w:tr>
      <w:tr>
        <w:tc>
          <w:tcPr>
            <w:tcW w:type="dxa" w:w="2835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销售费用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6.5%</w:t>
            </w:r>
          </w:p>
        </w:tc>
        <w:tc>
          <w:tcPr>
            <w:tcW w:type="dxa" w:w="4252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██░░░░░░░░░░░░░░░░░░░</w:t>
            </w:r>
          </w:p>
        </w:tc>
      </w:tr>
      <w:tr>
        <w:tc>
          <w:tcPr>
            <w:tcW w:type="dxa" w:w="283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管理费用</w:t>
            </w:r>
          </w:p>
        </w:tc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6.0%</w:t>
            </w:r>
          </w:p>
        </w:tc>
        <w:tc>
          <w:tcPr>
            <w:tcW w:type="dxa" w:w="4252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██░░░░░░░░░░░░░░░░░░░</w:t>
            </w:r>
          </w:p>
        </w:tc>
      </w:tr>
      <w:tr>
        <w:tc>
          <w:tcPr>
            <w:tcW w:type="dxa" w:w="2835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研发费用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3.0%</w:t>
            </w:r>
          </w:p>
        </w:tc>
        <w:tc>
          <w:tcPr>
            <w:tcW w:type="dxa" w:w="4252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█░░░░░░░░░░░░░░░░░░░░</w:t>
            </w:r>
          </w:p>
        </w:tc>
      </w:tr>
    </w:tbl>
    <w:p>
      <w:r>
        <w:br w:type="page"/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3.3 现金流量表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3-5  </w:t>
      </w:r>
      <w:r>
        <w:rPr>
          <w:rFonts w:ascii="微软雅黑" w:hAnsi="微软雅黑" w:eastAsia="微软雅黑"/>
          <w:b w:val="0"/>
          <w:color w:val="5D5870"/>
          <w:sz w:val="18"/>
        </w:rPr>
        <w:t>合并现金流量表（节选）  单位：万元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819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本期金额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上期金额</w:t>
            </w:r>
          </w:p>
        </w:tc>
      </w:tr>
      <w:tr>
        <w:tc>
          <w:tcPr>
            <w:tcW w:type="dxa" w:w="4819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一、经营活动产生的现金流量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</w:r>
          </w:p>
        </w:tc>
      </w:tr>
      <w:tr>
        <w:tc>
          <w:tcPr>
            <w:tcW w:type="dxa" w:w="481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销售商品、提供劳务收到的现金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54,200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48,600</w:t>
            </w:r>
          </w:p>
        </w:tc>
      </w:tr>
      <w:tr>
        <w:tc>
          <w:tcPr>
            <w:tcW w:type="dxa" w:w="481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购买商品、接受劳务支付的现金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-38,400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-34,200</w:t>
            </w:r>
          </w:p>
        </w:tc>
      </w:tr>
      <w:tr>
        <w:tc>
          <w:tcPr>
            <w:tcW w:type="dxa" w:w="481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支付给职工及为职工支付的现金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-6,800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-6,200</w:t>
            </w:r>
          </w:p>
        </w:tc>
      </w:tr>
      <w:tr>
        <w:tc>
          <w:tcPr>
            <w:tcW w:type="dxa" w:w="481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支付的各项税费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-2,900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-2,600</w:t>
            </w:r>
          </w:p>
        </w:tc>
      </w:tr>
      <w:tr>
        <w:tc>
          <w:tcPr>
            <w:tcW w:type="dxa" w:w="4819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经营活动现金流量净额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6,100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5,600</w:t>
            </w:r>
          </w:p>
        </w:tc>
      </w:tr>
      <w:tr>
        <w:tc>
          <w:tcPr>
            <w:tcW w:type="dxa" w:w="4819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二、投资活动产生的现金流量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</w:r>
          </w:p>
        </w:tc>
      </w:tr>
      <w:tr>
        <w:tc>
          <w:tcPr>
            <w:tcW w:type="dxa" w:w="481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购建固定、无形等长期资产支付的现金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-4,200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-3,800</w:t>
            </w:r>
          </w:p>
        </w:tc>
      </w:tr>
      <w:tr>
        <w:tc>
          <w:tcPr>
            <w:tcW w:type="dxa" w:w="481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收回投资及取得投资收益收到的现金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900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700</w:t>
            </w:r>
          </w:p>
        </w:tc>
      </w:tr>
      <w:tr>
        <w:tc>
          <w:tcPr>
            <w:tcW w:type="dxa" w:w="4819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投资活动现金流量净额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-3,300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-3,100</w:t>
            </w:r>
          </w:p>
        </w:tc>
      </w:tr>
      <w:tr>
        <w:tc>
          <w:tcPr>
            <w:tcW w:type="dxa" w:w="4819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三、筹资活动产生的现金流量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</w:r>
          </w:p>
        </w:tc>
      </w:tr>
      <w:tr>
        <w:tc>
          <w:tcPr>
            <w:tcW w:type="dxa" w:w="481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取得 / 偿还借款净额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-2,300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-1,500</w:t>
            </w:r>
          </w:p>
        </w:tc>
      </w:tr>
      <w:tr>
        <w:tc>
          <w:tcPr>
            <w:tcW w:type="dxa" w:w="481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    分配股利、利润支付的现金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-1,120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-900</w:t>
            </w:r>
          </w:p>
        </w:tc>
      </w:tr>
      <w:tr>
        <w:tc>
          <w:tcPr>
            <w:tcW w:type="dxa" w:w="4819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筹资活动现金流量净额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-3,420</w:t>
            </w:r>
          </w:p>
        </w:tc>
        <w:tc>
          <w:tcPr>
            <w:tcW w:type="dxa" w:w="1701"/>
            <w:shd w:val="clear" w:color="auto" w:fill="f0ecfa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C1630"/>
                <w:sz w:val="18"/>
              </w:rPr>
              <w:t>-2,400</w:t>
            </w:r>
          </w:p>
        </w:tc>
      </w:tr>
      <w:tr>
        <w:tc>
          <w:tcPr>
            <w:tcW w:type="dxa" w:w="4819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四、现金及现金等价物净增加额</w:t>
            </w:r>
          </w:p>
        </w:tc>
        <w:tc>
          <w:tcPr>
            <w:tcW w:type="dxa" w:w="170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-620</w:t>
            </w:r>
          </w:p>
        </w:tc>
        <w:tc>
          <w:tcPr>
            <w:tcW w:type="dxa" w:w="170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100</w:t>
            </w:r>
          </w:p>
        </w:tc>
      </w:tr>
    </w:tbl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3.3.1 现金流量质量分析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报告期经营活动现金流量净额为 6,100 万元，与净利润 6,420 万元基本匹配，现金含量（经营净现金流／净利润）约为 0.95，盈利质量良好。投资活动净流出主要用于产能扩张与技术升级；筹资活动净流出反映公司主动降低杠杆、回报股东的财务策略。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0ecfa"/>
            <w:tcBorders>
              <w:left w:val="single" w:sz="30" w:space="0" w:color="c026d3"/>
              <w:top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6D28D9"/>
                <w:sz w:val="20"/>
              </w:rPr>
              <w:t>关注点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现金及现金等价物净增加额为负，主要受偿债与投资支出影响。建议持续关注资金调度，确保流动性安全垫充足。</w:t>
            </w:r>
          </w:p>
        </w:tc>
      </w:tr>
    </w:tbl>
    <w:p>
      <w:r>
        <w:br w:type="page"/>
      </w:r>
    </w:p>
    <w:p>
      <w:pPr>
        <w:spacing w:before="120" w:after="160"/>
        <w:pBdr>
          <w:bottom w:val="single" w:sz="18" w:space="4" w:color="fb6a3c"/>
        </w:pBdr>
      </w:pPr>
      <w:r>
        <w:rPr>
          <w:rFonts w:ascii="微软雅黑" w:hAnsi="微软雅黑" w:eastAsia="微软雅黑"/>
          <w:b/>
          <w:color w:val="FFFFFF"/>
          <w:sz w:val="26"/>
          <w:shd w:val="clear" w:color="auto" w:fill="6d28d9"/>
        </w:rPr>
        <w:t xml:space="preserve">  04  </w:t>
      </w:r>
      <w:r>
        <w:rPr>
          <w:rFonts w:ascii="微软雅黑" w:hAnsi="微软雅黑" w:eastAsia="微软雅黑"/>
          <w:b/>
          <w:color w:val="6D28D9"/>
          <w:sz w:val="32"/>
        </w:rPr>
        <w:t xml:space="preserve">  财务指标分析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4.1 偿债能力分析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4-1  </w:t>
      </w:r>
      <w:r>
        <w:rPr>
          <w:rFonts w:ascii="微软雅黑" w:hAnsi="微软雅黑" w:eastAsia="微软雅黑"/>
          <w:b w:val="0"/>
          <w:color w:val="5D5870"/>
          <w:sz w:val="18"/>
        </w:rPr>
        <w:t>偿债能力指标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55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417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本期</w:t>
            </w:r>
          </w:p>
        </w:tc>
        <w:tc>
          <w:tcPr>
            <w:tcW w:type="dxa" w:w="1417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上期</w:t>
            </w:r>
          </w:p>
        </w:tc>
        <w:tc>
          <w:tcPr>
            <w:tcW w:type="dxa" w:w="1587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行业均值</w:t>
            </w:r>
          </w:p>
        </w:tc>
        <w:tc>
          <w:tcPr>
            <w:tcW w:type="dxa" w:w="1417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255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流动比率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1.46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1.29</w:t>
            </w:r>
          </w:p>
        </w:tc>
        <w:tc>
          <w:tcPr>
            <w:tcW w:type="dxa" w:w="158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1.50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合理</w:t>
            </w:r>
          </w:p>
        </w:tc>
      </w:tr>
      <w:tr>
        <w:tc>
          <w:tcPr>
            <w:tcW w:type="dxa" w:w="255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速动比率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0.95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0.84</w:t>
            </w:r>
          </w:p>
        </w:tc>
        <w:tc>
          <w:tcPr>
            <w:tcW w:type="dxa" w:w="158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1.00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偏紧</w:t>
            </w:r>
          </w:p>
        </w:tc>
      </w:tr>
      <w:tr>
        <w:tc>
          <w:tcPr>
            <w:tcW w:type="dxa" w:w="255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资产负债率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45.8%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51.0%</w:t>
            </w:r>
          </w:p>
        </w:tc>
        <w:tc>
          <w:tcPr>
            <w:tcW w:type="dxa" w:w="158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48.0%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优</w:t>
            </w:r>
          </w:p>
        </w:tc>
      </w:tr>
      <w:tr>
        <w:tc>
          <w:tcPr>
            <w:tcW w:type="dxa" w:w="255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利息保障倍数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13.3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11.8</w:t>
            </w:r>
          </w:p>
        </w:tc>
        <w:tc>
          <w:tcPr>
            <w:tcW w:type="dxa" w:w="158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8.0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优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公司短期偿债能力较上年明显改善，资产负债率低于行业均值，长期偿债能力稳健；速动比率略低于 1，建议适度优化存货周转以增强即时偿付能力。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4.2 营运能力分析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4-2  </w:t>
      </w:r>
      <w:r>
        <w:rPr>
          <w:rFonts w:ascii="微软雅黑" w:hAnsi="微软雅黑" w:eastAsia="微软雅黑"/>
          <w:b w:val="0"/>
          <w:color w:val="5D5870"/>
          <w:sz w:val="18"/>
        </w:rPr>
        <w:t>营运能力指标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402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本期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上期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变动</w:t>
            </w:r>
          </w:p>
        </w:tc>
      </w:tr>
      <w:tr>
        <w:tc>
          <w:tcPr>
            <w:tcW w:type="dxa" w:w="3402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应收账款周转率（次）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3.52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3.30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+0.22</w:t>
            </w:r>
          </w:p>
        </w:tc>
      </w:tr>
      <w:tr>
        <w:tc>
          <w:tcPr>
            <w:tcW w:type="dxa" w:w="3402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存货周转率（次）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2.33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2.25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+0.08</w:t>
            </w:r>
          </w:p>
        </w:tc>
      </w:tr>
      <w:tr>
        <w:tc>
          <w:tcPr>
            <w:tcW w:type="dxa" w:w="3402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总资产周转率（次）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0.55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0.52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+0.03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各项周转效率均有提升，应收账款回款与资产运营效率优化，反映公司营运管理能力增强。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4.3 盈利能力分析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4-3  </w:t>
      </w:r>
      <w:r>
        <w:rPr>
          <w:rFonts w:ascii="微软雅黑" w:hAnsi="微软雅黑" w:eastAsia="微软雅黑"/>
          <w:b w:val="0"/>
          <w:color w:val="5D5870"/>
          <w:sz w:val="18"/>
        </w:rPr>
        <w:t>盈利能力指标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402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本期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上期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变动</w:t>
            </w:r>
          </w:p>
        </w:tc>
      </w:tr>
      <w:tr>
        <w:tc>
          <w:tcPr>
            <w:tcW w:type="dxa" w:w="3402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销售毛利率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31.2%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32.1%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-0.9pct</w:t>
            </w:r>
          </w:p>
        </w:tc>
      </w:tr>
      <w:tr>
        <w:tc>
          <w:tcPr>
            <w:tcW w:type="dxa" w:w="3402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销售净利率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12.1%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11.7%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+0.4pct</w:t>
            </w:r>
          </w:p>
        </w:tc>
      </w:tr>
      <w:tr>
        <w:tc>
          <w:tcPr>
            <w:tcW w:type="dxa" w:w="3402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净资产收益率（ROE）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11.9%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11.3%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+0.6pct</w:t>
            </w:r>
          </w:p>
        </w:tc>
      </w:tr>
      <w:tr>
        <w:tc>
          <w:tcPr>
            <w:tcW w:type="dxa" w:w="3402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总资产报酬率（ROA）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7.8%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7.2%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+0.6pct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毛利率小幅下滑但净利率回升，主要因费用管控见效、规模效应释放。ROE 与 ROA 双双提升，股东回报与资产效益持续向好。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4.4 成长能力分析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4-4  </w:t>
      </w:r>
      <w:r>
        <w:rPr>
          <w:rFonts w:ascii="微软雅黑" w:hAnsi="微软雅黑" w:eastAsia="微软雅黑"/>
          <w:b w:val="0"/>
          <w:color w:val="5D5870"/>
          <w:sz w:val="18"/>
        </w:rPr>
        <w:t>成长能力指标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969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本期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上期</w:t>
            </w:r>
          </w:p>
        </w:tc>
      </w:tr>
      <w:tr>
        <w:tc>
          <w:tcPr>
            <w:tcW w:type="dxa" w:w="396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营业收入增长率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12.4%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9.8%</w:t>
            </w:r>
          </w:p>
        </w:tc>
      </w:tr>
      <w:tr>
        <w:tc>
          <w:tcPr>
            <w:tcW w:type="dxa" w:w="3969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净利润增长率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16.6%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10.2%</w:t>
            </w:r>
          </w:p>
        </w:tc>
      </w:tr>
      <w:tr>
        <w:tc>
          <w:tcPr>
            <w:tcW w:type="dxa" w:w="396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总资产增长率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6.1%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5.4%</w:t>
            </w:r>
          </w:p>
        </w:tc>
      </w:tr>
      <w:tr>
        <w:tc>
          <w:tcPr>
            <w:tcW w:type="dxa" w:w="3969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净资产增长率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17.4%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9.1%</w:t>
            </w:r>
          </w:p>
        </w:tc>
      </w:tr>
    </w:tbl>
    <w:p>
      <w:r>
        <w:br w:type="page"/>
      </w:r>
    </w:p>
    <w:p>
      <w:pPr>
        <w:spacing w:before="120" w:after="160"/>
        <w:pBdr>
          <w:bottom w:val="single" w:sz="18" w:space="4" w:color="fb6a3c"/>
        </w:pBdr>
      </w:pPr>
      <w:r>
        <w:rPr>
          <w:rFonts w:ascii="微软雅黑" w:hAnsi="微软雅黑" w:eastAsia="微软雅黑"/>
          <w:b/>
          <w:color w:val="FFFFFF"/>
          <w:sz w:val="26"/>
          <w:shd w:val="clear" w:color="auto" w:fill="6d28d9"/>
        </w:rPr>
        <w:t xml:space="preserve">  05  </w:t>
      </w:r>
      <w:r>
        <w:rPr>
          <w:rFonts w:ascii="微软雅黑" w:hAnsi="微软雅黑" w:eastAsia="微软雅黑"/>
          <w:b/>
          <w:color w:val="6D28D9"/>
          <w:sz w:val="32"/>
        </w:rPr>
        <w:t xml:space="preserve">  预算执行与差异分析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5.1 预算执行情况总览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5-1  </w:t>
      </w:r>
      <w:r>
        <w:rPr>
          <w:rFonts w:ascii="微软雅黑" w:hAnsi="微软雅黑" w:eastAsia="微软雅黑"/>
          <w:b w:val="0"/>
          <w:color w:val="5D5870"/>
          <w:sz w:val="18"/>
        </w:rPr>
        <w:t>年度预算执行表  单位：万元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55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预算数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实际数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差异额</w:t>
            </w:r>
          </w:p>
        </w:tc>
        <w:tc>
          <w:tcPr>
            <w:tcW w:type="dxa" w:w="1587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执行率</w:t>
            </w:r>
          </w:p>
        </w:tc>
      </w:tr>
      <w:tr>
        <w:tc>
          <w:tcPr>
            <w:tcW w:type="dxa" w:w="255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营业收入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50,000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52,860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+2,860</w:t>
            </w:r>
          </w:p>
        </w:tc>
        <w:tc>
          <w:tcPr>
            <w:tcW w:type="dxa" w:w="158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105.7%</w:t>
            </w:r>
          </w:p>
        </w:tc>
      </w:tr>
      <w:tr>
        <w:tc>
          <w:tcPr>
            <w:tcW w:type="dxa" w:w="255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营业成本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34,500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36,370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+1,870</w:t>
            </w:r>
          </w:p>
        </w:tc>
        <w:tc>
          <w:tcPr>
            <w:tcW w:type="dxa" w:w="158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105.4%</w:t>
            </w:r>
          </w:p>
        </w:tc>
      </w:tr>
      <w:tr>
        <w:tc>
          <w:tcPr>
            <w:tcW w:type="dxa" w:w="255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期间费用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8,600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8,810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+210</w:t>
            </w:r>
          </w:p>
        </w:tc>
        <w:tc>
          <w:tcPr>
            <w:tcW w:type="dxa" w:w="158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102.4%</w:t>
            </w:r>
          </w:p>
        </w:tc>
      </w:tr>
      <w:tr>
        <w:tc>
          <w:tcPr>
            <w:tcW w:type="dxa" w:w="255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研发投入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1,500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1,580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+80</w:t>
            </w:r>
          </w:p>
        </w:tc>
        <w:tc>
          <w:tcPr>
            <w:tcW w:type="dxa" w:w="158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105.3%</w:t>
            </w:r>
          </w:p>
        </w:tc>
      </w:tr>
      <w:tr>
        <w:tc>
          <w:tcPr>
            <w:tcW w:type="dxa" w:w="255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净利润</w:t>
            </w:r>
          </w:p>
        </w:tc>
        <w:tc>
          <w:tcPr>
            <w:tcW w:type="dxa" w:w="170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6,000</w:t>
            </w:r>
          </w:p>
        </w:tc>
        <w:tc>
          <w:tcPr>
            <w:tcW w:type="dxa" w:w="170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6,420</w:t>
            </w:r>
          </w:p>
        </w:tc>
        <w:tc>
          <w:tcPr>
            <w:tcW w:type="dxa" w:w="170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+420</w:t>
            </w:r>
          </w:p>
        </w:tc>
        <w:tc>
          <w:tcPr>
            <w:tcW w:type="dxa" w:w="1587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107.0%</w:t>
            </w:r>
          </w:p>
        </w:tc>
      </w:tr>
    </w:tbl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5.2 重大差异原因分析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5.2.1 收入端差异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营业收入超预算 5.7%，主要因核心产品线市场需求超预期，新签订单增长带动出货量提升。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5.2.2 成本端差异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营业成本超预算 5.4%，与收入增长基本同步，单位成本控制在合理区间，反映采购与生产管理有效。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5.2.3 利润端差异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净利润超预算 7.0%，收入超额贡献为主要驱动，费用控制良好进一步放大利润弹性。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2ec"/>
            <w:tcBorders>
              <w:left w:val="single" w:sz="30" w:space="0" w:color="fb6a3c"/>
              <w:top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6D28D9"/>
                <w:sz w:val="20"/>
              </w:rPr>
              <w:t>下期预算建议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结合本期执行情况，建议下一预算周期适度上调收入目标，同步加强成本标准化管理，并为研发与市场拓展预留弹性额度。</w:t>
            </w:r>
          </w:p>
        </w:tc>
      </w:tr>
    </w:tbl>
    <w:p>
      <w:r>
        <w:br w:type="page"/>
      </w:r>
    </w:p>
    <w:p>
      <w:pPr>
        <w:spacing w:before="120" w:after="160"/>
        <w:pBdr>
          <w:bottom w:val="single" w:sz="18" w:space="4" w:color="fb6a3c"/>
        </w:pBdr>
      </w:pPr>
      <w:r>
        <w:rPr>
          <w:rFonts w:ascii="微软雅黑" w:hAnsi="微软雅黑" w:eastAsia="微软雅黑"/>
          <w:b/>
          <w:color w:val="FFFFFF"/>
          <w:sz w:val="26"/>
          <w:shd w:val="clear" w:color="auto" w:fill="6d28d9"/>
        </w:rPr>
        <w:t xml:space="preserve">  06  </w:t>
      </w:r>
      <w:r>
        <w:rPr>
          <w:rFonts w:ascii="微软雅黑" w:hAnsi="微软雅黑" w:eastAsia="微软雅黑"/>
          <w:b/>
          <w:color w:val="6D28D9"/>
          <w:sz w:val="32"/>
        </w:rPr>
        <w:t xml:space="preserve">  财务报表附注（节选）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6.1 重要会计政策与会计估计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6.1.1 收入确认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公司在客户取得相关商品或服务控制权时确认收入。对于在某一时段内履约的合同，按履约进度确认收入。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6.1.2 固定资产折旧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固定资产采用年限平均法计提折旧，主要类别折旧年限如下：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6-1  </w:t>
      </w:r>
      <w:r>
        <w:rPr>
          <w:rFonts w:ascii="微软雅黑" w:hAnsi="微软雅黑" w:eastAsia="微软雅黑"/>
          <w:b w:val="0"/>
          <w:color w:val="5D5870"/>
          <w:sz w:val="18"/>
        </w:rPr>
        <w:t>固定资产折旧政策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835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984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折旧年限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残值率</w:t>
            </w:r>
          </w:p>
        </w:tc>
        <w:tc>
          <w:tcPr>
            <w:tcW w:type="dxa" w:w="2268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年折旧率</w:t>
            </w:r>
          </w:p>
        </w:tc>
      </w:tr>
      <w:tr>
        <w:tc>
          <w:tcPr>
            <w:tcW w:type="dxa" w:w="283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房屋及建筑物</w:t>
            </w:r>
          </w:p>
        </w:tc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20–30 年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5%</w:t>
            </w:r>
          </w:p>
        </w:tc>
        <w:tc>
          <w:tcPr>
            <w:tcW w:type="dxa" w:w="2268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3.17%–4.75%</w:t>
            </w:r>
          </w:p>
        </w:tc>
      </w:tr>
      <w:tr>
        <w:tc>
          <w:tcPr>
            <w:tcW w:type="dxa" w:w="2835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机器设备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 年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5%</w:t>
            </w:r>
          </w:p>
        </w:tc>
        <w:tc>
          <w:tcPr>
            <w:tcW w:type="dxa" w:w="2268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9.50%</w:t>
            </w:r>
          </w:p>
        </w:tc>
      </w:tr>
      <w:tr>
        <w:tc>
          <w:tcPr>
            <w:tcW w:type="dxa" w:w="283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运输工具</w:t>
            </w:r>
          </w:p>
        </w:tc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 年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5%</w:t>
            </w:r>
          </w:p>
        </w:tc>
        <w:tc>
          <w:tcPr>
            <w:tcW w:type="dxa" w:w="2268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19.00%</w:t>
            </w:r>
          </w:p>
        </w:tc>
      </w:tr>
      <w:tr>
        <w:tc>
          <w:tcPr>
            <w:tcW w:type="dxa" w:w="2835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电子及办公设备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3–5 年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5%</w:t>
            </w:r>
          </w:p>
        </w:tc>
        <w:tc>
          <w:tcPr>
            <w:tcW w:type="dxa" w:w="2268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19.00%–31.67%</w:t>
            </w:r>
          </w:p>
        </w:tc>
      </w:tr>
    </w:tbl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6.2 主要科目明细附注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6.2.1 应收账款账龄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6-2  </w:t>
      </w:r>
      <w:r>
        <w:rPr>
          <w:rFonts w:ascii="微软雅黑" w:hAnsi="微软雅黑" w:eastAsia="微软雅黑"/>
          <w:b w:val="0"/>
          <w:color w:val="5D5870"/>
          <w:sz w:val="18"/>
        </w:rPr>
        <w:t>应收账款账龄分析  单位：万元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账龄</w:t>
            </w:r>
          </w:p>
        </w:tc>
        <w:tc>
          <w:tcPr>
            <w:tcW w:type="dxa" w:w="1984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68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坏账准备比例</w:t>
            </w:r>
          </w:p>
        </w:tc>
      </w:tr>
      <w:tr>
        <w:tc>
          <w:tcPr>
            <w:tcW w:type="dxa" w:w="2268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 年以内</w:t>
            </w:r>
          </w:p>
        </w:tc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13,100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86.0%</w:t>
            </w:r>
          </w:p>
        </w:tc>
        <w:tc>
          <w:tcPr>
            <w:tcW w:type="dxa" w:w="2268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5%</w:t>
            </w:r>
          </w:p>
        </w:tc>
      </w:tr>
      <w:tr>
        <w:tc>
          <w:tcPr>
            <w:tcW w:type="dxa" w:w="2268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1–2 年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1,520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10.0%</w:t>
            </w:r>
          </w:p>
        </w:tc>
        <w:tc>
          <w:tcPr>
            <w:tcW w:type="dxa" w:w="2268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10%</w:t>
            </w:r>
          </w:p>
        </w:tc>
      </w:tr>
      <w:tr>
        <w:tc>
          <w:tcPr>
            <w:tcW w:type="dxa" w:w="2268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2–3 年</w:t>
            </w:r>
          </w:p>
        </w:tc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460</w:t>
            </w:r>
          </w:p>
        </w:tc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3.0%</w:t>
            </w:r>
          </w:p>
        </w:tc>
        <w:tc>
          <w:tcPr>
            <w:tcW w:type="dxa" w:w="2268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30%</w:t>
            </w:r>
          </w:p>
        </w:tc>
      </w:tr>
      <w:tr>
        <w:tc>
          <w:tcPr>
            <w:tcW w:type="dxa" w:w="2268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3 年以上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160</w:t>
            </w:r>
          </w:p>
        </w:tc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1.0%</w:t>
            </w:r>
          </w:p>
        </w:tc>
        <w:tc>
          <w:tcPr>
            <w:tcW w:type="dxa" w:w="2268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50%</w:t>
            </w:r>
          </w:p>
        </w:tc>
      </w:tr>
      <w:tr>
        <w:tc>
          <w:tcPr>
            <w:tcW w:type="dxa" w:w="2268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合计</w:t>
            </w:r>
          </w:p>
        </w:tc>
        <w:tc>
          <w:tcPr>
            <w:tcW w:type="dxa" w:w="1984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15,240</w:t>
            </w:r>
          </w:p>
        </w:tc>
        <w:tc>
          <w:tcPr>
            <w:tcW w:type="dxa" w:w="1701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100%</w:t>
            </w:r>
          </w:p>
        </w:tc>
        <w:tc>
          <w:tcPr>
            <w:tcW w:type="dxa" w:w="2268"/>
            <w:shd w:val="clear" w:color="auto" w:fill="fdeef6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6D28D9"/>
                <w:sz w:val="18"/>
              </w:rPr>
              <w:t>—</w:t>
            </w:r>
          </w:p>
        </w:tc>
      </w:tr>
    </w:tbl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6.3 或有事项与承诺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FB6A3C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C1630"/>
          <w:sz w:val="20"/>
        </w:rPr>
        <w:t>报告期末，公司不存在需披露的重大未决诉讼、仲裁事项；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FB6A3C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C1630"/>
          <w:sz w:val="20"/>
        </w:rPr>
        <w:t>对外担保余额为 0 万元，未发生新增对外担保；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FB6A3C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C1630"/>
          <w:sz w:val="20"/>
        </w:rPr>
        <w:t>已签订但尚未履行完毕的重大资本性支出合同金额约 XX 万元。</w:t>
      </w:r>
    </w:p>
    <w:p>
      <w:r>
        <w:br w:type="page"/>
      </w:r>
    </w:p>
    <w:p>
      <w:pPr>
        <w:spacing w:before="120" w:after="160"/>
        <w:pBdr>
          <w:bottom w:val="single" w:sz="18" w:space="4" w:color="fb6a3c"/>
        </w:pBdr>
      </w:pPr>
      <w:r>
        <w:rPr>
          <w:rFonts w:ascii="微软雅黑" w:hAnsi="微软雅黑" w:eastAsia="微软雅黑"/>
          <w:b/>
          <w:color w:val="FFFFFF"/>
          <w:sz w:val="26"/>
          <w:shd w:val="clear" w:color="auto" w:fill="6d28d9"/>
        </w:rPr>
        <w:t xml:space="preserve">  07  </w:t>
      </w:r>
      <w:r>
        <w:rPr>
          <w:rFonts w:ascii="微软雅黑" w:hAnsi="微软雅黑" w:eastAsia="微软雅黑"/>
          <w:b/>
          <w:color w:val="6D28D9"/>
          <w:sz w:val="32"/>
        </w:rPr>
        <w:t xml:space="preserve">  风险提示与管理建议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7.1 主要财务风险识别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7.1.1 信用风险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应收账款规模较大，若客户回款延迟或发生违约，可能影响资金周转。建议强化客户信用评级与账期管理。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7.1.2 流动性风险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本期现金净流出，需关注短期偿债与日常运营的资金匹配。建议建立现金流滚动预测机制，保持合理资金储备。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7.1.3 市场与价格风险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原材料价格波动可能挤压毛利空间。建议通过集中采购、长期协议与套期保值等方式对冲。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FB6A3C"/>
          <w:sz w:val="22"/>
        </w:rPr>
        <w:t xml:space="preserve">▸ </w:t>
      </w:r>
      <w:r>
        <w:rPr>
          <w:rFonts w:ascii="微软雅黑" w:hAnsi="微软雅黑" w:eastAsia="微软雅黑"/>
          <w:b/>
          <w:color w:val="C026D3"/>
          <w:sz w:val="22"/>
        </w:rPr>
        <w:t>7.1.4 汇率风险</w:t>
      </w:r>
    </w:p>
    <w:p>
      <w:pPr>
        <w:spacing w:before="0" w:after="80" w:line="360" w:lineRule="auto"/>
        <w:jc w:val="both"/>
      </w:pPr>
      <w:r>
        <w:rPr>
          <w:rFonts w:ascii="微软雅黑" w:hAnsi="微软雅黑" w:eastAsia="微软雅黑"/>
          <w:b w:val="0"/>
          <w:color w:val="1C1630"/>
          <w:sz w:val="20"/>
        </w:rPr>
        <w:t>若涉及外币结算，汇率波动将影响损益。建议匹配外币资产负债结构，必要时运用远期结售汇工具。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7.2 风险等级评估矩阵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7-1  </w:t>
      </w:r>
      <w:r>
        <w:rPr>
          <w:rFonts w:ascii="微软雅黑" w:hAnsi="微软雅黑" w:eastAsia="微软雅黑"/>
          <w:b w:val="0"/>
          <w:color w:val="5D5870"/>
          <w:sz w:val="18"/>
        </w:rPr>
        <w:t>财务风险评估矩阵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84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风险类型</w:t>
            </w:r>
          </w:p>
        </w:tc>
        <w:tc>
          <w:tcPr>
            <w:tcW w:type="dxa" w:w="1587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发生可能性</w:t>
            </w:r>
          </w:p>
        </w:tc>
        <w:tc>
          <w:tcPr>
            <w:tcW w:type="dxa" w:w="1417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影响程度</w:t>
            </w:r>
          </w:p>
        </w:tc>
        <w:tc>
          <w:tcPr>
            <w:tcW w:type="dxa" w:w="1417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综合等级</w:t>
            </w:r>
          </w:p>
        </w:tc>
        <w:tc>
          <w:tcPr>
            <w:tcW w:type="dxa" w:w="2835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信用风险</w:t>
            </w:r>
          </w:p>
        </w:tc>
        <w:tc>
          <w:tcPr>
            <w:tcW w:type="dxa" w:w="158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中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中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中</w:t>
            </w:r>
          </w:p>
        </w:tc>
        <w:tc>
          <w:tcPr>
            <w:tcW w:type="dxa" w:w="283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信用管控 / 计提准备</w:t>
            </w:r>
          </w:p>
        </w:tc>
      </w:tr>
      <w:tr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流动性风险</w:t>
            </w:r>
          </w:p>
        </w:tc>
        <w:tc>
          <w:tcPr>
            <w:tcW w:type="dxa" w:w="158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中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高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较高</w:t>
            </w:r>
          </w:p>
        </w:tc>
        <w:tc>
          <w:tcPr>
            <w:tcW w:type="dxa" w:w="2835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现金流预测 / 授信储备</w:t>
            </w:r>
          </w:p>
        </w:tc>
      </w:tr>
      <w:tr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市场价格风险</w:t>
            </w:r>
          </w:p>
        </w:tc>
        <w:tc>
          <w:tcPr>
            <w:tcW w:type="dxa" w:w="158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高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中</w:t>
            </w:r>
          </w:p>
        </w:tc>
        <w:tc>
          <w:tcPr>
            <w:tcW w:type="dxa" w:w="1417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F5333F"/>
                <w:sz w:val="18"/>
              </w:rPr>
              <w:t>较高</w:t>
            </w:r>
          </w:p>
        </w:tc>
        <w:tc>
          <w:tcPr>
            <w:tcW w:type="dxa" w:w="2835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集中采购 / 套保</w:t>
            </w:r>
          </w:p>
        </w:tc>
      </w:tr>
      <w:tr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汇率风险</w:t>
            </w:r>
          </w:p>
        </w:tc>
        <w:tc>
          <w:tcPr>
            <w:tcW w:type="dxa" w:w="158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低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中</w:t>
            </w:r>
          </w:p>
        </w:tc>
        <w:tc>
          <w:tcPr>
            <w:tcW w:type="dxa" w:w="1417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低</w:t>
            </w:r>
          </w:p>
        </w:tc>
        <w:tc>
          <w:tcPr>
            <w:tcW w:type="dxa" w:w="2835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结构匹配 / 远期工具</w:t>
            </w:r>
          </w:p>
        </w:tc>
      </w:tr>
    </w:tbl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7.3 管理改进建议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6D28D9"/>
          <w:sz w:val="20"/>
        </w:rPr>
        <w:t xml:space="preserve">1. </w:t>
      </w:r>
      <w:r>
        <w:rPr>
          <w:rFonts w:ascii="微软雅黑" w:hAnsi="微软雅黑" w:eastAsia="微软雅黑"/>
          <w:b w:val="0"/>
          <w:color w:val="1C1630"/>
          <w:sz w:val="20"/>
        </w:rPr>
        <w:t>建立健全全面预算管理与差异预警机制；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6D28D9"/>
          <w:sz w:val="20"/>
        </w:rPr>
        <w:t xml:space="preserve">2. </w:t>
      </w:r>
      <w:r>
        <w:rPr>
          <w:rFonts w:ascii="微软雅黑" w:hAnsi="微软雅黑" w:eastAsia="微软雅黑"/>
          <w:b w:val="0"/>
          <w:color w:val="1C1630"/>
          <w:sz w:val="20"/>
        </w:rPr>
        <w:t>优化应收账款与存货周转，提升营运资金效率；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6D28D9"/>
          <w:sz w:val="20"/>
        </w:rPr>
        <w:t xml:space="preserve">3. </w:t>
      </w:r>
      <w:r>
        <w:rPr>
          <w:rFonts w:ascii="微软雅黑" w:hAnsi="微软雅黑" w:eastAsia="微软雅黑"/>
          <w:b w:val="0"/>
          <w:color w:val="1C1630"/>
          <w:sz w:val="20"/>
        </w:rPr>
        <w:t>持续优化资本结构，控制融资成本；</w:t>
      </w:r>
    </w:p>
    <w:p>
      <w:pPr>
        <w:spacing w:after="40" w:line="336" w:lineRule="auto"/>
        <w:ind w:left="360"/>
      </w:pPr>
      <w:r>
        <w:rPr>
          <w:rFonts w:ascii="微软雅黑" w:hAnsi="微软雅黑" w:eastAsia="微软雅黑"/>
          <w:b/>
          <w:color w:val="6D28D9"/>
          <w:sz w:val="20"/>
        </w:rPr>
        <w:t xml:space="preserve">4. </w:t>
      </w:r>
      <w:r>
        <w:rPr>
          <w:rFonts w:ascii="微软雅黑" w:hAnsi="微软雅黑" w:eastAsia="微软雅黑"/>
          <w:b w:val="0"/>
          <w:color w:val="1C1630"/>
          <w:sz w:val="20"/>
        </w:rPr>
        <w:t>加强财务数字化建设，提升数据决策支持能力。</w:t>
      </w:r>
    </w:p>
    <w:p>
      <w:r>
        <w:br w:type="page"/>
      </w:r>
    </w:p>
    <w:p>
      <w:pPr>
        <w:spacing w:before="120" w:after="160"/>
        <w:pBdr>
          <w:bottom w:val="single" w:sz="18" w:space="4" w:color="fb6a3c"/>
        </w:pBdr>
      </w:pPr>
      <w:r>
        <w:rPr>
          <w:rFonts w:ascii="微软雅黑" w:hAnsi="微软雅黑" w:eastAsia="微软雅黑"/>
          <w:b/>
          <w:color w:val="FFFFFF"/>
          <w:sz w:val="26"/>
          <w:shd w:val="clear" w:color="auto" w:fill="6d28d9"/>
        </w:rPr>
        <w:t xml:space="preserve">  08  </w:t>
      </w:r>
      <w:r>
        <w:rPr>
          <w:rFonts w:ascii="微软雅黑" w:hAnsi="微软雅黑" w:eastAsia="微软雅黑"/>
          <w:b/>
          <w:color w:val="6D28D9"/>
          <w:sz w:val="32"/>
        </w:rPr>
        <w:t xml:space="preserve">  声明、签署与审批</w:t>
      </w:r>
    </w:p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8.1 责任声明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0ecfa"/>
            <w:tcBorders>
              <w:left w:val="single" w:sz="30" w:space="0" w:color="c026d3"/>
              <w:top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6D28D9"/>
                <w:sz w:val="20"/>
              </w:rPr>
              <w:t>声明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本企业董事会、管理层及财务负责人确认：本财务报告所载内容真实、准确、完整，已按照企业会计准则及相关规定编制，不存在虚假记载、误导性陈述或重大遗漏。</w:t>
            </w:r>
          </w:p>
        </w:tc>
      </w:tr>
    </w:tbl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8.2 签署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编制人（签字）：________________　　日期：　 年 　月 　日</w:t>
            </w:r>
          </w:p>
        </w:tc>
        <w:tc>
          <w:tcPr>
            <w:tcW w:type="dxa" w:w="4933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复核人（签字）：________________　　日期：　 年 　月 　日</w:t>
            </w:r>
          </w:p>
        </w:tc>
      </w:tr>
      <w:tr>
        <w:tc>
          <w:tcPr>
            <w:tcW w:type="dxa" w:w="4933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财务负责人（签字）：____________　　日期：　 年 　月 　日</w:t>
            </w:r>
          </w:p>
        </w:tc>
        <w:tc>
          <w:tcPr>
            <w:tcW w:type="dxa" w:w="4933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9"/>
              </w:rPr>
              <w:t>法定代表人（签字）：____________　　日期：　 年 　月 　日</w:t>
            </w:r>
          </w:p>
        </w:tc>
      </w:tr>
    </w:tbl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8.3 审批记录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6D28D9"/>
          <w:sz w:val="18"/>
        </w:rPr>
        <w:t xml:space="preserve">表 8-1  </w:t>
      </w:r>
      <w:r>
        <w:rPr>
          <w:rFonts w:ascii="微软雅黑" w:hAnsi="微软雅黑" w:eastAsia="微软雅黑"/>
          <w:b w:val="0"/>
          <w:color w:val="5D5870"/>
          <w:sz w:val="18"/>
        </w:rPr>
        <w:t>报告审批流程记录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2551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 / 部门</w:t>
            </w:r>
          </w:p>
        </w:tc>
        <w:tc>
          <w:tcPr>
            <w:tcW w:type="dxa" w:w="2268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意见</w:t>
            </w:r>
          </w:p>
        </w:tc>
        <w:tc>
          <w:tcPr>
            <w:tcW w:type="dxa" w:w="1984"/>
            <w:shd w:val="clear" w:color="auto" w:fill="6d28d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编制</w:t>
            </w:r>
          </w:p>
        </w:tc>
        <w:tc>
          <w:tcPr>
            <w:tcW w:type="dxa" w:w="255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财务核算岗</w:t>
            </w:r>
          </w:p>
        </w:tc>
        <w:tc>
          <w:tcPr>
            <w:tcW w:type="dxa" w:w="2268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—</w:t>
            </w:r>
          </w:p>
        </w:tc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　年　月　日</w:t>
            </w:r>
          </w:p>
        </w:tc>
      </w:tr>
      <w:tr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复核</w:t>
            </w:r>
          </w:p>
        </w:tc>
        <w:tc>
          <w:tcPr>
            <w:tcW w:type="dxa" w:w="255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财务复核岗</w:t>
            </w:r>
          </w:p>
        </w:tc>
        <w:tc>
          <w:tcPr>
            <w:tcW w:type="dxa" w:w="2268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—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　年　月　日</w:t>
            </w:r>
          </w:p>
        </w:tc>
      </w:tr>
      <w:tr>
        <w:tc>
          <w:tcPr>
            <w:tcW w:type="dxa" w:w="170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审核</w:t>
            </w:r>
          </w:p>
        </w:tc>
        <w:tc>
          <w:tcPr>
            <w:tcW w:type="dxa" w:w="2551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财务负责人</w:t>
            </w:r>
          </w:p>
        </w:tc>
        <w:tc>
          <w:tcPr>
            <w:tcW w:type="dxa" w:w="2268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—</w:t>
            </w:r>
          </w:p>
        </w:tc>
        <w:tc>
          <w:tcPr>
            <w:tcW w:type="dxa" w:w="1984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　年　月　日</w:t>
            </w:r>
          </w:p>
        </w:tc>
      </w:tr>
      <w:tr>
        <w:tc>
          <w:tcPr>
            <w:tcW w:type="dxa" w:w="170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批准</w:t>
            </w:r>
          </w:p>
        </w:tc>
        <w:tc>
          <w:tcPr>
            <w:tcW w:type="dxa" w:w="2551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总经理 / 董事会</w:t>
            </w:r>
          </w:p>
        </w:tc>
        <w:tc>
          <w:tcPr>
            <w:tcW w:type="dxa" w:w="2268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>—</w:t>
            </w:r>
          </w:p>
        </w:tc>
        <w:tc>
          <w:tcPr>
            <w:tcW w:type="dxa" w:w="1984"/>
            <w:shd w:val="clear" w:color="auto" w:fill="f5f4f9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right"/>
            </w:pPr>
            <w:r/>
            <w:r>
              <w:rPr>
                <w:rFonts w:ascii="微软雅黑" w:hAnsi="微软雅黑" w:eastAsia="微软雅黑"/>
                <w:b w:val="0"/>
                <w:color w:val="1C1630"/>
                <w:sz w:val="18"/>
              </w:rPr>
              <w:t xml:space="preserve">　年　月　日</w:t>
            </w:r>
          </w:p>
        </w:tc>
      </w:tr>
    </w:tbl>
    <w:p>
      <w:pPr>
        <w:spacing w:before="200" w:after="100"/>
        <w:pBdr>
          <w:left w:val="single" w:sz="24" w:space="8" w:color="c026d3"/>
        </w:pBdr>
      </w:pPr>
      <w:r>
        <w:rPr>
          <w:rFonts w:ascii="微软雅黑" w:hAnsi="微软雅黑" w:eastAsia="微软雅黑"/>
          <w:b/>
          <w:color w:val="4C1D95"/>
          <w:sz w:val="25"/>
        </w:rPr>
        <w:t>8.4 盖章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1500" w:hRule="atLeast"/>
        </w:trPr>
        <w:tc>
          <w:tcPr>
            <w:tcW w:type="dxa" w:w="4933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5D5870"/>
                <w:sz w:val="18"/>
              </w:rPr>
              <w:t>（单位公章）</w:t>
            </w:r>
          </w:p>
        </w:tc>
        <w:tc>
          <w:tcPr>
            <w:tcW w:type="dxa" w:w="4933"/>
            <w:tcBorders>
              <w:top w:val="single" w:sz="4" w:space="0" w:color="e4e1ee"/>
              <w:left w:val="single" w:sz="4" w:space="0" w:color="e4e1ee"/>
              <w:bottom w:val="single" w:sz="4" w:space="0" w:color="e4e1ee"/>
              <w:right w:val="single" w:sz="4" w:space="0" w:color="e4e1ee"/>
            </w:tcBorders>
            <w:vAlign w:val="center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5D5870"/>
                <w:sz w:val="18"/>
              </w:rPr>
              <w:t>（财务专用章）</w:t>
            </w:r>
          </w:p>
        </w:tc>
      </w:tr>
    </w:tbl>
    <w:p>
      <w:pPr>
        <w:spacing w:before="400" w:after="80" w:line="360" w:lineRule="auto"/>
        <w:jc w:val="center"/>
      </w:pPr>
      <w:r>
        <w:rPr>
          <w:rFonts w:ascii="微软雅黑" w:hAnsi="微软雅黑" w:eastAsia="微软雅黑"/>
          <w:b w:val="0"/>
          <w:color w:val="5D5870"/>
          <w:sz w:val="17"/>
        </w:rPr>
        <w:t>—— 本报告正文结束 ·  © 20XX ［企业名称］ 财务管理部 编制 ——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D5870"/>
        <w:sz w:val="16"/>
      </w:rPr>
      <w:t>企业财务分析报告（模板）  ·  机密 CONFIDENTIAL  ·  FIN-RPT-20XX-001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