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to interpret SKEWER output</w:t>
      </w:r>
    </w:p>
    <w:p>
      <w:pPr>
        <w:pStyle w:val="Subtitle"/>
      </w:pPr>
      <w:r>
        <w:t>SKEWER v1.0.6  |  Region-only workflow</w:t>
      </w:r>
    </w:p>
    <w:p>
      <w:r>
        <w:t>Observing a region, supporting a structural variant, and estimating its copy number are separate measurements. SKEWER keeps them separate so that a read passing through a region does not automatically count as evidence for a rearrangement.</w:t>
      </w:r>
    </w:p>
    <w:p>
      <w:r>
        <w:t>This guide explains the main output headings, how duplications differ from deletions and inversions, and which files to inspect when drawing conclusions. It covers whole canonical regions. A region can contain multiple genes; gene overlap is a separate, optional analysis.</w:t>
      </w:r>
    </w:p>
    <w:p>
      <w:pPr>
        <w:pStyle w:val="Heading2"/>
      </w:pPr>
      <w:r>
        <w:t>The main read counts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3168"/>
        <w:gridCol w:w="6912"/>
      </w:tblGrid>
      <w:tr>
        <w:trPr>
          <w:cantSplit/>
          <w:tblHeader/>
        </w:trPr>
        <w:tc>
          <w:tcPr>
            <w:tcW w:type="dxa" w:w="3168"/>
            <w:vAlign w:val="center"/>
            <w:shd w:fill="344B5E"/>
          </w:tcPr>
          <w:p>
            <w:pPr>
              <w:spacing w:after="0" w:line="252" w:lineRule="auto"/>
            </w:pPr>
            <w:r>
              <w:rPr>
                <w:b/>
                <w:color w:val="FFFFFF"/>
                <w:sz w:val="21"/>
              </w:rPr>
              <w:t>Heading</w:t>
            </w:r>
          </w:p>
        </w:tc>
        <w:tc>
          <w:tcPr>
            <w:tcW w:type="dxa" w:w="6912"/>
            <w:vAlign w:val="center"/>
            <w:shd w:fill="344B5E"/>
          </w:tcPr>
          <w:p>
            <w:pPr>
              <w:spacing w:after="0" w:line="252" w:lineRule="auto"/>
            </w:pPr>
            <w:r>
              <w:rPr>
                <w:b/>
                <w:color w:val="FFFFFF"/>
                <w:sz w:val="21"/>
              </w:rPr>
              <w:t>What it measures</w:t>
            </w:r>
          </w:p>
        </w:tc>
      </w:tr>
      <w:tr>
        <w:trPr>
          <w:cantSplit/>
        </w:trPr>
        <w:tc>
          <w:tcPr>
            <w:tcW w:type="dxa" w:w="3168"/>
            <w:vAlign w:val="center"/>
            <w:shd w:fill="FFFFFF"/>
          </w:tcPr>
          <w:p>
            <w:pPr>
              <w:spacing w:after="0" w:line="252" w:lineRule="auto"/>
            </w:pPr>
            <w:r>
              <w:rPr>
                <w:rFonts w:ascii="Calibri" w:hAnsi="Calibri"/>
                <w:sz w:val="21"/>
              </w:rPr>
              <w:t>observational_reads</w:t>
            </w:r>
          </w:p>
        </w:tc>
        <w:tc>
          <w:tcPr>
            <w:tcW w:type="dxa" w:w="6912"/>
            <w:vAlign w:val="center"/>
            <w:shd w:fill="FFFFFF"/>
          </w:tcPr>
          <w:p>
            <w:pPr>
              <w:spacing w:after="0" w:line="252" w:lineRule="auto"/>
            </w:pPr>
            <w:r>
              <w:rPr>
                <w:sz w:val="21"/>
              </w:rPr>
              <w:t>All retained molecules associated with the region: supporting, reference-like, and reads that overlap without resolving the structure.</w:t>
            </w:r>
          </w:p>
        </w:tc>
      </w:tr>
      <w:tr>
        <w:trPr>
          <w:cantSplit/>
        </w:trPr>
        <w:tc>
          <w:tcPr>
            <w:tcW w:type="dxa" w:w="3168"/>
            <w:vAlign w:val="center"/>
            <w:shd w:fill="F1F4F6"/>
          </w:tcPr>
          <w:p>
            <w:pPr>
              <w:spacing w:after="0" w:line="252" w:lineRule="auto"/>
            </w:pPr>
            <w:r>
              <w:rPr>
                <w:rFonts w:ascii="Calibri" w:hAnsi="Calibri"/>
                <w:sz w:val="21"/>
              </w:rPr>
              <w:t>supporting_reads</w:t>
            </w:r>
          </w:p>
        </w:tc>
        <w:tc>
          <w:tcPr>
            <w:tcW w:type="dxa" w:w="6912"/>
            <w:vAlign w:val="center"/>
            <w:shd w:fill="F1F4F6"/>
          </w:tcPr>
          <w:p>
            <w:pPr>
              <w:spacing w:after="0" w:line="252" w:lineRule="auto"/>
            </w:pPr>
            <w:r>
              <w:rPr>
                <w:sz w:val="21"/>
              </w:rPr>
              <w:t>Molecules with at least one discovered breakpoint occurrence assigned to this canonical SV. Each molecule counts once for the event.</w:t>
            </w:r>
          </w:p>
        </w:tc>
      </w:tr>
      <w:tr>
        <w:trPr>
          <w:cantSplit/>
        </w:trPr>
        <w:tc>
          <w:tcPr>
            <w:tcW w:type="dxa" w:w="3168"/>
            <w:vAlign w:val="center"/>
            <w:shd w:fill="FFFFFF"/>
          </w:tcPr>
          <w:p>
            <w:pPr>
              <w:spacing w:after="0" w:line="252" w:lineRule="auto"/>
            </w:pPr>
            <w:r>
              <w:rPr>
                <w:rFonts w:ascii="Calibri" w:hAnsi="Calibri"/>
                <w:sz w:val="21"/>
              </w:rPr>
              <w:t>spanning_reads</w:t>
            </w:r>
          </w:p>
        </w:tc>
        <w:tc>
          <w:tcPr>
            <w:tcW w:type="dxa" w:w="6912"/>
            <w:vAlign w:val="center"/>
            <w:shd w:fill="FFFFFF"/>
          </w:tcPr>
          <w:p>
            <w:pPr>
              <w:spacing w:after="0" w:line="252" w:lineRule="auto"/>
            </w:pPr>
            <w:r>
              <w:rPr>
                <w:sz w:val="21"/>
              </w:rPr>
              <w:t>Molecules with normal immediate upstream and downstream flank support in a compatible alignment path. These can be supporting or reference-like.</w:t>
            </w:r>
          </w:p>
        </w:tc>
      </w:tr>
      <w:tr>
        <w:trPr>
          <w:cantSplit/>
        </w:trPr>
        <w:tc>
          <w:tcPr>
            <w:tcW w:type="dxa" w:w="3168"/>
            <w:vAlign w:val="center"/>
            <w:shd w:fill="F1F4F6"/>
          </w:tcPr>
          <w:p>
            <w:pPr>
              <w:spacing w:after="0" w:line="252" w:lineRule="auto"/>
            </w:pPr>
            <w:r>
              <w:rPr>
                <w:rFonts w:ascii="Calibri" w:hAnsi="Calibri"/>
                <w:sz w:val="21"/>
              </w:rPr>
              <w:t>exact_reads</w:t>
            </w:r>
          </w:p>
        </w:tc>
        <w:tc>
          <w:tcPr>
            <w:tcW w:type="dxa" w:w="6912"/>
            <w:vAlign w:val="center"/>
            <w:shd w:fill="F1F4F6"/>
          </w:tcPr>
          <w:p>
            <w:pPr>
              <w:spacing w:after="0" w:line="252" w:lineRule="auto"/>
            </w:pPr>
            <w:r>
              <w:rPr>
                <w:sz w:val="21"/>
              </w:rPr>
              <w:t>Molecules whose regional copy count is resolved, with both flanks captured and no flagged ambiguity or unresolved internal sequence.</w:t>
            </w:r>
          </w:p>
        </w:tc>
      </w:tr>
      <w:tr>
        <w:trPr>
          <w:cantSplit/>
        </w:trPr>
        <w:tc>
          <w:tcPr>
            <w:tcW w:type="dxa" w:w="3168"/>
            <w:vAlign w:val="center"/>
            <w:shd w:fill="FFFFFF"/>
          </w:tcPr>
          <w:p>
            <w:pPr>
              <w:spacing w:after="0" w:line="252" w:lineRule="auto"/>
            </w:pPr>
            <w:r>
              <w:rPr>
                <w:rFonts w:ascii="Calibri" w:hAnsi="Calibri"/>
                <w:sz w:val="21"/>
              </w:rPr>
              <w:t>breakpoint_occurrences</w:t>
            </w:r>
          </w:p>
        </w:tc>
        <w:tc>
          <w:tcPr>
            <w:tcW w:type="dxa" w:w="6912"/>
            <w:vAlign w:val="center"/>
            <w:shd w:fill="FFFFFF"/>
          </w:tcPr>
          <w:p>
            <w:pPr>
              <w:spacing w:after="0" w:line="252" w:lineRule="auto"/>
            </w:pPr>
            <w:r>
              <w:rPr>
                <w:sz w:val="21"/>
              </w:rPr>
              <w:t>The contributing junction occurrences. One molecule can contribute several occurrences to one event.</w:t>
            </w:r>
          </w:p>
        </w:tc>
      </w:tr>
      <w:tr>
        <w:trPr>
          <w:cantSplit/>
        </w:trPr>
        <w:tc>
          <w:tcPr>
            <w:tcW w:type="dxa" w:w="3168"/>
            <w:vAlign w:val="center"/>
            <w:shd w:fill="F1F4F6"/>
          </w:tcPr>
          <w:p>
            <w:pPr>
              <w:spacing w:after="0" w:line="252" w:lineRule="auto"/>
            </w:pPr>
            <w:r>
              <w:rPr>
                <w:rFonts w:ascii="Calibri" w:hAnsi="Calibri"/>
                <w:sz w:val="21"/>
              </w:rPr>
              <w:t>observed_complete_copies</w:t>
            </w:r>
          </w:p>
        </w:tc>
        <w:tc>
          <w:tcPr>
            <w:tcW w:type="dxa" w:w="6912"/>
            <w:vAlign w:val="center"/>
            <w:shd w:fill="F1F4F6"/>
          </w:tcPr>
          <w:p>
            <w:pPr>
              <w:spacing w:after="0" w:line="252" w:lineRule="auto"/>
            </w:pPr>
            <w:r>
              <w:rPr>
                <w:sz w:val="21"/>
              </w:rPr>
              <w:t>The sum of complete regional traversals across molecules. This is not the sample copy number.</w:t>
            </w:r>
          </w:p>
        </w:tc>
      </w:tr>
      <w:tr>
        <w:trPr>
          <w:cantSplit/>
        </w:trPr>
        <w:tc>
          <w:tcPr>
            <w:tcW w:type="dxa" w:w="3168"/>
            <w:vAlign w:val="center"/>
            <w:shd w:fill="FFFFFF"/>
          </w:tcPr>
          <w:p>
            <w:pPr>
              <w:spacing w:after="0" w:line="252" w:lineRule="auto"/>
            </w:pPr>
            <w:r>
              <w:rPr>
                <w:rFonts w:ascii="Calibri" w:hAnsi="Calibri"/>
                <w:sz w:val="21"/>
              </w:rPr>
              <w:t>effective_reads</w:t>
            </w:r>
          </w:p>
        </w:tc>
        <w:tc>
          <w:tcPr>
            <w:tcW w:type="dxa" w:w="6912"/>
            <w:vAlign w:val="center"/>
            <w:shd w:fill="FFFFFF"/>
          </w:tcPr>
          <w:p>
            <w:pPr>
              <w:spacing w:after="0" w:line="252" w:lineRule="auto"/>
            </w:pPr>
            <w:r>
              <w:rPr>
                <w:sz w:val="21"/>
              </w:rPr>
              <w:t>The effective amount of independent information after weighting. Unequal weights reduce it relative to the physical molecule count.</w:t>
            </w:r>
          </w:p>
        </w:tc>
      </w:tr>
    </w:tbl>
    <w:p>
      <w:pPr>
        <w:spacing w:after="0" w:before="0" w:line="240" w:lineRule="auto"/>
      </w:pPr>
      <w:r>
        <w:rPr>
          <w:sz w:val="6"/>
        </w:rPr>
      </w:r>
    </w:p>
    <w:p>
      <w:pPr>
        <w:pStyle w:val="Heading2"/>
      </w:pPr>
      <w:r>
        <w:t>Example of observational and supporting reads</w:t>
      </w:r>
    </w:p>
    <w:p>
      <w:r>
        <w:t>Suppose a region has 100 observational reads and 12 supporting reads. Twelve molecules show a junction assigned to this event. The remaining 88 are not necessarily evidence against it: many may be too short or lie inside the region without reaching a diagnostic junction.</w:t>
      </w:r>
    </w:p>
    <w:p>
      <w:pPr>
        <w:pStyle w:val="Heading1"/>
        <w:pageBreakBefore/>
      </w:pPr>
      <w:r>
        <w:t>Reading an individual molecule</w:t>
      </w:r>
    </w:p>
    <w:p>
      <w:pPr>
        <w:pStyle w:val="Heading2"/>
      </w:pPr>
      <w:r>
        <w:t>Association and spanning answer different questions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2160"/>
        <w:gridCol w:w="7920"/>
      </w:tblGrid>
      <w:tr>
        <w:trPr>
          <w:cantSplit/>
          <w:tblHeader/>
        </w:trPr>
        <w:tc>
          <w:tcPr>
            <w:tcW w:type="dxa" w:w="2160"/>
            <w:vAlign w:val="center"/>
            <w:shd w:fill="344B5E"/>
          </w:tcPr>
          <w:p>
            <w:pPr>
              <w:spacing w:after="0" w:line="252" w:lineRule="auto"/>
            </w:pPr>
            <w:r>
              <w:rPr>
                <w:b/>
                <w:color w:val="FFFFFF"/>
                <w:sz w:val="21"/>
              </w:rPr>
              <w:t>Association</w:t>
            </w:r>
          </w:p>
        </w:tc>
        <w:tc>
          <w:tcPr>
            <w:tcW w:type="dxa" w:w="7920"/>
            <w:vAlign w:val="center"/>
            <w:shd w:fill="344B5E"/>
          </w:tcPr>
          <w:p>
            <w:pPr>
              <w:spacing w:after="0" w:line="252" w:lineRule="auto"/>
            </w:pPr>
            <w:r>
              <w:rPr>
                <w:b/>
                <w:color w:val="FFFFFF"/>
                <w:sz w:val="21"/>
              </w:rPr>
              <w:t>Meaning</w:t>
            </w:r>
          </w:p>
        </w:tc>
      </w:tr>
      <w:tr>
        <w:trPr>
          <w:cantSplit/>
        </w:trPr>
        <w:tc>
          <w:tcPr>
            <w:tcW w:type="dxa" w:w="2160"/>
            <w:vAlign w:val="center"/>
            <w:shd w:fill="FFFFFF"/>
          </w:tcPr>
          <w:p>
            <w:pPr>
              <w:spacing w:after="0" w:line="252" w:lineRule="auto"/>
            </w:pPr>
            <w:r>
              <w:rPr>
                <w:rFonts w:ascii="Calibri" w:hAnsi="Calibri"/>
                <w:sz w:val="21"/>
              </w:rPr>
              <w:t>supporting</w:t>
            </w:r>
          </w:p>
        </w:tc>
        <w:tc>
          <w:tcPr>
            <w:tcW w:type="dxa" w:w="7920"/>
            <w:vAlign w:val="center"/>
            <w:shd w:fill="FFFFFF"/>
          </w:tcPr>
          <w:p>
            <w:pPr>
              <w:spacing w:after="0" w:line="252" w:lineRule="auto"/>
            </w:pPr>
            <w:r>
              <w:rPr>
                <w:sz w:val="21"/>
              </w:rPr>
              <w:t>A junction from this molecule was assigned to this canonical SV.</w:t>
            </w:r>
          </w:p>
        </w:tc>
      </w:tr>
      <w:tr>
        <w:trPr>
          <w:cantSplit/>
        </w:trPr>
        <w:tc>
          <w:tcPr>
            <w:tcW w:type="dxa" w:w="2160"/>
            <w:vAlign w:val="center"/>
            <w:shd w:fill="F1F4F6"/>
          </w:tcPr>
          <w:p>
            <w:pPr>
              <w:spacing w:after="0" w:line="252" w:lineRule="auto"/>
            </w:pPr>
            <w:r>
              <w:rPr>
                <w:rFonts w:ascii="Calibri" w:hAnsi="Calibri"/>
                <w:sz w:val="21"/>
              </w:rPr>
              <w:t>reference</w:t>
            </w:r>
          </w:p>
        </w:tc>
        <w:tc>
          <w:tcPr>
            <w:tcW w:type="dxa" w:w="7920"/>
            <w:vAlign w:val="center"/>
            <w:shd w:fill="F1F4F6"/>
          </w:tcPr>
          <w:p>
            <w:pPr>
              <w:spacing w:after="0" w:line="252" w:lineRule="auto"/>
            </w:pPr>
            <w:r>
              <w:rPr>
                <w:sz w:val="21"/>
              </w:rPr>
              <w:t>An exact one-copy observation with no assigned junction. Read this as reference-like for this event.</w:t>
            </w:r>
          </w:p>
        </w:tc>
      </w:tr>
      <w:tr>
        <w:trPr>
          <w:cantSplit/>
        </w:trPr>
        <w:tc>
          <w:tcPr>
            <w:tcW w:type="dxa" w:w="2160"/>
            <w:vAlign w:val="center"/>
            <w:shd w:fill="FFFFFF"/>
          </w:tcPr>
          <w:p>
            <w:pPr>
              <w:spacing w:after="0" w:line="252" w:lineRule="auto"/>
            </w:pPr>
            <w:r>
              <w:rPr>
                <w:rFonts w:ascii="Calibri" w:hAnsi="Calibri"/>
                <w:sz w:val="21"/>
              </w:rPr>
              <w:t>overlap_only</w:t>
            </w:r>
          </w:p>
        </w:tc>
        <w:tc>
          <w:tcPr>
            <w:tcW w:type="dxa" w:w="7920"/>
            <w:vAlign w:val="center"/>
            <w:shd w:fill="FFFFFF"/>
          </w:tcPr>
          <w:p>
            <w:pPr>
              <w:spacing w:after="0" w:line="252" w:lineRule="auto"/>
            </w:pPr>
            <w:r>
              <w:rPr>
                <w:sz w:val="21"/>
              </w:rPr>
              <w:t>A region-associated observation that meets neither definition above.</w:t>
            </w:r>
          </w:p>
        </w:tc>
      </w:tr>
    </w:tbl>
    <w:p>
      <w:pPr>
        <w:spacing w:after="0" w:before="0" w:line="240" w:lineRule="auto"/>
      </w:pPr>
      <w:r>
        <w:rPr>
          <w:sz w:val="6"/>
        </w:rPr>
      </w:r>
    </w:p>
    <w:p>
      <w:r>
        <w:t>Association describes event evidence. Spanning describes whether the molecule captures the normal sequence on both sides of the array. A supporting read can be nonspanning, and a reference-like read can span the region.</w:t>
      </w:r>
    </w:p>
    <w:p>
      <w:r>
        <w:t>Both flanks are required for spanning. A read with only one normal flank is nonspanning. A read with neither flank can still contribute an observation and a copy-count lower bound. In the default configuration, the normal flank anchor requirement is 100 bp.</w:t>
      </w:r>
    </w:p>
    <w:p>
      <w:pPr>
        <w:pStyle w:val="Heading2"/>
      </w:pPr>
      <w:r>
        <w:t>Exact counts and plus labels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1008"/>
        <w:gridCol w:w="9072"/>
      </w:tblGrid>
      <w:tr>
        <w:trPr>
          <w:cantSplit/>
          <w:tblHeader/>
        </w:trPr>
        <w:tc>
          <w:tcPr>
            <w:tcW w:type="dxa" w:w="1008"/>
            <w:vAlign w:val="center"/>
            <w:shd w:fill="344B5E"/>
          </w:tcPr>
          <w:p>
            <w:pPr>
              <w:spacing w:after="0" w:line="252" w:lineRule="auto"/>
            </w:pPr>
            <w:r>
              <w:rPr>
                <w:b/>
                <w:color w:val="FFFFFF"/>
                <w:sz w:val="21"/>
              </w:rPr>
              <w:t>Label</w:t>
            </w:r>
          </w:p>
        </w:tc>
        <w:tc>
          <w:tcPr>
            <w:tcW w:type="dxa" w:w="9072"/>
            <w:vAlign w:val="center"/>
            <w:shd w:fill="344B5E"/>
          </w:tcPr>
          <w:p>
            <w:pPr>
              <w:spacing w:after="0" w:line="252" w:lineRule="auto"/>
            </w:pPr>
            <w:r>
              <w:rPr>
                <w:b/>
                <w:color w:val="FFFFFF"/>
                <w:sz w:val="21"/>
              </w:rPr>
              <w:t>Interpretation</w:t>
            </w:r>
          </w:p>
        </w:tc>
      </w:tr>
      <w:tr>
        <w:trPr>
          <w:cantSplit/>
        </w:trPr>
        <w:tc>
          <w:tcPr>
            <w:tcW w:type="dxa" w:w="1008"/>
            <w:vAlign w:val="center"/>
            <w:shd w:fill="FFFFFF"/>
          </w:tcPr>
          <w:p>
            <w:pPr>
              <w:spacing w:after="0" w:line="252" w:lineRule="auto"/>
            </w:pPr>
            <w:r>
              <w:rPr>
                <w:rFonts w:ascii="Calibri" w:hAnsi="Calibri"/>
                <w:sz w:val="21"/>
              </w:rPr>
              <w:t>2</w:t>
            </w:r>
          </w:p>
        </w:tc>
        <w:tc>
          <w:tcPr>
            <w:tcW w:type="dxa" w:w="9072"/>
            <w:vAlign w:val="center"/>
            <w:shd w:fill="FFFFFF"/>
          </w:tcPr>
          <w:p>
            <w:pPr>
              <w:spacing w:after="0" w:line="252" w:lineRule="auto"/>
            </w:pPr>
            <w:r>
              <w:rPr>
                <w:sz w:val="21"/>
              </w:rPr>
              <w:t>The regional copy count is resolved as two.</w:t>
            </w:r>
          </w:p>
        </w:tc>
      </w:tr>
      <w:tr>
        <w:trPr>
          <w:cantSplit/>
        </w:trPr>
        <w:tc>
          <w:tcPr>
            <w:tcW w:type="dxa" w:w="1008"/>
            <w:vAlign w:val="center"/>
            <w:shd w:fill="F1F4F6"/>
          </w:tcPr>
          <w:p>
            <w:pPr>
              <w:spacing w:after="0" w:line="252" w:lineRule="auto"/>
            </w:pPr>
            <w:r>
              <w:rPr>
                <w:rFonts w:ascii="Calibri" w:hAnsi="Calibri"/>
                <w:sz w:val="21"/>
              </w:rPr>
              <w:t>2+</w:t>
            </w:r>
          </w:p>
        </w:tc>
        <w:tc>
          <w:tcPr>
            <w:tcW w:type="dxa" w:w="9072"/>
            <w:vAlign w:val="center"/>
            <w:shd w:fill="F1F4F6"/>
          </w:tcPr>
          <w:p>
            <w:pPr>
              <w:spacing w:after="0" w:line="252" w:lineRule="auto"/>
            </w:pPr>
            <w:r>
              <w:rPr>
                <w:sz w:val="21"/>
              </w:rPr>
              <w:t>At least two complete regional copies were observed, but the total is unresolved. The plus sign does not guarantee that another copy exists.</w:t>
            </w:r>
          </w:p>
        </w:tc>
      </w:tr>
      <w:tr>
        <w:trPr>
          <w:cantSplit/>
        </w:trPr>
        <w:tc>
          <w:tcPr>
            <w:tcW w:type="dxa" w:w="1008"/>
            <w:vAlign w:val="center"/>
            <w:shd w:fill="FFFFFF"/>
          </w:tcPr>
          <w:p>
            <w:pPr>
              <w:spacing w:after="0" w:line="252" w:lineRule="auto"/>
            </w:pPr>
            <w:r>
              <w:rPr>
                <w:rFonts w:ascii="Calibri" w:hAnsi="Calibri"/>
                <w:sz w:val="21"/>
              </w:rPr>
              <w:t>0+</w:t>
            </w:r>
          </w:p>
        </w:tc>
        <w:tc>
          <w:tcPr>
            <w:tcW w:type="dxa" w:w="9072"/>
            <w:vAlign w:val="center"/>
            <w:shd w:fill="FFFFFF"/>
          </w:tcPr>
          <w:p>
            <w:pPr>
              <w:spacing w:after="0" w:line="252" w:lineRule="auto"/>
            </w:pPr>
            <w:r>
              <w:rPr>
                <w:sz w:val="21"/>
              </w:rPr>
              <w:t>No complete regional traversal was captured. This label alone is not evidence for a deletion.</w:t>
            </w:r>
          </w:p>
        </w:tc>
      </w:tr>
    </w:tbl>
    <w:p>
      <w:pPr>
        <w:spacing w:after="0" w:before="0" w:line="240" w:lineRule="auto"/>
      </w:pPr>
      <w:r>
        <w:rPr>
          <w:sz w:val="6"/>
        </w:rPr>
      </w:r>
    </w:p>
    <w:p>
      <w:r>
        <w:t>By default, a complete traversal must cover at least 90% of the canonical region. The fields observed_copies, partial_copies, copy_label, copy_exact, and copy_status describe the reconstruction. Check copy_status before treating a plus label as usable model evidence: ambiguous or unresolved observations are excluded from fitting.</w:t>
      </w:r>
    </w:p>
    <w:p>
      <w:pPr>
        <w:pStyle w:val="Heading2"/>
      </w:pPr>
      <w:r>
        <w:t>Example of one molecule contributing several measurements</w:t>
      </w:r>
    </w:p>
    <w:p>
      <w:r>
        <w:t>A molecule with three complete regional copies and two duplication junctions contributes:</w:t>
      </w:r>
    </w:p>
    <w:p>
      <w:pPr>
        <w:pStyle w:val="ListBullet"/>
      </w:pPr>
      <w:r>
        <w:t>1 observational read</w:t>
      </w:r>
    </w:p>
    <w:p>
      <w:pPr>
        <w:pStyle w:val="ListBullet"/>
      </w:pPr>
      <w:r>
        <w:t>1 supporting read</w:t>
      </w:r>
    </w:p>
    <w:p>
      <w:pPr>
        <w:pStyle w:val="ListBullet"/>
      </w:pPr>
      <w:r>
        <w:t>3 observed_complete_copies</w:t>
      </w:r>
    </w:p>
    <w:p>
      <w:pPr>
        <w:pStyle w:val="ListBullet"/>
      </w:pPr>
      <w:r>
        <w:t>2 breakpoint_occurrences</w:t>
      </w:r>
    </w:p>
    <w:p>
      <w:r>
        <w:t>If the reconstruction is exact, its label is 3. If three copies are captured but the total is unresolved, its label is 3+. Multiple junctions on the same read do not turn it into multiple independent supporting molecules.</w:t>
      </w:r>
    </w:p>
    <w:p>
      <w:pPr>
        <w:pStyle w:val="Heading1"/>
        <w:pageBreakBefore/>
      </w:pPr>
      <w:r>
        <w:t>What the different SV types mean</w:t>
      </w:r>
    </w:p>
    <w:p>
      <w:r>
        <w:t>SV boundaries come from read alignment evidence. Regional depth is calculated afterward; it does not define the breakpoints. The interpretation of copy categories therefore depends on the event type.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792"/>
        <w:gridCol w:w="5472"/>
        <w:gridCol w:w="3816"/>
      </w:tblGrid>
      <w:tr>
        <w:trPr>
          <w:cantSplit/>
          <w:tblHeader/>
        </w:trPr>
        <w:tc>
          <w:tcPr>
            <w:tcW w:type="dxa" w:w="792"/>
            <w:vAlign w:val="center"/>
            <w:shd w:fill="344B5E"/>
          </w:tcPr>
          <w:p>
            <w:pPr>
              <w:spacing w:after="0" w:line="252" w:lineRule="auto"/>
            </w:pPr>
            <w:r>
              <w:rPr>
                <w:b/>
                <w:color w:val="FFFFFF"/>
                <w:sz w:val="21"/>
              </w:rPr>
              <w:t>Type</w:t>
            </w:r>
          </w:p>
        </w:tc>
        <w:tc>
          <w:tcPr>
            <w:tcW w:type="dxa" w:w="5472"/>
            <w:vAlign w:val="center"/>
            <w:shd w:fill="344B5E"/>
          </w:tcPr>
          <w:p>
            <w:pPr>
              <w:spacing w:after="0" w:line="252" w:lineRule="auto"/>
            </w:pPr>
            <w:r>
              <w:rPr>
                <w:b/>
                <w:color w:val="FFFFFF"/>
                <w:sz w:val="21"/>
              </w:rPr>
              <w:t>Read evidence used to discover a candidate</w:t>
            </w:r>
          </w:p>
        </w:tc>
        <w:tc>
          <w:tcPr>
            <w:tcW w:type="dxa" w:w="3816"/>
            <w:vAlign w:val="center"/>
            <w:shd w:fill="344B5E"/>
          </w:tcPr>
          <w:p>
            <w:pPr>
              <w:spacing w:after="0" w:line="252" w:lineRule="auto"/>
            </w:pPr>
            <w:r>
              <w:rPr>
                <w:b/>
                <w:color w:val="FFFFFF"/>
                <w:sz w:val="21"/>
              </w:rPr>
              <w:t>Depth expectation for a simple event</w:t>
            </w:r>
          </w:p>
        </w:tc>
      </w:tr>
      <w:tr>
        <w:trPr>
          <w:cantSplit/>
        </w:trPr>
        <w:tc>
          <w:tcPr>
            <w:tcW w:type="dxa" w:w="792"/>
            <w:vAlign w:val="center"/>
            <w:shd w:fill="FFFFFF"/>
          </w:tcPr>
          <w:p>
            <w:pPr>
              <w:spacing w:after="0" w:line="252" w:lineRule="auto"/>
            </w:pPr>
            <w:r>
              <w:rPr>
                <w:sz w:val="21"/>
              </w:rPr>
              <w:t>DUP</w:t>
            </w:r>
          </w:p>
        </w:tc>
        <w:tc>
          <w:tcPr>
            <w:tcW w:type="dxa" w:w="5472"/>
            <w:vAlign w:val="center"/>
            <w:shd w:fill="FFFFFF"/>
          </w:tcPr>
          <w:p>
            <w:pPr>
              <w:spacing w:after="0" w:line="252" w:lineRule="auto"/>
            </w:pPr>
            <w:r>
              <w:rPr>
                <w:sz w:val="21"/>
              </w:rPr>
              <w:t>A same-orientation alignment path jumps backward along the reference, consistent with repeated traversal.</w:t>
            </w:r>
          </w:p>
        </w:tc>
        <w:tc>
          <w:tcPr>
            <w:tcW w:type="dxa" w:w="3816"/>
            <w:vAlign w:val="center"/>
            <w:shd w:fill="FFFFFF"/>
          </w:tcPr>
          <w:p>
            <w:pPr>
              <w:spacing w:after="0" w:line="252" w:lineRule="auto"/>
            </w:pPr>
            <w:r>
              <w:rPr>
                <w:sz w:val="21"/>
              </w:rPr>
              <w:t>Often increased regional depth when the event contributes appreciably to the sample.</w:t>
            </w:r>
          </w:p>
        </w:tc>
      </w:tr>
      <w:tr>
        <w:trPr>
          <w:cantSplit/>
        </w:trPr>
        <w:tc>
          <w:tcPr>
            <w:tcW w:type="dxa" w:w="792"/>
            <w:vAlign w:val="center"/>
            <w:shd w:fill="F1F4F6"/>
          </w:tcPr>
          <w:p>
            <w:pPr>
              <w:spacing w:after="0" w:line="252" w:lineRule="auto"/>
            </w:pPr>
            <w:r>
              <w:rPr>
                <w:sz w:val="21"/>
              </w:rPr>
              <w:t>DEL</w:t>
            </w:r>
          </w:p>
        </w:tc>
        <w:tc>
          <w:tcPr>
            <w:tcW w:type="dxa" w:w="5472"/>
            <w:vAlign w:val="center"/>
            <w:shd w:fill="F1F4F6"/>
          </w:tcPr>
          <w:p>
            <w:pPr>
              <w:spacing w:after="0" w:line="252" w:lineRule="auto"/>
            </w:pPr>
            <w:r>
              <w:rPr>
                <w:sz w:val="21"/>
              </w:rPr>
              <w:t>A qualifying reference skip between alignments, or a qualifying deletion in the CIGAR.</w:t>
            </w:r>
          </w:p>
        </w:tc>
        <w:tc>
          <w:tcPr>
            <w:tcW w:type="dxa" w:w="3816"/>
            <w:vAlign w:val="center"/>
            <w:shd w:fill="F1F4F6"/>
          </w:tcPr>
          <w:p>
            <w:pPr>
              <w:spacing w:after="0" w:line="252" w:lineRule="auto"/>
            </w:pPr>
            <w:r>
              <w:rPr>
                <w:sz w:val="21"/>
              </w:rPr>
              <w:t>Often reduced regional depth when the event contributes appreciably to the sample.</w:t>
            </w:r>
          </w:p>
        </w:tc>
      </w:tr>
      <w:tr>
        <w:trPr>
          <w:cantSplit/>
        </w:trPr>
        <w:tc>
          <w:tcPr>
            <w:tcW w:type="dxa" w:w="792"/>
            <w:vAlign w:val="center"/>
            <w:shd w:fill="FFFFFF"/>
          </w:tcPr>
          <w:p>
            <w:pPr>
              <w:spacing w:after="0" w:line="252" w:lineRule="auto"/>
            </w:pPr>
            <w:r>
              <w:rPr>
                <w:sz w:val="21"/>
              </w:rPr>
              <w:t>INV</w:t>
            </w:r>
          </w:p>
        </w:tc>
        <w:tc>
          <w:tcPr>
            <w:tcW w:type="dxa" w:w="5472"/>
            <w:vAlign w:val="center"/>
            <w:shd w:fill="FFFFFF"/>
          </w:tcPr>
          <w:p>
            <w:pPr>
              <w:spacing w:after="0" w:line="252" w:lineRule="auto"/>
            </w:pPr>
            <w:r>
              <w:rPr>
                <w:sz w:val="21"/>
              </w:rPr>
              <w:t>Adjacent selected alignments change orientation.</w:t>
            </w:r>
          </w:p>
        </w:tc>
        <w:tc>
          <w:tcPr>
            <w:tcW w:type="dxa" w:w="3816"/>
            <w:vAlign w:val="center"/>
            <w:shd w:fill="FFFFFF"/>
          </w:tcPr>
          <w:p>
            <w:pPr>
              <w:spacing w:after="0" w:line="252" w:lineRule="auto"/>
            </w:pPr>
            <w:r>
              <w:rPr>
                <w:sz w:val="21"/>
              </w:rPr>
              <w:t>A simple inversion can retain normal regional depth.</w:t>
            </w:r>
          </w:p>
        </w:tc>
      </w:tr>
    </w:tbl>
    <w:p>
      <w:pPr>
        <w:spacing w:after="0" w:before="0" w:line="240" w:lineRule="auto"/>
      </w:pPr>
      <w:r>
        <w:rPr>
          <w:sz w:val="6"/>
        </w:rPr>
      </w:r>
    </w:p>
    <w:p>
      <w:pPr>
        <w:pStyle w:val="Heading2"/>
      </w:pPr>
      <w:r>
        <w:t>Duplications</w:t>
      </w:r>
    </w:p>
    <w:p>
      <w:r>
        <w:t>Look for junction support and repeated traversals of the same region. Exact and plus categories describe how many copies the molecule captured. Then compare those observations with regional CN and the length-dependent expectations in the heterogeneity model.</w:t>
      </w:r>
    </w:p>
    <w:p>
      <w:r>
        <w:t>A read can carry several copies and several duplication junctions, while still contributing only one supporting molecule. This is where molecule counts, junction counts, and summed copy counts are especially easy to confuse.</w:t>
      </w:r>
    </w:p>
    <w:p>
      <w:pPr>
        <w:pStyle w:val="Heading2"/>
      </w:pPr>
      <w:r>
        <w:t>Deletions</w:t>
      </w:r>
    </w:p>
    <w:p>
      <w:r>
        <w:t>Look for reads bridging the skipped interval, agreement between their endpoints, and the regional CN estimate. A fully captured deletion can have normal flank support on both sides but zero complete copies of the deleted interval. That is different from an uninformative 0+ observation that simply fails to capture a complete traversal.</w:t>
      </w:r>
    </w:p>
    <w:p>
      <w:pPr>
        <w:pStyle w:val="Heading2"/>
      </w:pPr>
      <w:r>
        <w:t>Inversions</w:t>
      </w:r>
    </w:p>
    <w:p>
      <w:r>
        <w:t>Look at the orientation and arrangement of the alignments. A fully captured inversion may still contain one copy of the interval, in reverse orientation. Normal CN therefore does not rule out an inversion.</w:t>
      </w:r>
    </w:p>
    <w:p>
      <w:r>
        <w:t>In this version, a qualifying orientation change can produce an INV candidate. The caller does not require a fully reconstructed, two-junction inversion before creating that candidate. Inspect the alignment arrangement when judging whether the proposed structure is well supported.</w:t>
      </w:r>
    </w:p>
    <w:p>
      <w:r>
        <w:t>The duplication heterogeneity model is not applied to DEL or INV events. For those types, prioritize junction evidence, flank support, endpoint agreement, and the appropriate depth interpretation.</w:t>
      </w:r>
    </w:p>
    <w:p>
      <w:pPr>
        <w:pStyle w:val="Heading1"/>
        <w:pageBreakBefore/>
      </w:pPr>
      <w:r>
        <w:t>Following the evidence through the run</w:t>
      </w:r>
    </w:p>
    <w:p>
      <w:pPr>
        <w:pStyle w:val="Heading2"/>
      </w:pPr>
      <w:r>
        <w:t>1 Identify the canonical region</w:t>
      </w:r>
    </w:p>
    <w:p>
      <w:pPr>
        <w:pStyle w:val="CodePath"/>
      </w:pPr>
      <w:r>
        <w:t>07_report/index.html</w:t>
        <w:br/>
        <w:t>03_canonical/events.tsv</w:t>
      </w:r>
    </w:p>
    <w:p>
      <w:r>
        <w:t>Start with the report index, then inspect the canonical event record. SVCROWS produces a shared canonical set across the dataset. An event can therefore appear in a sample table even when that sample has no supporting reads.</w:t>
      </w:r>
    </w:p>
    <w:p>
      <w:pPr>
        <w:pStyle w:val="ListBullet"/>
      </w:pPr>
      <w:r>
        <w:t>discovery_molecules counts distinct molecules that contributed to discovery across the run.</w:t>
      </w:r>
    </w:p>
    <w:p>
      <w:pPr>
        <w:pStyle w:val="ListBullet"/>
      </w:pPr>
      <w:r>
        <w:t>member_occurrences counts their contributing junction occurrences.</w:t>
      </w:r>
    </w:p>
    <w:p>
      <w:pPr>
        <w:pStyle w:val="ListBullet"/>
      </w:pPr>
      <w:r>
        <w:t>start_min, start_max, end_min, and end_max show the variation in contributing endpoints.</w:t>
      </w:r>
    </w:p>
    <w:p>
      <w:r>
        <w:t>A canonical boundary represents the merged event. It does not imply that every contributing molecule had exactly the same endpoint. The event_members.tsv.gz file preserves the occurrence-to-event mapping and endpoint offsets.</w:t>
      </w:r>
    </w:p>
    <w:p>
      <w:pPr>
        <w:pStyle w:val="Heading2"/>
      </w:pPr>
      <w:r>
        <w:t>2 Assess direct evidence in each sample</w:t>
      </w:r>
    </w:p>
    <w:p>
      <w:pPr>
        <w:pStyle w:val="CodePath"/>
      </w:pPr>
      <w:r>
        <w:t>05_abundance/counts_raw.tsv</w:t>
        <w:br/>
        <w:t>04_reads/read_observations.tsv.gz</w:t>
      </w:r>
    </w:p>
    <w:p>
      <w:r>
        <w:t>Begin with raw supporting_reads, then inspect the corresponding molecules. Ask whether several independent molecules support the event, whether any span it, and whether the reconstructions are ambiguous or unresolved.</w:t>
      </w:r>
    </w:p>
    <w:p>
      <w:r>
        <w:t>breakpoints_consistent indicates whether all retained member endpoints on a read lie within the configured tolerance of the canonical bounds, 100 bp by default. It does not establish identical sequence across all copies. It is empty when the read has no contributing breakpoints.</w:t>
      </w:r>
    </w:p>
    <w:p>
      <w:r>
        <w:t>Read observations are ordered by sample and read, so rows belonging to one event need not be contiguous. In region-only output, feature_id = __event__ identifies the whole canonical interval.</w:t>
      </w:r>
    </w:p>
    <w:p>
      <w:pPr>
        <w:pStyle w:val="Heading2"/>
      </w:pPr>
      <w:r>
        <w:t>3 Assess regional copy number independently</w:t>
      </w:r>
    </w:p>
    <w:p>
      <w:pPr>
        <w:pStyle w:val="CodePath"/>
      </w:pPr>
      <w:r>
        <w:t>05_abundance/copy_number.tsv</w:t>
      </w:r>
    </w:p>
    <w:p>
      <w:r>
        <w:t>relative_cn is target_depth divided by chromosome_depth. The background uses usable chromosome sequence and excludes the target, other canonical DUP and DEL regions, and applicable masks.</w:t>
      </w:r>
    </w:p>
    <w:p>
      <w:r>
        <w:rPr>
          <w:b/>
        </w:rPr>
        <w:t>Example:</w:t>
      </w:r>
      <w:r>
        <w:t xml:space="preserve"> relative_cn near 3 means approximately three times the background depth. It does not mean every molecule contains three copies. Check status and baseline_usable_bases alongside the estimate. An empty estimate means unavailable, not zero.</w:t>
      </w:r>
    </w:p>
    <w:p>
      <w:r>
        <w:t>Strong junction evidence with CN near 1 may reflect a minority event or a more complex structure. Inspect the evidence rather than automatically rejecting the event because the bulk depth is close to baseline.</w:t>
      </w:r>
    </w:p>
    <w:p>
      <w:pPr>
        <w:pStyle w:val="Heading1"/>
        <w:pageBreakBefore/>
      </w:pPr>
      <w:r>
        <w:t>Comparing raw counts and model results</w:t>
      </w:r>
    </w:p>
    <w:p>
      <w:pPr>
        <w:pStyle w:val="Heading2"/>
      </w:pPr>
      <w:r>
        <w:t>4 Compare raw and LAMB weighted evidence</w:t>
      </w:r>
    </w:p>
    <w:p>
      <w:pPr>
        <w:pStyle w:val="CodePath"/>
      </w:pPr>
      <w:r>
        <w:t>05_abundance/counts_{raw,weighted}.tsv</w:t>
        <w:br/>
        <w:t>05_abundance/length_bins_{raw,weighted}.tsv</w:t>
      </w:r>
    </w:p>
    <w:p>
      <w:r>
        <w:t>Raw counts are physical molecules. Weighted counts are sums of LAMB weights, so fractional values are expected. A large change after weighting indicates that the evidence is concentrated in length bins affected differently by the normalization.</w:t>
      </w:r>
    </w:p>
    <w:p>
      <w:r>
        <w:t>That change alone does not demonstrate heterogeneous CN. Read length changes the opportunity to capture an array or a particular number of copies. Inspect the length-bin distributions before interpreting a difference in copy categories.</w:t>
      </w:r>
    </w:p>
    <w:p>
      <w:r>
        <w:t>Matching length composition in LAMB maximalist mode does not ensure identical total molecule counts. Absolute supporting-read counts alone can therefore mislead when comparing samples.</w:t>
      </w:r>
    </w:p>
    <w:p>
      <w:r>
        <w:t>effective_reads describes how much information remains after weighting. It equals the square of the sum of weights divided by the sum of squared weights. In the raw track it equals the observational molecule count; multiplying weighted totals cannot restore missing independent observations.</w:t>
      </w:r>
    </w:p>
    <w:p>
      <w:pPr>
        <w:pStyle w:val="Heading2"/>
      </w:pPr>
      <w:r>
        <w:t>5 Examine the duplication model</w:t>
      </w:r>
    </w:p>
    <w:p>
      <w:pPr>
        <w:pStyle w:val="CodePath"/>
      </w:pPr>
      <w:r>
        <w:t>06_heterogeneity/heterogeneity.tsv</w:t>
        <w:br/>
        <w:t>06_heterogeneity/expected_categories.tsv.gz</w:t>
      </w:r>
    </w:p>
    <w:p>
      <w:r>
        <w:t>The model combines read-length information, array geometry, LAMB weights, and bulk CN to predict observable copy categories under a uniform-copy explanation. Compare observations with those expectations, rather than expecting all reads to show the bulk copy number.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5" w:type="dxa"/>
          <w:right w:w="105" w:type="dxa"/>
        </w:tblCellMar>
      </w:tblPr>
      <w:tblGrid>
        <w:gridCol w:w="3096"/>
        <w:gridCol w:w="6984"/>
      </w:tblGrid>
      <w:tr>
        <w:trPr>
          <w:cantSplit/>
          <w:tblHeader/>
        </w:trPr>
        <w:tc>
          <w:tcPr>
            <w:tcW w:type="dxa" w:w="3096"/>
            <w:vAlign w:val="center"/>
            <w:shd w:fill="344B5E"/>
          </w:tcPr>
          <w:p>
            <w:pPr>
              <w:spacing w:after="0" w:line="252" w:lineRule="auto"/>
            </w:pPr>
            <w:r>
              <w:rPr>
                <w:b/>
                <w:color w:val="FFFFFF"/>
                <w:sz w:val="21"/>
              </w:rPr>
              <w:t>Heading or status</w:t>
            </w:r>
          </w:p>
        </w:tc>
        <w:tc>
          <w:tcPr>
            <w:tcW w:type="dxa" w:w="6984"/>
            <w:vAlign w:val="center"/>
            <w:shd w:fill="344B5E"/>
          </w:tcPr>
          <w:p>
            <w:pPr>
              <w:spacing w:after="0" w:line="252" w:lineRule="auto"/>
            </w:pPr>
            <w:r>
              <w:rPr>
                <w:b/>
                <w:color w:val="FFFFFF"/>
                <w:sz w:val="21"/>
              </w:rPr>
              <w:t>How to read it</w:t>
            </w:r>
          </w:p>
        </w:tc>
      </w:tr>
      <w:tr>
        <w:trPr>
          <w:cantSplit/>
        </w:trPr>
        <w:tc>
          <w:tcPr>
            <w:tcW w:type="dxa" w:w="3096"/>
            <w:vAlign w:val="center"/>
            <w:shd w:fill="FFFFFF"/>
          </w:tcPr>
          <w:p>
            <w:pPr>
              <w:spacing w:after="0" w:line="252" w:lineRule="auto"/>
            </w:pPr>
            <w:r>
              <w:rPr>
                <w:rFonts w:ascii="Calibri" w:hAnsi="Calibri"/>
                <w:sz w:val="21"/>
              </w:rPr>
              <w:t>bulk_cn</w:t>
            </w:r>
          </w:p>
        </w:tc>
        <w:tc>
          <w:tcPr>
            <w:tcW w:type="dxa" w:w="6984"/>
            <w:vAlign w:val="center"/>
            <w:shd w:fill="FFFFFF"/>
          </w:tcPr>
          <w:p>
            <w:pPr>
              <w:spacing w:after="0" w:line="252" w:lineRule="auto"/>
            </w:pPr>
            <w:r>
              <w:rPr>
                <w:sz w:val="21"/>
              </w:rPr>
              <w:t>The CN supplied to the model, usually the regional depth estimate.</w:t>
            </w:r>
          </w:p>
        </w:tc>
      </w:tr>
      <w:tr>
        <w:trPr>
          <w:cantSplit/>
        </w:trPr>
        <w:tc>
          <w:tcPr>
            <w:tcW w:type="dxa" w:w="3096"/>
            <w:vAlign w:val="center"/>
            <w:shd w:fill="F1F4F6"/>
          </w:tcPr>
          <w:p>
            <w:pPr>
              <w:spacing w:after="0" w:line="252" w:lineRule="auto"/>
            </w:pPr>
            <w:r>
              <w:rPr>
                <w:rFonts w:ascii="Calibri" w:hAnsi="Calibri"/>
                <w:sz w:val="21"/>
              </w:rPr>
              <w:t>uniform_copies</w:t>
            </w:r>
          </w:p>
        </w:tc>
        <w:tc>
          <w:tcPr>
            <w:tcW w:type="dxa" w:w="6984"/>
            <w:vAlign w:val="center"/>
            <w:shd w:fill="F1F4F6"/>
          </w:tcPr>
          <w:p>
            <w:pPr>
              <w:spacing w:after="0" w:line="252" w:lineRule="auto"/>
            </w:pPr>
            <w:r>
              <w:rPr>
                <w:sz w:val="21"/>
              </w:rPr>
              <w:t>The best-fitting eligible integer state within the allowed CN range.</w:t>
            </w:r>
          </w:p>
        </w:tc>
      </w:tr>
      <w:tr>
        <w:trPr>
          <w:cantSplit/>
        </w:trPr>
        <w:tc>
          <w:tcPr>
            <w:tcW w:type="dxa" w:w="3096"/>
            <w:vAlign w:val="center"/>
            <w:shd w:fill="FFFFFF"/>
          </w:tcPr>
          <w:p>
            <w:pPr>
              <w:spacing w:after="0" w:line="252" w:lineRule="auto"/>
            </w:pPr>
            <w:r>
              <w:rPr>
                <w:rFonts w:ascii="Calibri" w:hAnsi="Calibri"/>
                <w:sz w:val="21"/>
              </w:rPr>
              <w:t>conditional_p</w:t>
            </w:r>
          </w:p>
        </w:tc>
        <w:tc>
          <w:tcPr>
            <w:tcW w:type="dxa" w:w="6984"/>
            <w:vAlign w:val="center"/>
            <w:shd w:fill="FFFFFF"/>
          </w:tcPr>
          <w:p>
            <w:pPr>
              <w:spacing w:after="0" w:line="252" w:lineRule="auto"/>
            </w:pPr>
            <w:r>
              <w:rPr>
                <w:sz w:val="21"/>
              </w:rPr>
              <w:t>How unusual the observations are under the specified model. It is not confidence that the SV exists.</w:t>
            </w:r>
          </w:p>
        </w:tc>
      </w:tr>
      <w:tr>
        <w:trPr>
          <w:cantSplit/>
        </w:trPr>
        <w:tc>
          <w:tcPr>
            <w:tcW w:type="dxa" w:w="3096"/>
            <w:vAlign w:val="center"/>
            <w:shd w:fill="F1F4F6"/>
          </w:tcPr>
          <w:p>
            <w:pPr>
              <w:spacing w:after="0" w:line="252" w:lineRule="auto"/>
            </w:pPr>
            <w:r>
              <w:rPr>
                <w:rFonts w:ascii="Calibri" w:hAnsi="Calibri"/>
                <w:sz w:val="21"/>
              </w:rPr>
              <w:t>exploratory_skew</w:t>
            </w:r>
          </w:p>
        </w:tc>
        <w:tc>
          <w:tcPr>
            <w:tcW w:type="dxa" w:w="6984"/>
            <w:vAlign w:val="center"/>
            <w:shd w:fill="F1F4F6"/>
          </w:tcPr>
          <w:p>
            <w:pPr>
              <w:spacing w:after="0" w:line="252" w:lineRule="auto"/>
            </w:pPr>
            <w:r>
              <w:rPr>
                <w:sz w:val="21"/>
              </w:rPr>
              <w:t>The observations disagree with the tested uniform model at the configured threshold.</w:t>
            </w:r>
          </w:p>
        </w:tc>
      </w:tr>
      <w:tr>
        <w:trPr>
          <w:cantSplit/>
        </w:trPr>
        <w:tc>
          <w:tcPr>
            <w:tcW w:type="dxa" w:w="3096"/>
            <w:vAlign w:val="center"/>
            <w:shd w:fill="FFFFFF"/>
          </w:tcPr>
          <w:p>
            <w:pPr>
              <w:spacing w:after="0" w:line="252" w:lineRule="auto"/>
            </w:pPr>
            <w:r>
              <w:rPr>
                <w:rFonts w:ascii="Calibri" w:hAnsi="Calibri"/>
                <w:sz w:val="21"/>
              </w:rPr>
              <w:t>no_detected_skew</w:t>
            </w:r>
          </w:p>
        </w:tc>
        <w:tc>
          <w:tcPr>
            <w:tcW w:type="dxa" w:w="6984"/>
            <w:vAlign w:val="center"/>
            <w:shd w:fill="FFFFFF"/>
          </w:tcPr>
          <w:p>
            <w:pPr>
              <w:spacing w:after="0" w:line="252" w:lineRule="auto"/>
            </w:pPr>
            <w:r>
              <w:rPr>
                <w:sz w:val="21"/>
              </w:rPr>
              <w:t>This test detected no discrepancy. It does not establish uniformity.</w:t>
            </w:r>
          </w:p>
        </w:tc>
      </w:tr>
      <w:tr>
        <w:trPr>
          <w:cantSplit/>
        </w:trPr>
        <w:tc>
          <w:tcPr>
            <w:tcW w:type="dxa" w:w="3096"/>
            <w:vAlign w:val="center"/>
            <w:shd w:fill="F1F4F6"/>
          </w:tcPr>
          <w:p>
            <w:pPr>
              <w:spacing w:after="0" w:line="252" w:lineRule="auto"/>
            </w:pPr>
            <w:r>
              <w:rPr>
                <w:rFonts w:ascii="Calibri" w:hAnsi="Calibri"/>
                <w:sz w:val="21"/>
              </w:rPr>
              <w:t>insufficient_evidence</w:t>
            </w:r>
          </w:p>
        </w:tc>
        <w:tc>
          <w:tcPr>
            <w:tcW w:type="dxa" w:w="6984"/>
            <w:vAlign w:val="center"/>
            <w:shd w:fill="F1F4F6"/>
          </w:tcPr>
          <w:p>
            <w:pPr>
              <w:spacing w:after="0" w:line="252" w:lineRule="auto"/>
            </w:pPr>
            <w:r>
              <w:rPr>
                <w:sz w:val="21"/>
              </w:rPr>
              <w:t>Too little informative evidence for the distribution test.</w:t>
            </w:r>
          </w:p>
        </w:tc>
      </w:tr>
      <w:tr>
        <w:trPr>
          <w:cantSplit/>
        </w:trPr>
        <w:tc>
          <w:tcPr>
            <w:tcW w:type="dxa" w:w="3096"/>
            <w:vAlign w:val="center"/>
            <w:shd w:fill="FFFFFF"/>
          </w:tcPr>
          <w:p>
            <w:pPr>
              <w:spacing w:after="0" w:line="252" w:lineRule="auto"/>
            </w:pPr>
            <w:r>
              <w:rPr>
                <w:rFonts w:ascii="Calibri" w:hAnsi="Calibri"/>
                <w:sz w:val="21"/>
              </w:rPr>
              <w:t>mixture_low / mixture_high</w:t>
            </w:r>
          </w:p>
        </w:tc>
        <w:tc>
          <w:tcPr>
            <w:tcW w:type="dxa" w:w="6984"/>
            <w:vAlign w:val="center"/>
            <w:shd w:fill="FFFFFF"/>
          </w:tcPr>
          <w:p>
            <w:pPr>
              <w:spacing w:after="0" w:line="252" w:lineRule="auto"/>
            </w:pPr>
            <w:r>
              <w:rPr>
                <w:sz w:val="21"/>
              </w:rPr>
              <w:t>A descriptive two-state alternative constrained by the same bulk mean, not confirmed subpopulations.</w:t>
            </w:r>
          </w:p>
        </w:tc>
      </w:tr>
    </w:tbl>
    <w:p>
      <w:pPr>
        <w:spacing w:after="0" w:before="0" w:line="240" w:lineRule="auto"/>
      </w:pPr>
      <w:r>
        <w:rPr>
          <w:sz w:val="6"/>
        </w:rPr>
      </w:r>
    </w:p>
    <w:p>
      <w:r>
        <w:t>The current conditional_p values are not adjusted for testing many regions. An empty p-value means no test was performed; read the status before interpreting it.</w:t>
      </w:r>
    </w:p>
    <w:p>
      <w:pPr>
        <w:pStyle w:val="Heading1"/>
        <w:pageBreakBefore/>
      </w:pPr>
      <w:r>
        <w:t>Worked interpretation and report caveats</w:t>
      </w:r>
    </w:p>
    <w:p>
      <w:pPr>
        <w:pStyle w:val="Heading2"/>
      </w:pPr>
      <w:r>
        <w:t>Example of bulk CN near three</w:t>
      </w:r>
    </w:p>
    <w:p>
      <w:r>
        <w:t>Suppose bulk CN is approximately 3, but the read observations appear enriched for two-copy and four-copy categories, with relatively few three-copy observations. That can motivate a skew assessment, but raw category frequencies are not enough.</w:t>
      </w:r>
    </w:p>
    <w:p>
      <w:r>
        <w:t>A two-copy observation is generally easier to capture than a three-copy observation, which is generally easier than a four-copy observation. Exact and plus categories also convey different information: 2+ is a lower bound, while 2 is a resolved count. Read lengths and array geometry determine the opportunities to observe each category, and LAMB weights alter their contribution to the comparison.</w:t>
      </w:r>
    </w:p>
    <w:p>
      <w:r>
        <w:t>Use the model expectations to ask whether the observed imbalance is greater than those capture opportunities predict. A mismatch can support an exploratory skew result, but it does not uniquely identify the underlying copy-state composition. Low counts can leave the result underpowered even when the pattern looks striking.</w:t>
      </w:r>
    </w:p>
    <w:p>
      <w:pPr>
        <w:pStyle w:val="Heading2"/>
      </w:pPr>
      <w:r>
        <w:t>The report bars and expectation line can use different reads</w:t>
      </w:r>
    </w:p>
    <w:p>
      <w:r>
        <w:rPr>
          <w:b/>
        </w:rPr>
        <w:t>Important:</w:t>
      </w:r>
      <w:r>
        <w:t xml:space="preserve"> the report bars include all observations. The fitted expectations use only usable copy reconstructions, including exact counts and usable lower bounds, while excluding ambiguous or unresolved reconstructions.</w:t>
      </w:r>
    </w:p>
    <w:p>
      <w:r>
        <w:t>When many reads are ambiguous or unresolved, the bars and expectation line can represent different totals. Use observed and expected_uniform in the following file for a comparison based on the same included observations:</w:t>
      </w:r>
    </w:p>
    <w:p>
      <w:pPr>
        <w:pStyle w:val="CodePath"/>
      </w:pPr>
      <w:r>
        <w:t>06_heterogeneity/expected_categories.tsv.gz</w:t>
      </w:r>
    </w:p>
    <w:p>
      <w:r>
        <w:t>The observational_reads and supporting_reads headings in heterogeneity.tsv describe the informative subset. They can be smaller than the corresponding abundance counts. Both headings remain physical raw counts even on a weighted heterogeneity row; effective_reads reflects the effect of weighting.</w:t>
      </w:r>
    </w:p>
    <w:p>
      <w:pPr>
        <w:pStyle w:val="Heading2"/>
      </w:pPr>
      <w:r>
        <w:t>A practical order for drawing conclusions</w:t>
      </w:r>
    </w:p>
    <w:p>
      <w:pPr>
        <w:pStyle w:val="ListBullet"/>
      </w:pPr>
      <w:r>
        <w:t>Identify the canonical interval, SV type, and spread of contributing endpoints.</w:t>
      </w:r>
    </w:p>
    <w:p>
      <w:pPr>
        <w:pStyle w:val="ListBullet"/>
      </w:pPr>
      <w:r>
        <w:t>Check independent supporting molecules and inspect their alignment, flank, and copy-status evidence.</w:t>
      </w:r>
    </w:p>
    <w:p>
      <w:pPr>
        <w:pStyle w:val="ListBullet"/>
      </w:pPr>
      <w:r>
        <w:t>Check regional CN, its status, and the amount of usable chromosome background.</w:t>
      </w:r>
    </w:p>
    <w:p>
      <w:pPr>
        <w:pStyle w:val="ListBullet"/>
      </w:pPr>
      <w:r>
        <w:t>Compare raw and weighted counts, then inspect which read-length bins drive the difference.</w:t>
      </w:r>
    </w:p>
    <w:p>
      <w:pPr>
        <w:pStyle w:val="ListBullet"/>
      </w:pPr>
      <w:r>
        <w:t>For DUP events, compare usable exact and plus categories with the matching expectations and read the model status before the p-value.</w:t>
      </w:r>
    </w:p>
    <w:p>
      <w:r>
        <w:t>Keep event evidence, bulk depth, and model fit separate in the conclusion. Together they describe what the reads directly support, how much regional sequence the sample contains relative to its chromosome, and whether the observable copy distribution agrees with the tested uniform model.</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SKEWER output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keepNext/>
      <w:spacing w:after="140"/>
    </w:pPr>
    <w:rPr>
      <w:rFonts w:ascii="DejaVu Sans Mono" w:hAnsi="DejaVu Sans Mon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interpret SKEWER output</dc:title>
  <dc:subject>SKEWER v1.0.6 region-only output interpretation</dc:subject>
  <dc:creator/>
  <cp:keywords>SKEWER, LAMB, structural variants, copy number, output guide</cp:keywords>
  <dc:description>generated by python-docx</dc:description>
  <cp:lastModifiedBy/>
  <cp:revision>1</cp:revision>
  <dcterms:created xsi:type="dcterms:W3CDTF">2013-12-23T23:15:00Z</dcterms:created>
  <dcterms:modified xsi:type="dcterms:W3CDTF">2013-12-23T23:15:00Z</dcterms:modified>
  <cp:category/>
</cp:coreProperties>
</file>