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F348" w14:textId="28AA18F3" w:rsidR="00430A47" w:rsidRDefault="001701BC">
      <w:r>
        <w:t>Lamb_skewer_documentation</w:t>
      </w:r>
    </w:p>
    <w:p w14:paraId="0565E4C9" w14:textId="77777777" w:rsidR="001701BC" w:rsidRPr="001701BC" w:rsidRDefault="001701BC" w:rsidP="001701BC">
      <w:r w:rsidRPr="001701BC">
        <w:t>LAMB and SKEWER are designed to compare structural variation and copy number across long-read datasets while accounting for differences in their read-length distributions.</w:t>
      </w:r>
    </w:p>
    <w:p w14:paraId="3106A88F" w14:textId="77777777" w:rsidR="001701BC" w:rsidRPr="001701BC" w:rsidRDefault="001701BC" w:rsidP="001701BC">
      <w:r w:rsidRPr="001701BC">
        <w:t>Read length matters because a longer molecule has more opportunity to cross a breakpoint, capture several duplicated copies, or span an entire duplication array. Consequently, differences between samples can reflect both biological variation and differences in the molecules that were sequenced.</w:t>
      </w:r>
    </w:p>
    <w:p w14:paraId="677D3440" w14:textId="77777777" w:rsidR="001701BC" w:rsidRPr="001701BC" w:rsidRDefault="001701BC" w:rsidP="001701BC">
      <w:r w:rsidRPr="001701BC">
        <w:rPr>
          <w:b/>
          <w:bCs/>
        </w:rPr>
        <w:t>LAMB establishes a common basis for comparison by assigning normalization weights to reads. SKEWER uses the original reads to reconstruct structural variants, then calculates their raw and normalized abundance and examines their copy-number patterns.</w:t>
      </w:r>
      <w:r w:rsidRPr="001701BC">
        <w:t xml:space="preserve"> Keeping the original reads available preserves rare breakpoint evidence. Copy-number estimates are calculated after the read evidence has defined the SV boundaries.</w:t>
      </w:r>
    </w:p>
    <w:p w14:paraId="494A6995" w14:textId="77777777" w:rsidR="001701BC" w:rsidRPr="001701BC" w:rsidRDefault="001701BC" w:rsidP="001701BC">
      <w:r w:rsidRPr="001701BC">
        <w:rPr>
          <w:b/>
          <w:bCs/>
        </w:rPr>
        <w:t>LAMB: Long-read Allocation Model Builder</w:t>
      </w:r>
    </w:p>
    <w:p w14:paraId="46C151B2" w14:textId="77777777" w:rsidR="001701BC" w:rsidRPr="001701BC" w:rsidRDefault="001701BC" w:rsidP="001701BC">
      <w:pPr>
        <w:numPr>
          <w:ilvl w:val="0"/>
          <w:numId w:val="1"/>
        </w:numPr>
      </w:pPr>
      <w:r w:rsidRPr="001701BC">
        <w:rPr>
          <w:b/>
          <w:bCs/>
        </w:rPr>
        <w:t>Inventory the physical molecules.</w:t>
      </w:r>
      <w:r w:rsidRPr="001701BC">
        <w:t xml:space="preserve"> Read the input BAMs and record each molecule’s identity, length, sample, and alignment diagnostics. Primary records establish molecule identities, so supplementary alignments do not inflate the molecule count. </w:t>
      </w:r>
    </w:p>
    <w:p w14:paraId="0167E7F8" w14:textId="77777777" w:rsidR="001701BC" w:rsidRPr="001701BC" w:rsidRDefault="001701BC" w:rsidP="001701BC">
      <w:pPr>
        <w:numPr>
          <w:ilvl w:val="0"/>
          <w:numId w:val="1"/>
        </w:numPr>
      </w:pPr>
      <w:r w:rsidRPr="001701BC">
        <w:rPr>
          <w:b/>
          <w:bCs/>
        </w:rPr>
        <w:t>Define shared read-length bins.</w:t>
      </w:r>
      <w:r w:rsidRPr="001701BC">
        <w:t xml:space="preserve"> Pool eligible read lengths across samples and divide them into common length ranges. These bins describe molecule lengths, rather than positions along chromosomes. Read-length limits define the modeled range; by default, adjacent sparse bins are merged until each sample provides sufficient molecules. </w:t>
      </w:r>
    </w:p>
    <w:p w14:paraId="0A3AC174" w14:textId="77777777" w:rsidR="001701BC" w:rsidRPr="001701BC" w:rsidRDefault="001701BC" w:rsidP="001701BC">
      <w:pPr>
        <w:numPr>
          <w:ilvl w:val="0"/>
          <w:numId w:val="1"/>
        </w:numPr>
      </w:pPr>
      <w:r w:rsidRPr="001701BC">
        <w:rPr>
          <w:b/>
          <w:bCs/>
        </w:rPr>
        <w:t>Choose a common target distribution.</w:t>
      </w:r>
      <w:r w:rsidRPr="001701BC">
        <w:t xml:space="preserve"> In </w:t>
      </w:r>
      <w:r w:rsidRPr="001701BC">
        <w:rPr>
          <w:b/>
          <w:bCs/>
        </w:rPr>
        <w:t>minimalist mode</w:t>
      </w:r>
      <w:r w:rsidRPr="001701BC">
        <w:t xml:space="preserve">, each bin’s target is the smallest observed count among samples, producing identical target counts and totals. In </w:t>
      </w:r>
      <w:r w:rsidRPr="001701BC">
        <w:rPr>
          <w:b/>
          <w:bCs/>
        </w:rPr>
        <w:t>maximalist mode</w:t>
      </w:r>
      <w:r w:rsidRPr="001701BC">
        <w:t xml:space="preserve">, LAMB finds a shared proportional distribution that maximizes retention of the most constrained sample, then retains as much additional material as possible in each sample. Sample totals can therefore differ. </w:t>
      </w:r>
    </w:p>
    <w:p w14:paraId="0B1C4700" w14:textId="77777777" w:rsidR="001701BC" w:rsidRPr="001701BC" w:rsidRDefault="001701BC" w:rsidP="001701BC">
      <w:pPr>
        <w:numPr>
          <w:ilvl w:val="0"/>
          <w:numId w:val="1"/>
        </w:numPr>
      </w:pPr>
      <w:r w:rsidRPr="001701BC">
        <w:rPr>
          <w:b/>
          <w:bCs/>
        </w:rPr>
        <w:t>Calculate normalization weights.</w:t>
      </w:r>
      <w:r w:rsidRPr="001701BC">
        <w:t xml:space="preserve"> Within each sample and bin, the weight is the target molecule count divided by the observed count. Summing these weights reproduces the target distribution. Bin boundaries and target proportions are shared across samples; the weights themselves can differ. Mapping measurements remain diagnostic and do not determine these weights. </w:t>
      </w:r>
    </w:p>
    <w:p w14:paraId="56DC9165" w14:textId="77777777" w:rsidR="001701BC" w:rsidRPr="001701BC" w:rsidRDefault="001701BC" w:rsidP="001701BC">
      <w:pPr>
        <w:numPr>
          <w:ilvl w:val="0"/>
          <w:numId w:val="1"/>
        </w:numPr>
      </w:pPr>
      <w:r w:rsidRPr="001701BC">
        <w:rPr>
          <w:b/>
          <w:bCs/>
        </w:rPr>
        <w:t>Write the molecule manifest.</w:t>
      </w:r>
      <w:r w:rsidRPr="001701BC">
        <w:t xml:space="preserve"> Preserve a row for every inventoried molecule, including its bin, weight, eligibility, and reproducible virtual-selection status. SKEWER uses this manifest to attach normalization information to the original reads. </w:t>
      </w:r>
    </w:p>
    <w:p w14:paraId="66C2AF56" w14:textId="77777777" w:rsidR="001701BC" w:rsidRPr="001701BC" w:rsidRDefault="001701BC" w:rsidP="001701BC">
      <w:pPr>
        <w:numPr>
          <w:ilvl w:val="0"/>
          <w:numId w:val="1"/>
        </w:numPr>
      </w:pPr>
      <w:r w:rsidRPr="001701BC">
        <w:rPr>
          <w:b/>
          <w:bCs/>
        </w:rPr>
        <w:lastRenderedPageBreak/>
        <w:t>Optionally produce downsampled BAMs.</w:t>
      </w:r>
      <w:r w:rsidRPr="001701BC">
        <w:t xml:space="preserve"> If requested, write the deterministically selected molecules and their associated alignment records. Selection follows the length allocation and does not preferentially preserve SV-supporting reads. These BAMs are optional; SKEWER’s intended input remains the original BAMs. </w:t>
      </w:r>
    </w:p>
    <w:p w14:paraId="55CD5E17" w14:textId="77777777" w:rsidR="001701BC" w:rsidRPr="001701BC" w:rsidRDefault="001701BC" w:rsidP="001701BC">
      <w:pPr>
        <w:numPr>
          <w:ilvl w:val="0"/>
          <w:numId w:val="1"/>
        </w:numPr>
      </w:pPr>
      <w:r w:rsidRPr="001701BC">
        <w:rPr>
          <w:b/>
          <w:bCs/>
        </w:rPr>
        <w:t>Validate and report.</w:t>
      </w:r>
      <w:r w:rsidRPr="001701BC">
        <w:t xml:space="preserve"> Check allocation totals, weights, and manifest consistency, then generate tables and plots comparing original and normalized length distributions. Checkpoints allow completed, valid stages to be reused. </w:t>
      </w:r>
    </w:p>
    <w:p w14:paraId="429F8F1E" w14:textId="77777777" w:rsidR="001701BC" w:rsidRPr="001701BC" w:rsidRDefault="001701BC" w:rsidP="001701BC">
      <w:r w:rsidRPr="001701BC">
        <w:rPr>
          <w:b/>
          <w:bCs/>
        </w:rPr>
        <w:t>SKEWER: Structural Karyotype Estimation, Weighting, and Event Resolver</w:t>
      </w:r>
    </w:p>
    <w:p w14:paraId="7E4247EA" w14:textId="77777777" w:rsidR="001701BC" w:rsidRPr="001701BC" w:rsidRDefault="001701BC" w:rsidP="001701BC">
      <w:pPr>
        <w:numPr>
          <w:ilvl w:val="0"/>
          <w:numId w:val="2"/>
        </w:numPr>
      </w:pPr>
      <w:r w:rsidRPr="001701BC">
        <w:rPr>
          <w:b/>
          <w:bCs/>
        </w:rPr>
        <w:t>Load the original evidence and LAMB weights.</w:t>
      </w:r>
      <w:r w:rsidRPr="001701BC">
        <w:t xml:space="preserve"> Match BAM molecules to the LAMB manifest and retain their alignment information. Check sample identities, read lengths, and reference compatibility. If no LAMB result is supplied, SKEWER can run its bundled LAMB first. </w:t>
      </w:r>
    </w:p>
    <w:p w14:paraId="4FCDC9ED" w14:textId="77777777" w:rsidR="001701BC" w:rsidRPr="001701BC" w:rsidRDefault="001701BC" w:rsidP="001701BC">
      <w:pPr>
        <w:numPr>
          <w:ilvl w:val="0"/>
          <w:numId w:val="2"/>
        </w:numPr>
      </w:pPr>
      <w:r w:rsidRPr="001701BC">
        <w:rPr>
          <w:b/>
          <w:bCs/>
        </w:rPr>
        <w:t>Discover breakpoints from individual reads.</w:t>
      </w:r>
      <w:r w:rsidRPr="001701BC">
        <w:t xml:space="preserve"> Reconstruct the order of aligned segments along each molecule. Reference jumps, reversed orientations, and sufficiently large aligned deletions provide evidence for duplications, inversions, and deletions. Every detected breakpoint occurrence is recorded separately, including multiple occurrences on one read and their positions along both the read and reference. </w:t>
      </w:r>
    </w:p>
    <w:p w14:paraId="24C874EC" w14:textId="77777777" w:rsidR="001701BC" w:rsidRPr="001701BC" w:rsidRDefault="001701BC" w:rsidP="001701BC">
      <w:pPr>
        <w:numPr>
          <w:ilvl w:val="0"/>
          <w:numId w:val="2"/>
        </w:numPr>
      </w:pPr>
      <w:r w:rsidRPr="001701BC">
        <w:rPr>
          <w:b/>
          <w:bCs/>
        </w:rPr>
        <w:t>Merge observations into canonical SVs using SVCROWS.</w:t>
      </w:r>
      <w:r w:rsidRPr="001701BC">
        <w:t xml:space="preserve"> Pool compatible breakpoint observations across the run. Each occurrence carries an encoded ID containing its read identity and relevant metadata. SVCROWS merges related observations; SKEWER then decodes the concatenated IDs to recover every occurrence’s canonical parent. Original coordinates and deviations from the canonical boundaries remain available. </w:t>
      </w:r>
    </w:p>
    <w:p w14:paraId="393A43D2" w14:textId="77777777" w:rsidR="001701BC" w:rsidRPr="001701BC" w:rsidRDefault="001701BC" w:rsidP="001701BC">
      <w:pPr>
        <w:numPr>
          <w:ilvl w:val="0"/>
          <w:numId w:val="2"/>
        </w:numPr>
      </w:pPr>
      <w:r w:rsidRPr="001701BC">
        <w:rPr>
          <w:b/>
          <w:bCs/>
        </w:rPr>
        <w:t>Recount reads and reconstruct captured copies.</w:t>
      </w:r>
      <w:r w:rsidRPr="001701BC">
        <w:t xml:space="preserve"> Return to the canonical intervals and examine overlapping molecules, including reads without diagnostic SV junctions. Count distinct traversals of the interval or annotated gene. A read is </w:t>
      </w:r>
      <w:r w:rsidRPr="001701BC">
        <w:rPr>
          <w:b/>
          <w:bCs/>
        </w:rPr>
        <w:t>spanning</w:t>
      </w:r>
      <w:r w:rsidRPr="001701BC">
        <w:t xml:space="preserve"> only when it captures the immediate normal genomic sequence on both sides of the array. Exact labels such as 2 additionally require a resolved reconstruction; 2+ records at least two observed copies with the total unresolved. Reads capturing only one flank or neither flank still contribute observations. </w:t>
      </w:r>
    </w:p>
    <w:p w14:paraId="0B48B113" w14:textId="77777777" w:rsidR="001701BC" w:rsidRPr="001701BC" w:rsidRDefault="001701BC" w:rsidP="001701BC">
      <w:pPr>
        <w:numPr>
          <w:ilvl w:val="0"/>
          <w:numId w:val="2"/>
        </w:numPr>
      </w:pPr>
      <w:r w:rsidRPr="001701BC">
        <w:rPr>
          <w:b/>
          <w:bCs/>
        </w:rPr>
        <w:t>Calculate abundance and regional copy number.</w:t>
      </w:r>
      <w:r w:rsidRPr="001701BC">
        <w:t xml:space="preserve"> Produce separate raw and LAMB-weighted counts for supporting molecules, breakpoint occurrences, spanning reads, and copy categories. For example, one molecule containing three copies and two duplication junctions contributes one supporting read, three observed copies, and two junction occurrences. Calculate regional CN from mean depth inside the fixed interval relative to </w:t>
      </w:r>
      <w:r w:rsidRPr="001701BC">
        <w:lastRenderedPageBreak/>
        <w:t xml:space="preserve">usable depth across the rest of the chromosome, excluding called DUP/DEL regions and masked sequence from the background. </w:t>
      </w:r>
    </w:p>
    <w:p w14:paraId="7EBDDAF3" w14:textId="77777777" w:rsidR="001701BC" w:rsidRPr="001701BC" w:rsidRDefault="001701BC" w:rsidP="001701BC">
      <w:pPr>
        <w:numPr>
          <w:ilvl w:val="0"/>
          <w:numId w:val="2"/>
        </w:numPr>
      </w:pPr>
      <w:r w:rsidRPr="001701BC">
        <w:rPr>
          <w:b/>
          <w:bCs/>
        </w:rPr>
        <w:t>Evaluate duplication-associated skew.</w:t>
      </w:r>
      <w:r w:rsidRPr="001701BC">
        <w:t xml:space="preserve"> Combine the sample’s read-length distribution, array geometry, LAMB weights, and bulk CN to predict the observable copy categories under a uniform-copy model. Compare those expectations with the observed exact and + categories, and examine a two-state mixture with the same bulk mean. This addresses whether, for example, bulk CN near three is more consistent with uniform three-copy arrays or a mixture involving two- and four-copy arrays. Low-evidence events retain their counts without receiving an unsupported significance test. The results are exploratory indicators of heterogeneity, not estimates of cell fractions. </w:t>
      </w:r>
    </w:p>
    <w:p w14:paraId="54858D31" w14:textId="77777777" w:rsidR="001701BC" w:rsidRPr="001701BC" w:rsidRDefault="001701BC" w:rsidP="001701BC">
      <w:pPr>
        <w:numPr>
          <w:ilvl w:val="0"/>
          <w:numId w:val="2"/>
        </w:numPr>
      </w:pPr>
      <w:r w:rsidRPr="001701BC">
        <w:rPr>
          <w:b/>
          <w:bCs/>
        </w:rPr>
        <w:t>Generate reports and preserve traceability.</w:t>
      </w:r>
      <w:r w:rsidRPr="001701BC">
        <w:t xml:space="preserve"> Export canonical events, original breakpoint memberships, per-read copy assignments, raw and weighted summaries, CN estimates, and an HTML report. Exact and + categories remain separate, with an additional collapsed view for comparison. Optional BAM exports support inspection of duplication-associated reads, and checkpoints support resuming interrupted runs. </w:t>
      </w:r>
    </w:p>
    <w:p w14:paraId="54E86D92" w14:textId="77777777" w:rsidR="001701BC" w:rsidRDefault="001701BC"/>
    <w:sectPr w:rsidR="00170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B47CA"/>
    <w:multiLevelType w:val="multilevel"/>
    <w:tmpl w:val="BB2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5F76C9"/>
    <w:multiLevelType w:val="multilevel"/>
    <w:tmpl w:val="7A8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247248">
    <w:abstractNumId w:val="0"/>
  </w:num>
  <w:num w:numId="2" w16cid:durableId="559484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701BC"/>
    <w:rsid w:val="001701BC"/>
    <w:rsid w:val="00430A47"/>
    <w:rsid w:val="00434853"/>
    <w:rsid w:val="00506CFE"/>
    <w:rsid w:val="007A7944"/>
    <w:rsid w:val="009D7F24"/>
    <w:rsid w:val="00BD3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01FC"/>
  <w15:chartTrackingRefBased/>
  <w15:docId w15:val="{BBA49244-FBFC-4B49-ABA9-8D01D818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1BC"/>
    <w:rPr>
      <w:rFonts w:eastAsiaTheme="majorEastAsia" w:cstheme="majorBidi"/>
      <w:color w:val="272727" w:themeColor="text1" w:themeTint="D8"/>
    </w:rPr>
  </w:style>
  <w:style w:type="paragraph" w:styleId="Title">
    <w:name w:val="Title"/>
    <w:basedOn w:val="Normal"/>
    <w:next w:val="Normal"/>
    <w:link w:val="TitleChar"/>
    <w:uiPriority w:val="10"/>
    <w:qFormat/>
    <w:rsid w:val="00170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1BC"/>
    <w:pPr>
      <w:spacing w:before="160"/>
      <w:jc w:val="center"/>
    </w:pPr>
    <w:rPr>
      <w:i/>
      <w:iCs/>
      <w:color w:val="404040" w:themeColor="text1" w:themeTint="BF"/>
    </w:rPr>
  </w:style>
  <w:style w:type="character" w:customStyle="1" w:styleId="QuoteChar">
    <w:name w:val="Quote Char"/>
    <w:basedOn w:val="DefaultParagraphFont"/>
    <w:link w:val="Quote"/>
    <w:uiPriority w:val="29"/>
    <w:rsid w:val="001701BC"/>
    <w:rPr>
      <w:i/>
      <w:iCs/>
      <w:color w:val="404040" w:themeColor="text1" w:themeTint="BF"/>
    </w:rPr>
  </w:style>
  <w:style w:type="paragraph" w:styleId="ListParagraph">
    <w:name w:val="List Paragraph"/>
    <w:basedOn w:val="Normal"/>
    <w:uiPriority w:val="34"/>
    <w:qFormat/>
    <w:rsid w:val="001701BC"/>
    <w:pPr>
      <w:ind w:left="720"/>
      <w:contextualSpacing/>
    </w:pPr>
  </w:style>
  <w:style w:type="character" w:styleId="IntenseEmphasis">
    <w:name w:val="Intense Emphasis"/>
    <w:basedOn w:val="DefaultParagraphFont"/>
    <w:uiPriority w:val="21"/>
    <w:qFormat/>
    <w:rsid w:val="001701BC"/>
    <w:rPr>
      <w:i/>
      <w:iCs/>
      <w:color w:val="2F5496" w:themeColor="accent1" w:themeShade="BF"/>
    </w:rPr>
  </w:style>
  <w:style w:type="paragraph" w:styleId="IntenseQuote">
    <w:name w:val="Intense Quote"/>
    <w:basedOn w:val="Normal"/>
    <w:next w:val="Normal"/>
    <w:link w:val="IntenseQuoteChar"/>
    <w:uiPriority w:val="30"/>
    <w:qFormat/>
    <w:rsid w:val="00170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1BC"/>
    <w:rPr>
      <w:i/>
      <w:iCs/>
      <w:color w:val="2F5496" w:themeColor="accent1" w:themeShade="BF"/>
    </w:rPr>
  </w:style>
  <w:style w:type="character" w:styleId="IntenseReference">
    <w:name w:val="Intense Reference"/>
    <w:basedOn w:val="DefaultParagraphFont"/>
    <w:uiPriority w:val="32"/>
    <w:qFormat/>
    <w:rsid w:val="00170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Brown</dc:creator>
  <cp:keywords/>
  <dc:description/>
  <cp:lastModifiedBy>Noah Brown</cp:lastModifiedBy>
  <cp:revision>1</cp:revision>
  <dcterms:created xsi:type="dcterms:W3CDTF">2026-09-16T16:33:00Z</dcterms:created>
  <dcterms:modified xsi:type="dcterms:W3CDTF">2026-09-16T16:34:00Z</dcterms:modified>
</cp:coreProperties>
</file>