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DCB48D" w14:textId="77777777" w:rsidR="008374B4" w:rsidRDefault="008374B4"/>
    <w:p w14:paraId="13DCB48E" w14:textId="77777777" w:rsidR="008374B4" w:rsidRDefault="008374B4"/>
    <w:p w14:paraId="13DCB48F" w14:textId="77777777" w:rsidR="008374B4" w:rsidRDefault="008374B4"/>
    <w:p w14:paraId="13DCB490" w14:textId="77777777" w:rsidR="008374B4" w:rsidRDefault="008374B4"/>
    <w:p w14:paraId="13DCB491" w14:textId="77777777" w:rsidR="008374B4" w:rsidRDefault="008374B4"/>
    <w:p w14:paraId="13DCB492" w14:textId="77777777" w:rsidR="008374B4" w:rsidRDefault="0043257D">
      <w:r>
        <w:rPr>
          <w:noProof/>
        </w:rPr>
        <w:drawing>
          <wp:inline distT="114300" distB="114300" distL="114300" distR="114300" wp14:anchorId="13DCB561" wp14:editId="13DCB562">
            <wp:extent cx="5686201" cy="2339897"/>
            <wp:effectExtent l="0" t="0" r="0" b="0"/>
            <wp:docPr id="2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5686201" cy="2339897"/>
                    </a:xfrm>
                    <a:prstGeom prst="rect">
                      <a:avLst/>
                    </a:prstGeom>
                    <a:ln/>
                  </pic:spPr>
                </pic:pic>
              </a:graphicData>
            </a:graphic>
          </wp:inline>
        </w:drawing>
      </w:r>
    </w:p>
    <w:p w14:paraId="13DCB493" w14:textId="77777777" w:rsidR="008374B4" w:rsidRDefault="008374B4"/>
    <w:p w14:paraId="13DCB494" w14:textId="77777777" w:rsidR="008374B4" w:rsidRDefault="0043257D">
      <w:r>
        <w:rPr>
          <w:b/>
        </w:rPr>
        <w:t>Naam:</w:t>
      </w:r>
      <w:r>
        <w:t xml:space="preserve"> </w:t>
      </w:r>
      <w:proofErr w:type="spellStart"/>
      <w:r>
        <w:t>Xior</w:t>
      </w:r>
      <w:proofErr w:type="spellEnd"/>
      <w:r>
        <w:t xml:space="preserve"> Student </w:t>
      </w:r>
      <w:proofErr w:type="spellStart"/>
      <w:r>
        <w:t>Housing</w:t>
      </w:r>
      <w:proofErr w:type="spellEnd"/>
    </w:p>
    <w:p w14:paraId="13DCB495" w14:textId="77777777" w:rsidR="008374B4" w:rsidRDefault="0043257D">
      <w:r>
        <w:rPr>
          <w:b/>
        </w:rPr>
        <w:t>ISIN:</w:t>
      </w:r>
      <w:r>
        <w:t xml:space="preserve"> BE0974288202</w:t>
      </w:r>
    </w:p>
    <w:p w14:paraId="13DCB496" w14:textId="77777777" w:rsidR="008374B4" w:rsidRDefault="0043257D">
      <w:r>
        <w:rPr>
          <w:b/>
        </w:rPr>
        <w:t>Hoofdnotering:</w:t>
      </w:r>
      <w:r>
        <w:t xml:space="preserve"> Euronext Brussel</w:t>
      </w:r>
    </w:p>
    <w:p w14:paraId="13DCB497" w14:textId="77777777" w:rsidR="008374B4" w:rsidRDefault="0043257D">
      <w:proofErr w:type="spellStart"/>
      <w:r>
        <w:rPr>
          <w:b/>
        </w:rPr>
        <w:t>Ticker</w:t>
      </w:r>
      <w:proofErr w:type="spellEnd"/>
      <w:r>
        <w:rPr>
          <w:b/>
        </w:rPr>
        <w:t>:</w:t>
      </w:r>
      <w:r>
        <w:t xml:space="preserve"> XIOR</w:t>
      </w:r>
    </w:p>
    <w:p w14:paraId="13DCB498" w14:textId="77777777" w:rsidR="008374B4" w:rsidRDefault="0043257D">
      <w:r>
        <w:rPr>
          <w:b/>
        </w:rPr>
        <w:t xml:space="preserve">Sector: </w:t>
      </w:r>
      <w:r>
        <w:t xml:space="preserve">Real </w:t>
      </w:r>
      <w:proofErr w:type="spellStart"/>
      <w:r>
        <w:t>Estate</w:t>
      </w:r>
      <w:proofErr w:type="spellEnd"/>
    </w:p>
    <w:p w14:paraId="13DCB499" w14:textId="77777777" w:rsidR="008374B4" w:rsidRDefault="0043257D">
      <w:r>
        <w:rPr>
          <w:b/>
        </w:rPr>
        <w:t xml:space="preserve">Land: </w:t>
      </w:r>
      <w:r>
        <w:t>België</w:t>
      </w:r>
    </w:p>
    <w:p w14:paraId="13DCB49A" w14:textId="77777777" w:rsidR="008374B4" w:rsidRDefault="0043257D">
      <w:r>
        <w:rPr>
          <w:b/>
        </w:rPr>
        <w:t xml:space="preserve">Huidige koers: </w:t>
      </w:r>
      <w:r>
        <w:t>29,65</w:t>
      </w:r>
    </w:p>
    <w:p w14:paraId="13DCB49B" w14:textId="77777777" w:rsidR="008374B4" w:rsidRDefault="0043257D">
      <w:r>
        <w:rPr>
          <w:b/>
        </w:rPr>
        <w:t xml:space="preserve">Huidige Beurswaarde: </w:t>
      </w:r>
      <w:r>
        <w:t>1,074 miljard</w:t>
      </w:r>
    </w:p>
    <w:p w14:paraId="13DCB49C" w14:textId="77777777" w:rsidR="008374B4" w:rsidRDefault="0043257D">
      <w:pPr>
        <w:rPr>
          <w:color w:val="004D22"/>
          <w:sz w:val="32"/>
          <w:szCs w:val="32"/>
        </w:rPr>
      </w:pPr>
      <w:r>
        <w:rPr>
          <w:b/>
        </w:rPr>
        <w:t xml:space="preserve">Bèta: </w:t>
      </w:r>
      <w:r>
        <w:t>0,72</w:t>
      </w:r>
    </w:p>
    <w:p w14:paraId="13DCB49D" w14:textId="77777777" w:rsidR="008374B4" w:rsidRDefault="0043257D">
      <w:pPr>
        <w:keepNext/>
        <w:keepLines/>
        <w:pBdr>
          <w:top w:val="nil"/>
          <w:left w:val="nil"/>
          <w:bottom w:val="nil"/>
          <w:right w:val="nil"/>
          <w:between w:val="nil"/>
        </w:pBdr>
        <w:spacing w:before="240" w:after="0"/>
        <w:rPr>
          <w:color w:val="004D22"/>
          <w:sz w:val="32"/>
          <w:szCs w:val="32"/>
        </w:rPr>
      </w:pPr>
      <w:r>
        <w:rPr>
          <w:color w:val="004D22"/>
          <w:sz w:val="32"/>
          <w:szCs w:val="32"/>
        </w:rPr>
        <w:lastRenderedPageBreak/>
        <w:t>Intro:</w:t>
      </w:r>
    </w:p>
    <w:p w14:paraId="13DCB49E" w14:textId="77777777" w:rsidR="008374B4" w:rsidRDefault="0043257D">
      <w:pPr>
        <w:keepNext/>
        <w:keepLines/>
        <w:pBdr>
          <w:top w:val="nil"/>
          <w:left w:val="nil"/>
          <w:bottom w:val="nil"/>
          <w:right w:val="nil"/>
          <w:between w:val="nil"/>
        </w:pBdr>
        <w:spacing w:before="240" w:after="0"/>
      </w:pPr>
      <w:proofErr w:type="spellStart"/>
      <w:r>
        <w:t>Xior</w:t>
      </w:r>
      <w:proofErr w:type="spellEnd"/>
      <w:r>
        <w:t xml:space="preserve"> Student </w:t>
      </w:r>
      <w:proofErr w:type="spellStart"/>
      <w:r>
        <w:t>Housing</w:t>
      </w:r>
      <w:proofErr w:type="spellEnd"/>
      <w:r>
        <w:t xml:space="preserve"> is een Belgische gereglementeerde vastgoedvennootschap (GVV), het is tevens ook de enigste beursgenoteerde Belgische vastgoedonderneming. </w:t>
      </w:r>
      <w:proofErr w:type="spellStart"/>
      <w:r>
        <w:t>Xior</w:t>
      </w:r>
      <w:proofErr w:type="spellEnd"/>
      <w:r>
        <w:t xml:space="preserve"> is gespecialiseerd in studentenkoten in verscheidene landen. Ze bezitten en beheren woningen voor studenten in België, Nederland, Spanje, Portugal en Polen. Binnen dit vastgoedsegment biedt </w:t>
      </w:r>
      <w:proofErr w:type="spellStart"/>
      <w:r>
        <w:t>Xior</w:t>
      </w:r>
      <w:proofErr w:type="spellEnd"/>
      <w:r>
        <w:t xml:space="preserve"> Student </w:t>
      </w:r>
      <w:proofErr w:type="spellStart"/>
      <w:r>
        <w:t>Housing</w:t>
      </w:r>
      <w:proofErr w:type="spellEnd"/>
      <w:r>
        <w:t xml:space="preserve"> een verscheidenheid aan accommodaties, variërend van kamers met gedeelde faciliteiten tot en-suite kamers en volledig ingerichte studio's. Si</w:t>
      </w:r>
      <w:r>
        <w:t xml:space="preserve">nds 2007 bouwt </w:t>
      </w:r>
      <w:proofErr w:type="spellStart"/>
      <w:r>
        <w:t>Xior</w:t>
      </w:r>
      <w:proofErr w:type="spellEnd"/>
      <w:r>
        <w:t xml:space="preserve"> Student </w:t>
      </w:r>
      <w:proofErr w:type="spellStart"/>
      <w:r>
        <w:t>Housing</w:t>
      </w:r>
      <w:proofErr w:type="spellEnd"/>
      <w:r>
        <w:t xml:space="preserve"> als eigenaar-exploitant hoogwaardige en betrouwbare studentenhuisvesting voor studenten die op zoek zijn naar de ideale plek om te studeren, te wonen en te ontspannen. De boekwaarde van het vastgoed vermogen, bestaande uit 153 panden (waarvan 86 in België, 50 in Nederland, 10 in Spanje en 7 in Portugal), wordt geschat op 2.161,6 miljoen euro. </w:t>
      </w:r>
    </w:p>
    <w:p w14:paraId="13DCB49F" w14:textId="77777777" w:rsidR="008374B4" w:rsidRDefault="0043257D">
      <w:pPr>
        <w:keepNext/>
        <w:keepLines/>
        <w:pBdr>
          <w:top w:val="nil"/>
          <w:left w:val="nil"/>
          <w:bottom w:val="nil"/>
          <w:right w:val="nil"/>
          <w:between w:val="nil"/>
        </w:pBdr>
        <w:spacing w:before="240" w:after="0"/>
      </w:pPr>
      <w:r>
        <w:t>gespecialiseerd in studentenhuisvesting</w:t>
      </w:r>
    </w:p>
    <w:p w14:paraId="13DCB4A0" w14:textId="77777777" w:rsidR="008374B4" w:rsidRDefault="0043257D">
      <w:pPr>
        <w:keepNext/>
        <w:keepLines/>
        <w:spacing w:before="240" w:after="0"/>
      </w:pPr>
      <w:r>
        <w:rPr>
          <w:noProof/>
        </w:rPr>
        <w:drawing>
          <wp:inline distT="114300" distB="114300" distL="114300" distR="114300" wp14:anchorId="13DCB563" wp14:editId="13DCB564">
            <wp:extent cx="5229543" cy="3529403"/>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229543" cy="3529403"/>
                    </a:xfrm>
                    <a:prstGeom prst="rect">
                      <a:avLst/>
                    </a:prstGeom>
                    <a:ln/>
                  </pic:spPr>
                </pic:pic>
              </a:graphicData>
            </a:graphic>
          </wp:inline>
        </w:drawing>
      </w:r>
    </w:p>
    <w:p w14:paraId="13DCB4A1" w14:textId="77777777" w:rsidR="008374B4" w:rsidRDefault="008374B4">
      <w:pPr>
        <w:keepNext/>
        <w:keepLines/>
        <w:pBdr>
          <w:top w:val="nil"/>
          <w:left w:val="nil"/>
          <w:bottom w:val="nil"/>
          <w:right w:val="nil"/>
          <w:between w:val="nil"/>
        </w:pBdr>
        <w:spacing w:before="240" w:after="0"/>
      </w:pPr>
    </w:p>
    <w:p w14:paraId="13DCB4A2" w14:textId="77777777" w:rsidR="008374B4" w:rsidRDefault="008374B4">
      <w:pPr>
        <w:keepNext/>
        <w:keepLines/>
        <w:spacing w:before="240" w:after="0"/>
      </w:pPr>
    </w:p>
    <w:p w14:paraId="13DCB4A3" w14:textId="77777777" w:rsidR="008374B4" w:rsidRDefault="008374B4">
      <w:pPr>
        <w:keepNext/>
        <w:keepLines/>
        <w:pBdr>
          <w:top w:val="nil"/>
          <w:left w:val="nil"/>
          <w:bottom w:val="nil"/>
          <w:right w:val="nil"/>
          <w:between w:val="nil"/>
        </w:pBdr>
        <w:spacing w:before="240" w:after="0"/>
      </w:pPr>
    </w:p>
    <w:p w14:paraId="13DCB4A4" w14:textId="77777777" w:rsidR="008374B4" w:rsidRDefault="0043257D">
      <w:pPr>
        <w:keepNext/>
        <w:keepLines/>
        <w:pBdr>
          <w:top w:val="nil"/>
          <w:left w:val="nil"/>
          <w:bottom w:val="nil"/>
          <w:right w:val="nil"/>
          <w:between w:val="nil"/>
        </w:pBdr>
        <w:spacing w:before="240" w:after="0"/>
        <w:rPr>
          <w:color w:val="004D22"/>
          <w:sz w:val="32"/>
          <w:szCs w:val="32"/>
        </w:rPr>
      </w:pPr>
      <w:r>
        <w:rPr>
          <w:color w:val="004D22"/>
          <w:sz w:val="32"/>
          <w:szCs w:val="32"/>
        </w:rPr>
        <w:lastRenderedPageBreak/>
        <w:t>Management:</w:t>
      </w:r>
    </w:p>
    <w:p w14:paraId="13DCB4A5" w14:textId="77777777" w:rsidR="008374B4" w:rsidRDefault="0043257D">
      <w:pPr>
        <w:keepNext/>
        <w:keepLines/>
        <w:pBdr>
          <w:top w:val="nil"/>
          <w:left w:val="nil"/>
          <w:bottom w:val="nil"/>
          <w:right w:val="nil"/>
          <w:between w:val="nil"/>
        </w:pBdr>
        <w:spacing w:before="240" w:after="0"/>
      </w:pPr>
      <w:r>
        <w:t xml:space="preserve">Christian Teunissen (CEO) startte zijn carrière in de verzekeringssector bij Fortis AG. In 2000 startte hij zijn eigen verzekeringskantoor via de overname van </w:t>
      </w:r>
      <w:proofErr w:type="spellStart"/>
      <w:r>
        <w:t>AdB</w:t>
      </w:r>
      <w:proofErr w:type="spellEnd"/>
      <w:r>
        <w:t xml:space="preserve"> Business Partners, dat in 2005 verkocht werd aan Van Dessel Verzekeringen. Sinds 2005 legt Christian zich toe op de uitbouw van een vastgoedportefeuille, zowel als ontwikkelaar als investeerder, en als beheerder. In 2007 realiseerde Christian Teunissen zijn eerste studenthuisvestingsproject, bestaande uit 45 studentenkamers. Hij staat reeds 9 jaar aan het hoofd van </w:t>
      </w:r>
      <w:proofErr w:type="spellStart"/>
      <w:r>
        <w:t>Xior</w:t>
      </w:r>
      <w:proofErr w:type="spellEnd"/>
      <w:r>
        <w:t xml:space="preserve"> Student Housing. Teunissen is 49 jaar oud en is een ervaren man in de vastgoedsector. Teunissen is al 7 jaar CEO van </w:t>
      </w:r>
      <w:proofErr w:type="spellStart"/>
      <w:r>
        <w:t>Xior</w:t>
      </w:r>
      <w:proofErr w:type="spellEnd"/>
      <w:r>
        <w:t xml:space="preserve">. </w:t>
      </w:r>
    </w:p>
    <w:p w14:paraId="13DCB4A6" w14:textId="77777777" w:rsidR="008374B4" w:rsidRDefault="0043257D">
      <w:pPr>
        <w:keepNext/>
        <w:keepLines/>
        <w:pBdr>
          <w:top w:val="nil"/>
          <w:left w:val="nil"/>
          <w:bottom w:val="nil"/>
          <w:right w:val="nil"/>
          <w:between w:val="nil"/>
        </w:pBdr>
        <w:spacing w:before="240" w:after="0"/>
      </w:pPr>
      <w:r>
        <w:t xml:space="preserve">Frederik </w:t>
      </w:r>
      <w:proofErr w:type="spellStart"/>
      <w:r>
        <w:t>Snauwaert</w:t>
      </w:r>
      <w:proofErr w:type="spellEnd"/>
      <w:r>
        <w:t xml:space="preserve"> (CFO) is sinds 2012 CFO van de Vennootschap. Hij startte zijn loopbaan in 2003 bij </w:t>
      </w:r>
      <w:proofErr w:type="spellStart"/>
      <w:r>
        <w:t>PwC</w:t>
      </w:r>
      <w:proofErr w:type="spellEnd"/>
      <w:r>
        <w:t xml:space="preserve">, en was vervolgens actief bij Fortis Lease Group Services. Van 2008 tot 2012 was hij </w:t>
      </w:r>
      <w:proofErr w:type="spellStart"/>
      <w:r>
        <w:t>Relationship</w:t>
      </w:r>
      <w:proofErr w:type="spellEnd"/>
      <w:r>
        <w:t xml:space="preserve"> Manager </w:t>
      </w:r>
      <w:proofErr w:type="spellStart"/>
      <w:r>
        <w:t>Midcorporates</w:t>
      </w:r>
      <w:proofErr w:type="spellEnd"/>
      <w:r>
        <w:t xml:space="preserve"> &amp; </w:t>
      </w:r>
      <w:proofErr w:type="spellStart"/>
      <w:r>
        <w:t>Institutionals</w:t>
      </w:r>
      <w:proofErr w:type="spellEnd"/>
      <w:r>
        <w:t xml:space="preserve"> (Real </w:t>
      </w:r>
      <w:proofErr w:type="spellStart"/>
      <w:r>
        <w:t>Estate</w:t>
      </w:r>
      <w:proofErr w:type="spellEnd"/>
      <w:r>
        <w:t xml:space="preserve">) bij ING België, waarna hij de overstap maakte naar </w:t>
      </w:r>
      <w:proofErr w:type="spellStart"/>
      <w:r>
        <w:t>Xior</w:t>
      </w:r>
      <w:proofErr w:type="spellEnd"/>
      <w:r>
        <w:t>.</w:t>
      </w:r>
    </w:p>
    <w:p w14:paraId="13DCB4A7" w14:textId="77777777" w:rsidR="008374B4" w:rsidRDefault="0043257D">
      <w:pPr>
        <w:keepNext/>
        <w:keepLines/>
        <w:pBdr>
          <w:top w:val="nil"/>
          <w:left w:val="nil"/>
          <w:bottom w:val="nil"/>
          <w:right w:val="nil"/>
          <w:between w:val="nil"/>
        </w:pBdr>
        <w:spacing w:before="240" w:after="0"/>
      </w:pPr>
      <w:r>
        <w:t xml:space="preserve">Het management van </w:t>
      </w:r>
      <w:proofErr w:type="spellStart"/>
      <w:r>
        <w:t>Xior</w:t>
      </w:r>
      <w:proofErr w:type="spellEnd"/>
      <w:r>
        <w:t xml:space="preserve"> heeft een gemiddelde ervaring van 7 jaar en een gemiddelde leeftijd van 55 jaar. Het is een ervaren team en ze bezitten allen ook </w:t>
      </w:r>
      <w:proofErr w:type="spellStart"/>
      <w:r>
        <w:t>Xior</w:t>
      </w:r>
      <w:proofErr w:type="spellEnd"/>
      <w:r>
        <w:t xml:space="preserve"> aandelen. </w:t>
      </w:r>
    </w:p>
    <w:p w14:paraId="13DCB4A8" w14:textId="77777777" w:rsidR="008374B4" w:rsidRDefault="008374B4">
      <w:pPr>
        <w:keepNext/>
        <w:keepLines/>
        <w:pBdr>
          <w:top w:val="nil"/>
          <w:left w:val="nil"/>
          <w:bottom w:val="nil"/>
          <w:right w:val="nil"/>
          <w:between w:val="nil"/>
        </w:pBdr>
        <w:spacing w:before="240" w:after="0"/>
        <w:rPr>
          <w:color w:val="004D22"/>
          <w:sz w:val="32"/>
          <w:szCs w:val="32"/>
        </w:rPr>
      </w:pPr>
    </w:p>
    <w:p w14:paraId="13DCB4A9" w14:textId="77777777" w:rsidR="008374B4" w:rsidRDefault="008374B4">
      <w:pPr>
        <w:keepNext/>
        <w:keepLines/>
        <w:pBdr>
          <w:top w:val="nil"/>
          <w:left w:val="nil"/>
          <w:bottom w:val="nil"/>
          <w:right w:val="nil"/>
          <w:between w:val="nil"/>
        </w:pBdr>
        <w:spacing w:before="240" w:after="0"/>
        <w:rPr>
          <w:color w:val="004D22"/>
          <w:sz w:val="32"/>
          <w:szCs w:val="32"/>
        </w:rPr>
      </w:pPr>
    </w:p>
    <w:p w14:paraId="13DCB4AA" w14:textId="77777777" w:rsidR="008374B4" w:rsidRDefault="008374B4">
      <w:pPr>
        <w:keepNext/>
        <w:keepLines/>
        <w:pBdr>
          <w:top w:val="nil"/>
          <w:left w:val="nil"/>
          <w:bottom w:val="nil"/>
          <w:right w:val="nil"/>
          <w:between w:val="nil"/>
        </w:pBdr>
        <w:spacing w:before="240" w:after="0"/>
        <w:rPr>
          <w:color w:val="004D22"/>
          <w:sz w:val="32"/>
          <w:szCs w:val="32"/>
        </w:rPr>
      </w:pPr>
    </w:p>
    <w:p w14:paraId="13DCB4AB" w14:textId="77777777" w:rsidR="008374B4" w:rsidRDefault="008374B4">
      <w:pPr>
        <w:keepNext/>
        <w:keepLines/>
        <w:pBdr>
          <w:top w:val="nil"/>
          <w:left w:val="nil"/>
          <w:bottom w:val="nil"/>
          <w:right w:val="nil"/>
          <w:between w:val="nil"/>
        </w:pBdr>
        <w:spacing w:before="240" w:after="0"/>
        <w:rPr>
          <w:color w:val="004D22"/>
          <w:sz w:val="32"/>
          <w:szCs w:val="32"/>
        </w:rPr>
      </w:pPr>
    </w:p>
    <w:p w14:paraId="13DCB4AC" w14:textId="77777777" w:rsidR="008374B4" w:rsidRDefault="008374B4">
      <w:pPr>
        <w:keepNext/>
        <w:keepLines/>
        <w:pBdr>
          <w:top w:val="nil"/>
          <w:left w:val="nil"/>
          <w:bottom w:val="nil"/>
          <w:right w:val="nil"/>
          <w:between w:val="nil"/>
        </w:pBdr>
        <w:spacing w:before="240" w:after="0"/>
        <w:rPr>
          <w:color w:val="004D22"/>
          <w:sz w:val="32"/>
          <w:szCs w:val="32"/>
        </w:rPr>
      </w:pPr>
    </w:p>
    <w:p w14:paraId="13DCB4AD" w14:textId="77777777" w:rsidR="008374B4" w:rsidRDefault="008374B4">
      <w:pPr>
        <w:keepNext/>
        <w:keepLines/>
        <w:pBdr>
          <w:top w:val="nil"/>
          <w:left w:val="nil"/>
          <w:bottom w:val="nil"/>
          <w:right w:val="nil"/>
          <w:between w:val="nil"/>
        </w:pBdr>
        <w:spacing w:before="240" w:after="0"/>
        <w:rPr>
          <w:color w:val="004D22"/>
          <w:sz w:val="32"/>
          <w:szCs w:val="32"/>
        </w:rPr>
      </w:pPr>
    </w:p>
    <w:p w14:paraId="13DCB4AE" w14:textId="77777777" w:rsidR="008374B4" w:rsidRDefault="008374B4">
      <w:pPr>
        <w:keepNext/>
        <w:keepLines/>
        <w:pBdr>
          <w:top w:val="nil"/>
          <w:left w:val="nil"/>
          <w:bottom w:val="nil"/>
          <w:right w:val="nil"/>
          <w:between w:val="nil"/>
        </w:pBdr>
        <w:spacing w:before="240" w:after="0"/>
        <w:rPr>
          <w:color w:val="004D22"/>
          <w:sz w:val="32"/>
          <w:szCs w:val="32"/>
        </w:rPr>
      </w:pPr>
    </w:p>
    <w:p w14:paraId="13DCB4AF" w14:textId="77777777" w:rsidR="008374B4" w:rsidRDefault="008374B4">
      <w:pPr>
        <w:keepNext/>
        <w:keepLines/>
        <w:pBdr>
          <w:top w:val="nil"/>
          <w:left w:val="nil"/>
          <w:bottom w:val="nil"/>
          <w:right w:val="nil"/>
          <w:between w:val="nil"/>
        </w:pBdr>
        <w:spacing w:before="240" w:after="0"/>
        <w:rPr>
          <w:color w:val="004D22"/>
          <w:sz w:val="32"/>
          <w:szCs w:val="32"/>
        </w:rPr>
      </w:pPr>
    </w:p>
    <w:p w14:paraId="13DCB4B0" w14:textId="77777777" w:rsidR="008374B4" w:rsidRDefault="008374B4">
      <w:pPr>
        <w:keepNext/>
        <w:keepLines/>
        <w:pBdr>
          <w:top w:val="nil"/>
          <w:left w:val="nil"/>
          <w:bottom w:val="nil"/>
          <w:right w:val="nil"/>
          <w:between w:val="nil"/>
        </w:pBdr>
        <w:spacing w:before="240" w:after="0"/>
        <w:rPr>
          <w:color w:val="004D22"/>
          <w:sz w:val="32"/>
          <w:szCs w:val="32"/>
        </w:rPr>
      </w:pPr>
    </w:p>
    <w:p w14:paraId="13DCB4B1" w14:textId="77777777" w:rsidR="008374B4" w:rsidRDefault="008374B4">
      <w:pPr>
        <w:keepNext/>
        <w:keepLines/>
        <w:pBdr>
          <w:top w:val="nil"/>
          <w:left w:val="nil"/>
          <w:bottom w:val="nil"/>
          <w:right w:val="nil"/>
          <w:between w:val="nil"/>
        </w:pBdr>
        <w:spacing w:before="240" w:after="0"/>
        <w:rPr>
          <w:color w:val="004D22"/>
          <w:sz w:val="32"/>
          <w:szCs w:val="32"/>
        </w:rPr>
      </w:pPr>
    </w:p>
    <w:p w14:paraId="13DCB4B2" w14:textId="77777777" w:rsidR="008374B4" w:rsidRDefault="0043257D">
      <w:pPr>
        <w:keepNext/>
        <w:keepLines/>
        <w:pBdr>
          <w:top w:val="nil"/>
          <w:left w:val="nil"/>
          <w:bottom w:val="nil"/>
          <w:right w:val="nil"/>
          <w:between w:val="nil"/>
        </w:pBdr>
        <w:spacing w:before="240" w:after="0"/>
        <w:rPr>
          <w:color w:val="004D22"/>
          <w:sz w:val="32"/>
          <w:szCs w:val="32"/>
        </w:rPr>
      </w:pPr>
      <w:r>
        <w:rPr>
          <w:color w:val="004D22"/>
          <w:sz w:val="32"/>
          <w:szCs w:val="32"/>
        </w:rPr>
        <w:lastRenderedPageBreak/>
        <w:t>SWOT analyse:</w:t>
      </w:r>
    </w:p>
    <w:p w14:paraId="13DCB4B3" w14:textId="77777777" w:rsidR="008374B4" w:rsidRDefault="0043257D">
      <w:pPr>
        <w:keepNext/>
        <w:keepLines/>
        <w:pBdr>
          <w:top w:val="nil"/>
          <w:left w:val="nil"/>
          <w:bottom w:val="nil"/>
          <w:right w:val="nil"/>
          <w:between w:val="nil"/>
        </w:pBdr>
        <w:spacing w:before="40" w:after="0"/>
        <w:rPr>
          <w:color w:val="004D22"/>
          <w:sz w:val="26"/>
          <w:szCs w:val="26"/>
        </w:rPr>
      </w:pPr>
      <w:proofErr w:type="spellStart"/>
      <w:r>
        <w:rPr>
          <w:color w:val="004D22"/>
          <w:sz w:val="26"/>
          <w:szCs w:val="26"/>
        </w:rPr>
        <w:t>Strengths</w:t>
      </w:r>
      <w:proofErr w:type="spellEnd"/>
      <w:r>
        <w:rPr>
          <w:color w:val="004D22"/>
          <w:sz w:val="26"/>
          <w:szCs w:val="26"/>
        </w:rPr>
        <w:t>:</w:t>
      </w:r>
    </w:p>
    <w:p w14:paraId="13DCB4B4" w14:textId="77777777" w:rsidR="008374B4" w:rsidRDefault="0043257D">
      <w:pPr>
        <w:numPr>
          <w:ilvl w:val="0"/>
          <w:numId w:val="2"/>
        </w:numPr>
        <w:spacing w:after="0"/>
      </w:pPr>
      <w:r>
        <w:t>Schuldgraad per 30 juni 2022 (47,95%) blijft ruim onder 50%, met strategie deze onder 50% te houden gelet op huidig onzeker macro-economisch klimaat.</w:t>
      </w:r>
      <w:r>
        <w:br/>
      </w:r>
    </w:p>
    <w:p w14:paraId="13DCB4B5" w14:textId="77777777" w:rsidR="008374B4" w:rsidRDefault="0043257D">
      <w:pPr>
        <w:numPr>
          <w:ilvl w:val="0"/>
          <w:numId w:val="2"/>
        </w:numPr>
        <w:spacing w:after="0"/>
      </w:pPr>
      <w:r>
        <w:t>Financieringen grotendeels ingedekt tegen intrest verhogingen voor c. 6 jaar</w:t>
      </w:r>
      <w:r>
        <w:br/>
      </w:r>
    </w:p>
    <w:p w14:paraId="13DCB4B6" w14:textId="77777777" w:rsidR="008374B4" w:rsidRDefault="0043257D">
      <w:pPr>
        <w:numPr>
          <w:ilvl w:val="0"/>
          <w:numId w:val="2"/>
        </w:numPr>
        <w:spacing w:after="0"/>
      </w:pPr>
      <w:r>
        <w:t>Bezettingsgraad blijft hoog en stabiel aan 98%</w:t>
      </w:r>
      <w:r>
        <w:br/>
      </w:r>
    </w:p>
    <w:p w14:paraId="13DCB4B7" w14:textId="77777777" w:rsidR="008374B4" w:rsidRDefault="0043257D">
      <w:pPr>
        <w:numPr>
          <w:ilvl w:val="0"/>
          <w:numId w:val="5"/>
        </w:numPr>
        <w:spacing w:after="0"/>
      </w:pPr>
      <w:r>
        <w:t xml:space="preserve">Positieve herwaardering van de portefeuille met 146 MEUR als gevolg van stijgende markthuren en verbetering van </w:t>
      </w:r>
      <w:proofErr w:type="spellStart"/>
      <w:r>
        <w:t>marktyields</w:t>
      </w:r>
      <w:proofErr w:type="spellEnd"/>
      <w:r>
        <w:br/>
      </w:r>
    </w:p>
    <w:p w14:paraId="13DCB4B8" w14:textId="77777777" w:rsidR="008374B4" w:rsidRDefault="0043257D">
      <w:pPr>
        <w:numPr>
          <w:ilvl w:val="0"/>
          <w:numId w:val="5"/>
        </w:numPr>
        <w:spacing w:after="0"/>
      </w:pPr>
      <w:r>
        <w:t xml:space="preserve">De vastgoedportefeuille stijgt tot 2.215 MEUR, met 13.992 verhuurbare studentenunits. Indien de volledige gecommitteerde pipeline gerealiseerd wordt en na de acquisitie van </w:t>
      </w:r>
      <w:proofErr w:type="spellStart"/>
      <w:r>
        <w:t>Basecamp</w:t>
      </w:r>
      <w:proofErr w:type="spellEnd"/>
      <w:r>
        <w:t xml:space="preserve">, stijgt de portefeuille naar c. 3.800 MEUR, met c. 27.000 verhuurbare studentenunits. De EPRA winstverwachting per aandeel over 2022 bij afronding van de </w:t>
      </w:r>
      <w:proofErr w:type="spellStart"/>
      <w:r>
        <w:t>Basecamp</w:t>
      </w:r>
      <w:proofErr w:type="spellEnd"/>
      <w:r>
        <w:t xml:space="preserve"> transactie stijgt van 2,00 EUR naar 2,07 EUR wat resulteert in een 2021-2022 winstgroei per aandeel van 15%</w:t>
      </w:r>
      <w:r>
        <w:br/>
      </w:r>
    </w:p>
    <w:p w14:paraId="13DCB4B9" w14:textId="77777777" w:rsidR="008374B4" w:rsidRDefault="0043257D">
      <w:pPr>
        <w:numPr>
          <w:ilvl w:val="0"/>
          <w:numId w:val="5"/>
        </w:numPr>
        <w:spacing w:after="0"/>
      </w:pPr>
      <w:r>
        <w:t xml:space="preserve">De dividendverwachting 2022 stijgt naar 1.66 EUR per aandeel (stijging met 15% t.o.v. 2021, of stijging met 4% t.o.v. eerder aangekondigde winstverwachting 2022 zonder </w:t>
      </w:r>
      <w:proofErr w:type="spellStart"/>
      <w:r>
        <w:t>Basecamp</w:t>
      </w:r>
      <w:proofErr w:type="spellEnd"/>
      <w:r>
        <w:t xml:space="preserve"> transactie).</w:t>
      </w:r>
      <w:r>
        <w:br/>
      </w:r>
    </w:p>
    <w:p w14:paraId="13DCB4BA" w14:textId="77777777" w:rsidR="008374B4" w:rsidRDefault="0043257D">
      <w:pPr>
        <w:numPr>
          <w:ilvl w:val="0"/>
          <w:numId w:val="5"/>
        </w:numPr>
        <w:spacing w:after="0"/>
      </w:pPr>
      <w:r>
        <w:t>één van de grotere spelers op het Iberische schiereiland</w:t>
      </w:r>
      <w:r>
        <w:br/>
      </w:r>
    </w:p>
    <w:p w14:paraId="13DCB4BB" w14:textId="77777777" w:rsidR="008374B4" w:rsidRDefault="0043257D">
      <w:pPr>
        <w:numPr>
          <w:ilvl w:val="0"/>
          <w:numId w:val="5"/>
        </w:numPr>
        <w:spacing w:after="0"/>
      </w:pPr>
      <w:r>
        <w:t>De ratio EBITDA/omzet van het bedrijf is relatief hoog, wat resulteert in hoge marges vóór waardeverminderingen, afschrijvingen en belastingen.</w:t>
      </w:r>
      <w:r>
        <w:br/>
      </w:r>
    </w:p>
    <w:p w14:paraId="13DCB4BC" w14:textId="77777777" w:rsidR="008374B4" w:rsidRDefault="0043257D">
      <w:pPr>
        <w:numPr>
          <w:ilvl w:val="0"/>
          <w:numId w:val="5"/>
        </w:numPr>
      </w:pPr>
      <w:proofErr w:type="spellStart"/>
      <w:r>
        <w:t>Xior</w:t>
      </w:r>
      <w:proofErr w:type="spellEnd"/>
      <w:r>
        <w:t xml:space="preserve"> heeft een zeer ondernemend managementteam wat een snelle groei van de beleggingen bewerkstelligd.</w:t>
      </w:r>
    </w:p>
    <w:p w14:paraId="13DCB4BD" w14:textId="77777777" w:rsidR="008374B4" w:rsidRDefault="008374B4">
      <w:pPr>
        <w:ind w:left="720"/>
      </w:pPr>
    </w:p>
    <w:p w14:paraId="13DCB4BE" w14:textId="77777777" w:rsidR="008374B4" w:rsidRDefault="008374B4">
      <w:pPr>
        <w:keepNext/>
        <w:keepLines/>
        <w:pBdr>
          <w:top w:val="nil"/>
          <w:left w:val="nil"/>
          <w:bottom w:val="nil"/>
          <w:right w:val="nil"/>
          <w:between w:val="nil"/>
        </w:pBdr>
        <w:spacing w:before="40" w:after="0"/>
      </w:pPr>
    </w:p>
    <w:p w14:paraId="13DCB4BF" w14:textId="77777777" w:rsidR="008374B4" w:rsidRDefault="008374B4">
      <w:pPr>
        <w:keepNext/>
        <w:keepLines/>
        <w:pBdr>
          <w:top w:val="nil"/>
          <w:left w:val="nil"/>
          <w:bottom w:val="nil"/>
          <w:right w:val="nil"/>
          <w:between w:val="nil"/>
        </w:pBdr>
        <w:spacing w:before="40" w:after="0"/>
      </w:pPr>
    </w:p>
    <w:p w14:paraId="13DCB4C0" w14:textId="77777777" w:rsidR="008374B4" w:rsidRDefault="008374B4">
      <w:pPr>
        <w:keepNext/>
        <w:keepLines/>
        <w:pBdr>
          <w:top w:val="nil"/>
          <w:left w:val="nil"/>
          <w:bottom w:val="nil"/>
          <w:right w:val="nil"/>
          <w:between w:val="nil"/>
        </w:pBdr>
        <w:spacing w:before="40" w:after="0"/>
      </w:pPr>
    </w:p>
    <w:p w14:paraId="13DCB4C1" w14:textId="77777777" w:rsidR="008374B4" w:rsidRDefault="008374B4">
      <w:pPr>
        <w:keepNext/>
        <w:keepLines/>
        <w:pBdr>
          <w:top w:val="nil"/>
          <w:left w:val="nil"/>
          <w:bottom w:val="nil"/>
          <w:right w:val="nil"/>
          <w:between w:val="nil"/>
        </w:pBdr>
        <w:spacing w:before="40" w:after="0"/>
      </w:pPr>
    </w:p>
    <w:p w14:paraId="13DCB4C2" w14:textId="77777777" w:rsidR="008374B4" w:rsidRDefault="008374B4">
      <w:pPr>
        <w:keepNext/>
        <w:keepLines/>
        <w:pBdr>
          <w:top w:val="nil"/>
          <w:left w:val="nil"/>
          <w:bottom w:val="nil"/>
          <w:right w:val="nil"/>
          <w:between w:val="nil"/>
        </w:pBdr>
        <w:spacing w:before="40" w:after="0"/>
      </w:pPr>
    </w:p>
    <w:p w14:paraId="13DCB4C3" w14:textId="77777777" w:rsidR="008374B4" w:rsidRDefault="0043257D">
      <w:pPr>
        <w:keepNext/>
        <w:keepLines/>
        <w:pBdr>
          <w:top w:val="nil"/>
          <w:left w:val="nil"/>
          <w:bottom w:val="nil"/>
          <w:right w:val="nil"/>
          <w:between w:val="nil"/>
        </w:pBdr>
        <w:spacing w:before="40" w:after="0"/>
      </w:pPr>
      <w:proofErr w:type="spellStart"/>
      <w:r>
        <w:rPr>
          <w:color w:val="004D22"/>
          <w:sz w:val="32"/>
          <w:szCs w:val="32"/>
        </w:rPr>
        <w:t>Weaknesses</w:t>
      </w:r>
      <w:proofErr w:type="spellEnd"/>
      <w:r>
        <w:rPr>
          <w:color w:val="004D22"/>
          <w:sz w:val="32"/>
          <w:szCs w:val="32"/>
        </w:rPr>
        <w:t>:</w:t>
      </w:r>
    </w:p>
    <w:p w14:paraId="13DCB4C4" w14:textId="77777777" w:rsidR="008374B4" w:rsidRDefault="0043257D">
      <w:pPr>
        <w:numPr>
          <w:ilvl w:val="0"/>
          <w:numId w:val="4"/>
        </w:numPr>
        <w:spacing w:after="0"/>
      </w:pPr>
      <w:r>
        <w:t>Contracten van korte duur.</w:t>
      </w:r>
      <w:r>
        <w:br/>
      </w:r>
    </w:p>
    <w:p w14:paraId="13DCB4C5" w14:textId="77777777" w:rsidR="008374B4" w:rsidRDefault="0043257D">
      <w:pPr>
        <w:numPr>
          <w:ilvl w:val="0"/>
          <w:numId w:val="4"/>
        </w:numPr>
        <w:spacing w:after="0"/>
      </w:pPr>
      <w:r>
        <w:t xml:space="preserve">Naarmate de ouderdom van het vastgoed in portefeuille toeneemt, zal de Vennootschap genoodzaakt zijn om belangrijke en/of structurele renovatie- en investeringsprogramma’s uit te voeren ingevolge de ouderdom of slijtage van de gebouwen (als gevolg van gewone, bouwkundige en technische veroudering) en de inboedel of ingevolge beschadiging van de gebouwen of de inboedel. Bovendien bestaat het risico dat de gebouwen niet meer (zullen) voldoen aan de toenemende (wettelijke of commerciële) vereisten, onder meer </w:t>
      </w:r>
      <w:r>
        <w:t>op het gebied van wooncomfort, brandveiligheid en duurzame ontwikkeling(energieprestatie, etc.) en daaraan dienen te worden aangepast.</w:t>
      </w:r>
      <w:r>
        <w:br/>
      </w:r>
    </w:p>
    <w:p w14:paraId="13DCB4C6" w14:textId="77777777" w:rsidR="008374B4" w:rsidRDefault="0043257D">
      <w:pPr>
        <w:numPr>
          <w:ilvl w:val="0"/>
          <w:numId w:val="4"/>
        </w:numPr>
        <w:spacing w:after="0"/>
      </w:pPr>
      <w:r>
        <w:t>Afhankelijk van de studentenpopulaties</w:t>
      </w:r>
      <w:r>
        <w:br/>
      </w:r>
    </w:p>
    <w:p w14:paraId="13DCB4C7" w14:textId="77777777" w:rsidR="008374B4" w:rsidRDefault="0043257D">
      <w:pPr>
        <w:numPr>
          <w:ilvl w:val="0"/>
          <w:numId w:val="4"/>
        </w:numPr>
      </w:pPr>
      <w:r>
        <w:t xml:space="preserve">De onderneming treedt in toenemende mate op als deelnemende aandeelhouder in ontwikkelingen voor eigen risico en rekening, waardoor groei wordt gewaarborgd maar ook het risicoprofiel toeneemt ten opzichte van zuivere </w:t>
      </w:r>
      <w:proofErr w:type="spellStart"/>
      <w:r>
        <w:t>GVVactiviteiten</w:t>
      </w:r>
      <w:proofErr w:type="spellEnd"/>
      <w:r>
        <w:t>.</w:t>
      </w:r>
    </w:p>
    <w:p w14:paraId="13DCB4C8" w14:textId="77777777" w:rsidR="008374B4" w:rsidRDefault="008374B4">
      <w:pPr>
        <w:ind w:left="720"/>
      </w:pPr>
    </w:p>
    <w:p w14:paraId="13DCB4C9" w14:textId="77777777" w:rsidR="008374B4" w:rsidRDefault="008374B4"/>
    <w:p w14:paraId="13DCB4CA" w14:textId="77777777" w:rsidR="008374B4" w:rsidRDefault="008374B4">
      <w:pPr>
        <w:rPr>
          <w:color w:val="004D22"/>
          <w:sz w:val="32"/>
          <w:szCs w:val="32"/>
        </w:rPr>
      </w:pPr>
    </w:p>
    <w:p w14:paraId="13DCB4CB" w14:textId="77777777" w:rsidR="008374B4" w:rsidRDefault="008374B4">
      <w:pPr>
        <w:rPr>
          <w:color w:val="004D22"/>
          <w:sz w:val="32"/>
          <w:szCs w:val="32"/>
        </w:rPr>
      </w:pPr>
    </w:p>
    <w:p w14:paraId="13DCB4CC" w14:textId="77777777" w:rsidR="008374B4" w:rsidRDefault="008374B4">
      <w:pPr>
        <w:rPr>
          <w:color w:val="004D22"/>
          <w:sz w:val="32"/>
          <w:szCs w:val="32"/>
        </w:rPr>
      </w:pPr>
    </w:p>
    <w:p w14:paraId="13DCB4CD" w14:textId="77777777" w:rsidR="008374B4" w:rsidRDefault="008374B4">
      <w:pPr>
        <w:rPr>
          <w:color w:val="004D22"/>
          <w:sz w:val="32"/>
          <w:szCs w:val="32"/>
        </w:rPr>
      </w:pPr>
    </w:p>
    <w:p w14:paraId="13DCB4CE" w14:textId="77777777" w:rsidR="008374B4" w:rsidRDefault="008374B4">
      <w:pPr>
        <w:rPr>
          <w:color w:val="004D22"/>
          <w:sz w:val="32"/>
          <w:szCs w:val="32"/>
        </w:rPr>
      </w:pPr>
    </w:p>
    <w:p w14:paraId="13DCB4CF" w14:textId="77777777" w:rsidR="008374B4" w:rsidRDefault="008374B4">
      <w:pPr>
        <w:rPr>
          <w:color w:val="004D22"/>
          <w:sz w:val="32"/>
          <w:szCs w:val="32"/>
        </w:rPr>
      </w:pPr>
    </w:p>
    <w:p w14:paraId="13DCB4D0" w14:textId="77777777" w:rsidR="008374B4" w:rsidRDefault="008374B4">
      <w:pPr>
        <w:rPr>
          <w:color w:val="004D22"/>
          <w:sz w:val="32"/>
          <w:szCs w:val="32"/>
        </w:rPr>
      </w:pPr>
    </w:p>
    <w:p w14:paraId="13DCB4D1" w14:textId="77777777" w:rsidR="008374B4" w:rsidRDefault="0043257D">
      <w:pPr>
        <w:rPr>
          <w:color w:val="004D22"/>
          <w:sz w:val="32"/>
          <w:szCs w:val="32"/>
        </w:rPr>
      </w:pPr>
      <w:proofErr w:type="spellStart"/>
      <w:r>
        <w:rPr>
          <w:color w:val="004D22"/>
          <w:sz w:val="32"/>
          <w:szCs w:val="32"/>
        </w:rPr>
        <w:lastRenderedPageBreak/>
        <w:t>Opportunities</w:t>
      </w:r>
      <w:proofErr w:type="spellEnd"/>
      <w:r>
        <w:rPr>
          <w:color w:val="004D22"/>
          <w:sz w:val="32"/>
          <w:szCs w:val="32"/>
        </w:rPr>
        <w:t>:</w:t>
      </w:r>
    </w:p>
    <w:p w14:paraId="13DCB4D2" w14:textId="77777777" w:rsidR="008374B4" w:rsidRDefault="008374B4">
      <w:pPr>
        <w:keepNext/>
        <w:keepLines/>
        <w:pBdr>
          <w:top w:val="nil"/>
          <w:left w:val="nil"/>
          <w:bottom w:val="nil"/>
          <w:right w:val="nil"/>
          <w:between w:val="nil"/>
        </w:pBdr>
        <w:spacing w:before="40" w:after="0"/>
        <w:rPr>
          <w:color w:val="004D22"/>
          <w:sz w:val="26"/>
          <w:szCs w:val="26"/>
        </w:rPr>
      </w:pPr>
    </w:p>
    <w:p w14:paraId="13DCB4D3" w14:textId="77777777" w:rsidR="008374B4" w:rsidRDefault="0043257D">
      <w:pPr>
        <w:numPr>
          <w:ilvl w:val="0"/>
          <w:numId w:val="3"/>
        </w:numPr>
        <w:spacing w:after="0"/>
      </w:pPr>
      <w:r>
        <w:t>Sterke vraag naar studentenkamers leidt tot razendsnelle verhuur en hogere huurinkomsten Er is een groot groeipotentieel van de studentenmarkt, zelfs in crisistijden.</w:t>
      </w:r>
      <w:r>
        <w:br/>
      </w:r>
    </w:p>
    <w:p w14:paraId="13DCB4D4" w14:textId="77777777" w:rsidR="008374B4" w:rsidRDefault="0043257D">
      <w:pPr>
        <w:numPr>
          <w:ilvl w:val="0"/>
          <w:numId w:val="3"/>
        </w:numPr>
        <w:spacing w:after="0"/>
      </w:pPr>
      <w:r>
        <w:t>Grote mogelijkheid tot geografische expansie.</w:t>
      </w:r>
      <w:r>
        <w:br/>
      </w:r>
    </w:p>
    <w:p w14:paraId="13DCB4D5" w14:textId="77777777" w:rsidR="008374B4" w:rsidRDefault="0043257D">
      <w:pPr>
        <w:numPr>
          <w:ilvl w:val="0"/>
          <w:numId w:val="3"/>
        </w:numPr>
        <w:spacing w:after="0"/>
      </w:pPr>
      <w:r>
        <w:t>Mogelijkheid om volumes te vergroten.</w:t>
      </w:r>
      <w:r>
        <w:br/>
      </w:r>
    </w:p>
    <w:p w14:paraId="13DCB4D6" w14:textId="77777777" w:rsidR="008374B4" w:rsidRDefault="0043257D">
      <w:pPr>
        <w:numPr>
          <w:ilvl w:val="0"/>
          <w:numId w:val="3"/>
        </w:numPr>
        <w:spacing w:after="0"/>
      </w:pPr>
      <w:r>
        <w:t>Realisatie van groei door middel van overnames.</w:t>
      </w:r>
      <w:r>
        <w:br/>
      </w:r>
    </w:p>
    <w:p w14:paraId="13DCB4D7" w14:textId="77777777" w:rsidR="008374B4" w:rsidRDefault="0043257D">
      <w:pPr>
        <w:numPr>
          <w:ilvl w:val="0"/>
          <w:numId w:val="3"/>
        </w:numPr>
      </w:pPr>
      <w:r>
        <w:t>Realisatie van groei door middel van  realisatie van eigen bouwprojecten.</w:t>
      </w:r>
    </w:p>
    <w:p w14:paraId="13DCB4D8" w14:textId="77777777" w:rsidR="008374B4" w:rsidRDefault="008374B4">
      <w:pPr>
        <w:rPr>
          <w:color w:val="004D22"/>
          <w:sz w:val="32"/>
          <w:szCs w:val="32"/>
        </w:rPr>
      </w:pPr>
    </w:p>
    <w:p w14:paraId="13DCB4D9" w14:textId="77777777" w:rsidR="008374B4" w:rsidRDefault="0043257D">
      <w:pPr>
        <w:rPr>
          <w:color w:val="004D22"/>
          <w:sz w:val="32"/>
          <w:szCs w:val="32"/>
        </w:rPr>
      </w:pPr>
      <w:proofErr w:type="spellStart"/>
      <w:r>
        <w:rPr>
          <w:color w:val="004D22"/>
          <w:sz w:val="32"/>
          <w:szCs w:val="32"/>
        </w:rPr>
        <w:t>Threats</w:t>
      </w:r>
      <w:proofErr w:type="spellEnd"/>
      <w:r>
        <w:rPr>
          <w:color w:val="004D22"/>
          <w:sz w:val="32"/>
          <w:szCs w:val="32"/>
        </w:rPr>
        <w:t>:</w:t>
      </w:r>
    </w:p>
    <w:p w14:paraId="13DCB4DA" w14:textId="77777777" w:rsidR="008374B4" w:rsidRDefault="0043257D">
      <w:pPr>
        <w:numPr>
          <w:ilvl w:val="0"/>
          <w:numId w:val="1"/>
        </w:numPr>
        <w:spacing w:after="0"/>
      </w:pPr>
      <w:r>
        <w:t>Verdere renteverhogingen door de Europese Centrale Bank</w:t>
      </w:r>
      <w:r>
        <w:br/>
      </w:r>
    </w:p>
    <w:p w14:paraId="13DCB4DB" w14:textId="77777777" w:rsidR="008374B4" w:rsidRDefault="0043257D">
      <w:pPr>
        <w:numPr>
          <w:ilvl w:val="0"/>
          <w:numId w:val="1"/>
        </w:numPr>
        <w:spacing w:after="0"/>
      </w:pPr>
      <w:r>
        <w:t>Discussie over huurplafonds in Nederlandse Kamer</w:t>
      </w:r>
      <w:r>
        <w:br/>
      </w:r>
    </w:p>
    <w:p w14:paraId="13DCB4DC" w14:textId="77777777" w:rsidR="008374B4" w:rsidRDefault="0043257D">
      <w:pPr>
        <w:numPr>
          <w:ilvl w:val="0"/>
          <w:numId w:val="1"/>
        </w:numPr>
        <w:spacing w:after="0"/>
      </w:pPr>
      <w:r>
        <w:t xml:space="preserve">Naarmate de ouderdom van het vastgoed in portefeuille toeneemt, zal de Vennootschap genoodzaakt zijn om belangrijke en/of structurele renovatie- en investeringsprogramma’s uit te voeren ingevolge de ouderdom of slijtage van de gebouwen (als gevolg van gewone, bouwkundige en technische veroudering) en de inboedel of ingevolge beschadiging van de gebouwen of de inboedel. Bovendien bestaat het risico dat de gebouwen niet meer (zullen) voldoen aan de toenemende (wettelijke of commerciële) vereisten, onder meer </w:t>
      </w:r>
      <w:r>
        <w:t>op het gebied van wooncomfort, brandveiligheid en duurzame ontwikkeling(energieprestatie, etc.) en daaraan dienen te worden aangepast.</w:t>
      </w:r>
      <w:r>
        <w:br/>
      </w:r>
    </w:p>
    <w:p w14:paraId="13DCB4DD" w14:textId="77777777" w:rsidR="008374B4" w:rsidRDefault="0043257D">
      <w:pPr>
        <w:numPr>
          <w:ilvl w:val="0"/>
          <w:numId w:val="1"/>
        </w:numPr>
        <w:spacing w:after="0"/>
      </w:pPr>
      <w:r>
        <w:t>Polen is lid van de Europese Unie, maar heeft reeds verscheidene geschillen gehad met de Europese Commissie aangaande het respecteren van de rechtsstaat (“</w:t>
      </w:r>
      <w:proofErr w:type="spellStart"/>
      <w:r>
        <w:t>rule</w:t>
      </w:r>
      <w:proofErr w:type="spellEnd"/>
      <w:r>
        <w:t xml:space="preserve"> of </w:t>
      </w:r>
      <w:proofErr w:type="spellStart"/>
      <w:r>
        <w:t>law</w:t>
      </w:r>
      <w:proofErr w:type="spellEnd"/>
      <w:r>
        <w:t>”). Blijvende betwistingen op dat vlak zouden potentieel kunnen leiden tot het verminderen of intrekken van Europese steun, wat dan weer zou kunnen leiden tot een vertraging van de Poolse economie.</w:t>
      </w:r>
      <w:r>
        <w:br/>
      </w:r>
    </w:p>
    <w:p w14:paraId="13DCB4DE" w14:textId="77777777" w:rsidR="008374B4" w:rsidRDefault="0043257D">
      <w:pPr>
        <w:numPr>
          <w:ilvl w:val="0"/>
          <w:numId w:val="1"/>
        </w:numPr>
      </w:pPr>
      <w:r>
        <w:t>Daling van de vraag naar studentenkoten door het wegvallen van financiële steun van de overheid aan studenten.</w:t>
      </w:r>
    </w:p>
    <w:p w14:paraId="13DCB4DF" w14:textId="77777777" w:rsidR="008374B4" w:rsidRDefault="0043257D">
      <w:pPr>
        <w:keepNext/>
        <w:keepLines/>
        <w:pBdr>
          <w:top w:val="nil"/>
          <w:left w:val="nil"/>
          <w:bottom w:val="nil"/>
          <w:right w:val="nil"/>
          <w:between w:val="nil"/>
        </w:pBdr>
        <w:spacing w:before="240" w:after="0"/>
        <w:rPr>
          <w:color w:val="004D22"/>
          <w:sz w:val="32"/>
          <w:szCs w:val="32"/>
        </w:rPr>
      </w:pPr>
      <w:r>
        <w:rPr>
          <w:color w:val="004D22"/>
          <w:sz w:val="32"/>
          <w:szCs w:val="32"/>
        </w:rPr>
        <w:lastRenderedPageBreak/>
        <w:t>Kerncijfers:</w:t>
      </w:r>
    </w:p>
    <w:p w14:paraId="13DCB4E0" w14:textId="77777777" w:rsidR="008374B4" w:rsidRDefault="008374B4"/>
    <w:tbl>
      <w:tblPr>
        <w:tblStyle w:val="a5"/>
        <w:tblW w:w="9345" w:type="dxa"/>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70"/>
        <w:gridCol w:w="1515"/>
        <w:gridCol w:w="1515"/>
        <w:gridCol w:w="1515"/>
        <w:gridCol w:w="1515"/>
        <w:gridCol w:w="1515"/>
      </w:tblGrid>
      <w:tr w:rsidR="008374B4" w14:paraId="13DCB4E7" w14:textId="77777777">
        <w:tc>
          <w:tcPr>
            <w:tcW w:w="1770" w:type="dxa"/>
            <w:shd w:val="clear" w:color="auto" w:fill="004D22"/>
          </w:tcPr>
          <w:p w14:paraId="13DCB4E1" w14:textId="77777777" w:rsidR="008374B4" w:rsidRDefault="0043257D">
            <w:pPr>
              <w:rPr>
                <w:color w:val="FFFFFF"/>
              </w:rPr>
            </w:pPr>
            <w:r>
              <w:rPr>
                <w:color w:val="FFFFFF"/>
              </w:rPr>
              <w:t>In miljoen dollar</w:t>
            </w:r>
          </w:p>
        </w:tc>
        <w:tc>
          <w:tcPr>
            <w:tcW w:w="1515" w:type="dxa"/>
            <w:shd w:val="clear" w:color="auto" w:fill="004D22"/>
          </w:tcPr>
          <w:p w14:paraId="13DCB4E2" w14:textId="77777777" w:rsidR="008374B4" w:rsidRDefault="0043257D">
            <w:pPr>
              <w:rPr>
                <w:color w:val="FFFFFF"/>
              </w:rPr>
            </w:pPr>
            <w:r>
              <w:rPr>
                <w:color w:val="FFFFFF"/>
              </w:rPr>
              <w:t>2022 (verwacht)</w:t>
            </w:r>
          </w:p>
        </w:tc>
        <w:tc>
          <w:tcPr>
            <w:tcW w:w="1515" w:type="dxa"/>
            <w:shd w:val="clear" w:color="auto" w:fill="004D22"/>
          </w:tcPr>
          <w:p w14:paraId="13DCB4E3" w14:textId="77777777" w:rsidR="008374B4" w:rsidRDefault="0043257D">
            <w:pPr>
              <w:rPr>
                <w:color w:val="FFFFFF"/>
              </w:rPr>
            </w:pPr>
            <w:r>
              <w:rPr>
                <w:color w:val="FFFFFF"/>
              </w:rPr>
              <w:t>2021</w:t>
            </w:r>
          </w:p>
        </w:tc>
        <w:tc>
          <w:tcPr>
            <w:tcW w:w="1515" w:type="dxa"/>
            <w:shd w:val="clear" w:color="auto" w:fill="004D22"/>
          </w:tcPr>
          <w:p w14:paraId="13DCB4E4" w14:textId="77777777" w:rsidR="008374B4" w:rsidRDefault="0043257D">
            <w:pPr>
              <w:rPr>
                <w:color w:val="FFFFFF"/>
              </w:rPr>
            </w:pPr>
            <w:r>
              <w:rPr>
                <w:color w:val="FFFFFF"/>
              </w:rPr>
              <w:t>2020</w:t>
            </w:r>
          </w:p>
        </w:tc>
        <w:tc>
          <w:tcPr>
            <w:tcW w:w="1515" w:type="dxa"/>
            <w:shd w:val="clear" w:color="auto" w:fill="004D22"/>
          </w:tcPr>
          <w:p w14:paraId="13DCB4E5" w14:textId="77777777" w:rsidR="008374B4" w:rsidRDefault="0043257D">
            <w:pPr>
              <w:rPr>
                <w:color w:val="FFFFFF"/>
              </w:rPr>
            </w:pPr>
            <w:r>
              <w:rPr>
                <w:color w:val="FFFFFF"/>
              </w:rPr>
              <w:t>2019</w:t>
            </w:r>
          </w:p>
        </w:tc>
        <w:tc>
          <w:tcPr>
            <w:tcW w:w="1515" w:type="dxa"/>
            <w:shd w:val="clear" w:color="auto" w:fill="004D22"/>
          </w:tcPr>
          <w:p w14:paraId="13DCB4E6" w14:textId="77777777" w:rsidR="008374B4" w:rsidRDefault="0043257D">
            <w:pPr>
              <w:rPr>
                <w:color w:val="FFFFFF"/>
              </w:rPr>
            </w:pPr>
            <w:r>
              <w:rPr>
                <w:color w:val="FFFFFF"/>
              </w:rPr>
              <w:t>2018</w:t>
            </w:r>
          </w:p>
        </w:tc>
      </w:tr>
      <w:tr w:rsidR="008374B4" w14:paraId="13DCB4EE" w14:textId="77777777">
        <w:tc>
          <w:tcPr>
            <w:tcW w:w="1770" w:type="dxa"/>
          </w:tcPr>
          <w:p w14:paraId="13DCB4E8" w14:textId="77777777" w:rsidR="008374B4" w:rsidRDefault="0043257D">
            <w:pPr>
              <w:rPr>
                <w:b/>
              </w:rPr>
            </w:pPr>
            <w:r>
              <w:rPr>
                <w:b/>
              </w:rPr>
              <w:t>Bruto huurinkomsten</w:t>
            </w:r>
          </w:p>
        </w:tc>
        <w:tc>
          <w:tcPr>
            <w:tcW w:w="1515" w:type="dxa"/>
          </w:tcPr>
          <w:p w14:paraId="13DCB4E9" w14:textId="77777777" w:rsidR="008374B4" w:rsidRDefault="0043257D">
            <w:r>
              <w:t>111</w:t>
            </w:r>
          </w:p>
        </w:tc>
        <w:tc>
          <w:tcPr>
            <w:tcW w:w="1515" w:type="dxa"/>
          </w:tcPr>
          <w:p w14:paraId="13DCB4EA" w14:textId="77777777" w:rsidR="008374B4" w:rsidRDefault="0043257D">
            <w:pPr>
              <w:rPr>
                <w:color w:val="000000"/>
              </w:rPr>
            </w:pPr>
            <w:r>
              <w:t>79,5</w:t>
            </w:r>
          </w:p>
        </w:tc>
        <w:tc>
          <w:tcPr>
            <w:tcW w:w="1515" w:type="dxa"/>
          </w:tcPr>
          <w:p w14:paraId="13DCB4EB" w14:textId="77777777" w:rsidR="008374B4" w:rsidRDefault="0043257D">
            <w:pPr>
              <w:rPr>
                <w:color w:val="000000"/>
              </w:rPr>
            </w:pPr>
            <w:r>
              <w:t>58,4</w:t>
            </w:r>
          </w:p>
        </w:tc>
        <w:tc>
          <w:tcPr>
            <w:tcW w:w="1515" w:type="dxa"/>
          </w:tcPr>
          <w:p w14:paraId="13DCB4EC" w14:textId="77777777" w:rsidR="008374B4" w:rsidRDefault="0043257D">
            <w:r>
              <w:t>45,1</w:t>
            </w:r>
          </w:p>
        </w:tc>
        <w:tc>
          <w:tcPr>
            <w:tcW w:w="1515" w:type="dxa"/>
          </w:tcPr>
          <w:p w14:paraId="13DCB4ED" w14:textId="77777777" w:rsidR="008374B4" w:rsidRDefault="0043257D">
            <w:r>
              <w:t>30,2</w:t>
            </w:r>
          </w:p>
        </w:tc>
      </w:tr>
      <w:tr w:rsidR="008374B4" w14:paraId="13DCB4F5" w14:textId="77777777">
        <w:tc>
          <w:tcPr>
            <w:tcW w:w="1770" w:type="dxa"/>
          </w:tcPr>
          <w:p w14:paraId="13DCB4EF" w14:textId="77777777" w:rsidR="008374B4" w:rsidRDefault="0043257D">
            <w:r>
              <w:rPr>
                <w:b/>
              </w:rPr>
              <w:t xml:space="preserve">Groei huurinkomsten </w:t>
            </w:r>
            <w:r>
              <w:t>(%)</w:t>
            </w:r>
          </w:p>
        </w:tc>
        <w:tc>
          <w:tcPr>
            <w:tcW w:w="1515" w:type="dxa"/>
          </w:tcPr>
          <w:p w14:paraId="13DCB4F0" w14:textId="77777777" w:rsidR="008374B4" w:rsidRDefault="0043257D">
            <w:r>
              <w:t>/</w:t>
            </w:r>
          </w:p>
        </w:tc>
        <w:tc>
          <w:tcPr>
            <w:tcW w:w="1515" w:type="dxa"/>
          </w:tcPr>
          <w:p w14:paraId="13DCB4F1" w14:textId="77777777" w:rsidR="008374B4" w:rsidRDefault="0043257D">
            <w:r>
              <w:t>36,6%</w:t>
            </w:r>
          </w:p>
        </w:tc>
        <w:tc>
          <w:tcPr>
            <w:tcW w:w="1515" w:type="dxa"/>
          </w:tcPr>
          <w:p w14:paraId="13DCB4F2" w14:textId="77777777" w:rsidR="008374B4" w:rsidRDefault="0043257D">
            <w:r>
              <w:t>29,7%</w:t>
            </w:r>
          </w:p>
        </w:tc>
        <w:tc>
          <w:tcPr>
            <w:tcW w:w="1515" w:type="dxa"/>
          </w:tcPr>
          <w:p w14:paraId="13DCB4F3" w14:textId="77777777" w:rsidR="008374B4" w:rsidRDefault="0043257D">
            <w:pPr>
              <w:rPr>
                <w:color w:val="000000"/>
              </w:rPr>
            </w:pPr>
            <w:r>
              <w:t>49,0%</w:t>
            </w:r>
          </w:p>
        </w:tc>
        <w:tc>
          <w:tcPr>
            <w:tcW w:w="1515" w:type="dxa"/>
          </w:tcPr>
          <w:p w14:paraId="13DCB4F4" w14:textId="77777777" w:rsidR="008374B4" w:rsidRDefault="0043257D">
            <w:r>
              <w:t>65,4%</w:t>
            </w:r>
          </w:p>
        </w:tc>
      </w:tr>
      <w:tr w:rsidR="008374B4" w14:paraId="13DCB4FC" w14:textId="77777777">
        <w:tc>
          <w:tcPr>
            <w:tcW w:w="1770" w:type="dxa"/>
          </w:tcPr>
          <w:p w14:paraId="13DCB4F6" w14:textId="77777777" w:rsidR="008374B4" w:rsidRDefault="0043257D">
            <w:r>
              <w:t>Nettowinst</w:t>
            </w:r>
          </w:p>
        </w:tc>
        <w:tc>
          <w:tcPr>
            <w:tcW w:w="1515" w:type="dxa"/>
          </w:tcPr>
          <w:p w14:paraId="13DCB4F7" w14:textId="77777777" w:rsidR="008374B4" w:rsidRDefault="0043257D">
            <w:r>
              <w:t>165,00</w:t>
            </w:r>
          </w:p>
        </w:tc>
        <w:tc>
          <w:tcPr>
            <w:tcW w:w="1515" w:type="dxa"/>
          </w:tcPr>
          <w:p w14:paraId="13DCB4F8" w14:textId="77777777" w:rsidR="008374B4" w:rsidRDefault="0043257D">
            <w:r>
              <w:t>81,17</w:t>
            </w:r>
          </w:p>
        </w:tc>
        <w:tc>
          <w:tcPr>
            <w:tcW w:w="1515" w:type="dxa"/>
          </w:tcPr>
          <w:p w14:paraId="13DCB4F9" w14:textId="77777777" w:rsidR="008374B4" w:rsidRDefault="0043257D">
            <w:r>
              <w:t>-42,00</w:t>
            </w:r>
          </w:p>
        </w:tc>
        <w:tc>
          <w:tcPr>
            <w:tcW w:w="1515" w:type="dxa"/>
          </w:tcPr>
          <w:p w14:paraId="13DCB4FA" w14:textId="77777777" w:rsidR="008374B4" w:rsidRDefault="0043257D">
            <w:r>
              <w:t>7,5</w:t>
            </w:r>
          </w:p>
        </w:tc>
        <w:tc>
          <w:tcPr>
            <w:tcW w:w="1515" w:type="dxa"/>
          </w:tcPr>
          <w:p w14:paraId="13DCB4FB" w14:textId="77777777" w:rsidR="008374B4" w:rsidRDefault="0043257D">
            <w:r>
              <w:t>16,11</w:t>
            </w:r>
          </w:p>
        </w:tc>
      </w:tr>
      <w:tr w:rsidR="008374B4" w14:paraId="13DCB503" w14:textId="77777777">
        <w:tc>
          <w:tcPr>
            <w:tcW w:w="1770" w:type="dxa"/>
          </w:tcPr>
          <w:p w14:paraId="13DCB4FD" w14:textId="77777777" w:rsidR="008374B4" w:rsidRDefault="0043257D">
            <w:r>
              <w:t>Brutomarge(%)</w:t>
            </w:r>
          </w:p>
        </w:tc>
        <w:tc>
          <w:tcPr>
            <w:tcW w:w="1515" w:type="dxa"/>
          </w:tcPr>
          <w:p w14:paraId="13DCB4FE" w14:textId="77777777" w:rsidR="008374B4" w:rsidRDefault="0043257D">
            <w:r>
              <w:t>/</w:t>
            </w:r>
          </w:p>
        </w:tc>
        <w:tc>
          <w:tcPr>
            <w:tcW w:w="1515" w:type="dxa"/>
          </w:tcPr>
          <w:p w14:paraId="13DCB4FF" w14:textId="77777777" w:rsidR="008374B4" w:rsidRDefault="0043257D">
            <w:r>
              <w:t>87,9%</w:t>
            </w:r>
          </w:p>
        </w:tc>
        <w:tc>
          <w:tcPr>
            <w:tcW w:w="1515" w:type="dxa"/>
          </w:tcPr>
          <w:p w14:paraId="13DCB500" w14:textId="77777777" w:rsidR="008374B4" w:rsidRDefault="0043257D">
            <w:r>
              <w:t>92,1%</w:t>
            </w:r>
          </w:p>
        </w:tc>
        <w:tc>
          <w:tcPr>
            <w:tcW w:w="1515" w:type="dxa"/>
          </w:tcPr>
          <w:p w14:paraId="13DCB501" w14:textId="77777777" w:rsidR="008374B4" w:rsidRDefault="0043257D">
            <w:r>
              <w:t>92,2%</w:t>
            </w:r>
          </w:p>
        </w:tc>
        <w:tc>
          <w:tcPr>
            <w:tcW w:w="1515" w:type="dxa"/>
          </w:tcPr>
          <w:p w14:paraId="13DCB502" w14:textId="77777777" w:rsidR="008374B4" w:rsidRDefault="0043257D">
            <w:r>
              <w:t>95%</w:t>
            </w:r>
          </w:p>
        </w:tc>
      </w:tr>
      <w:tr w:rsidR="008374B4" w14:paraId="13DCB50A" w14:textId="77777777">
        <w:tc>
          <w:tcPr>
            <w:tcW w:w="1770" w:type="dxa"/>
          </w:tcPr>
          <w:p w14:paraId="13DCB504" w14:textId="77777777" w:rsidR="008374B4" w:rsidRDefault="0043257D">
            <w:r>
              <w:t>Winst per aandeel</w:t>
            </w:r>
          </w:p>
        </w:tc>
        <w:tc>
          <w:tcPr>
            <w:tcW w:w="1515" w:type="dxa"/>
          </w:tcPr>
          <w:p w14:paraId="13DCB505" w14:textId="77777777" w:rsidR="008374B4" w:rsidRDefault="0043257D">
            <w:r>
              <w:t>2,07</w:t>
            </w:r>
          </w:p>
        </w:tc>
        <w:tc>
          <w:tcPr>
            <w:tcW w:w="1515" w:type="dxa"/>
          </w:tcPr>
          <w:p w14:paraId="13DCB506" w14:textId="77777777" w:rsidR="008374B4" w:rsidRDefault="0043257D">
            <w:r>
              <w:t>3,34</w:t>
            </w:r>
          </w:p>
        </w:tc>
        <w:tc>
          <w:tcPr>
            <w:tcW w:w="1515" w:type="dxa"/>
          </w:tcPr>
          <w:p w14:paraId="13DCB507" w14:textId="77777777" w:rsidR="008374B4" w:rsidRDefault="0043257D">
            <w:r>
              <w:t>-2,14</w:t>
            </w:r>
          </w:p>
        </w:tc>
        <w:tc>
          <w:tcPr>
            <w:tcW w:w="1515" w:type="dxa"/>
          </w:tcPr>
          <w:p w14:paraId="13DCB508" w14:textId="77777777" w:rsidR="008374B4" w:rsidRDefault="0043257D">
            <w:r>
              <w:t>0,51</w:t>
            </w:r>
          </w:p>
        </w:tc>
        <w:tc>
          <w:tcPr>
            <w:tcW w:w="1515" w:type="dxa"/>
          </w:tcPr>
          <w:p w14:paraId="13DCB509" w14:textId="77777777" w:rsidR="008374B4" w:rsidRDefault="0043257D">
            <w:r>
              <w:t>1,45</w:t>
            </w:r>
          </w:p>
        </w:tc>
      </w:tr>
      <w:tr w:rsidR="008374B4" w14:paraId="13DCB511" w14:textId="77777777">
        <w:tc>
          <w:tcPr>
            <w:tcW w:w="1770" w:type="dxa"/>
          </w:tcPr>
          <w:p w14:paraId="13DCB50B" w14:textId="77777777" w:rsidR="008374B4" w:rsidRDefault="0043257D">
            <w:r>
              <w:t>Dividend per aandeel</w:t>
            </w:r>
          </w:p>
        </w:tc>
        <w:tc>
          <w:tcPr>
            <w:tcW w:w="1515" w:type="dxa"/>
          </w:tcPr>
          <w:p w14:paraId="13DCB50C" w14:textId="77777777" w:rsidR="008374B4" w:rsidRDefault="0043257D">
            <w:r>
              <w:t>1,66</w:t>
            </w:r>
          </w:p>
        </w:tc>
        <w:tc>
          <w:tcPr>
            <w:tcW w:w="1515" w:type="dxa"/>
          </w:tcPr>
          <w:p w14:paraId="13DCB50D" w14:textId="77777777" w:rsidR="008374B4" w:rsidRDefault="0043257D">
            <w:r>
              <w:t>1,01</w:t>
            </w:r>
          </w:p>
        </w:tc>
        <w:tc>
          <w:tcPr>
            <w:tcW w:w="1515" w:type="dxa"/>
          </w:tcPr>
          <w:p w14:paraId="13DCB50E" w14:textId="77777777" w:rsidR="008374B4" w:rsidRDefault="0043257D">
            <w:r>
              <w:t>0,93</w:t>
            </w:r>
          </w:p>
        </w:tc>
        <w:tc>
          <w:tcPr>
            <w:tcW w:w="1515" w:type="dxa"/>
          </w:tcPr>
          <w:p w14:paraId="13DCB50F" w14:textId="77777777" w:rsidR="008374B4" w:rsidRDefault="0043257D">
            <w:r>
              <w:t>0,87</w:t>
            </w:r>
          </w:p>
        </w:tc>
        <w:tc>
          <w:tcPr>
            <w:tcW w:w="1515" w:type="dxa"/>
          </w:tcPr>
          <w:p w14:paraId="13DCB510" w14:textId="77777777" w:rsidR="008374B4" w:rsidRDefault="0043257D">
            <w:r>
              <w:t>0,83</w:t>
            </w:r>
          </w:p>
        </w:tc>
      </w:tr>
      <w:tr w:rsidR="008374B4" w14:paraId="13DCB518" w14:textId="77777777">
        <w:tc>
          <w:tcPr>
            <w:tcW w:w="1770" w:type="dxa"/>
          </w:tcPr>
          <w:p w14:paraId="13DCB512" w14:textId="77777777" w:rsidR="008374B4" w:rsidRDefault="008374B4"/>
        </w:tc>
        <w:tc>
          <w:tcPr>
            <w:tcW w:w="1515" w:type="dxa"/>
          </w:tcPr>
          <w:p w14:paraId="13DCB513" w14:textId="77777777" w:rsidR="008374B4" w:rsidRDefault="008374B4"/>
        </w:tc>
        <w:tc>
          <w:tcPr>
            <w:tcW w:w="1515" w:type="dxa"/>
          </w:tcPr>
          <w:p w14:paraId="13DCB514" w14:textId="77777777" w:rsidR="008374B4" w:rsidRDefault="008374B4"/>
        </w:tc>
        <w:tc>
          <w:tcPr>
            <w:tcW w:w="1515" w:type="dxa"/>
          </w:tcPr>
          <w:p w14:paraId="13DCB515" w14:textId="77777777" w:rsidR="008374B4" w:rsidRDefault="008374B4"/>
        </w:tc>
        <w:tc>
          <w:tcPr>
            <w:tcW w:w="1515" w:type="dxa"/>
          </w:tcPr>
          <w:p w14:paraId="13DCB516" w14:textId="77777777" w:rsidR="008374B4" w:rsidRDefault="008374B4"/>
        </w:tc>
        <w:tc>
          <w:tcPr>
            <w:tcW w:w="1515" w:type="dxa"/>
          </w:tcPr>
          <w:p w14:paraId="13DCB517" w14:textId="77777777" w:rsidR="008374B4" w:rsidRDefault="008374B4"/>
        </w:tc>
      </w:tr>
      <w:tr w:rsidR="008374B4" w14:paraId="13DCB51F" w14:textId="77777777">
        <w:tc>
          <w:tcPr>
            <w:tcW w:w="1770" w:type="dxa"/>
          </w:tcPr>
          <w:p w14:paraId="13DCB519" w14:textId="77777777" w:rsidR="008374B4" w:rsidRDefault="0043257D">
            <w:r>
              <w:t>ROE</w:t>
            </w:r>
          </w:p>
        </w:tc>
        <w:tc>
          <w:tcPr>
            <w:tcW w:w="1515" w:type="dxa"/>
          </w:tcPr>
          <w:p w14:paraId="13DCB51A" w14:textId="77777777" w:rsidR="008374B4" w:rsidRDefault="0043257D">
            <w:r>
              <w:t>11,4%</w:t>
            </w:r>
          </w:p>
        </w:tc>
        <w:tc>
          <w:tcPr>
            <w:tcW w:w="1515" w:type="dxa"/>
          </w:tcPr>
          <w:p w14:paraId="13DCB51B" w14:textId="77777777" w:rsidR="008374B4" w:rsidRDefault="0043257D">
            <w:r>
              <w:t>5,46%</w:t>
            </w:r>
          </w:p>
        </w:tc>
        <w:tc>
          <w:tcPr>
            <w:tcW w:w="1515" w:type="dxa"/>
          </w:tcPr>
          <w:p w14:paraId="13DCB51C" w14:textId="77777777" w:rsidR="008374B4" w:rsidRDefault="0043257D">
            <w:r>
              <w:t>5,32%</w:t>
            </w:r>
          </w:p>
        </w:tc>
        <w:tc>
          <w:tcPr>
            <w:tcW w:w="1515" w:type="dxa"/>
          </w:tcPr>
          <w:p w14:paraId="13DCB51D" w14:textId="77777777" w:rsidR="008374B4" w:rsidRDefault="0043257D">
            <w:r>
              <w:t>4,70%</w:t>
            </w:r>
          </w:p>
        </w:tc>
        <w:tc>
          <w:tcPr>
            <w:tcW w:w="1515" w:type="dxa"/>
          </w:tcPr>
          <w:p w14:paraId="13DCB51E" w14:textId="77777777" w:rsidR="008374B4" w:rsidRDefault="0043257D">
            <w:r>
              <w:t>5,09%</w:t>
            </w:r>
          </w:p>
        </w:tc>
      </w:tr>
      <w:tr w:rsidR="008374B4" w14:paraId="13DCB526" w14:textId="77777777">
        <w:tc>
          <w:tcPr>
            <w:tcW w:w="1770" w:type="dxa"/>
          </w:tcPr>
          <w:p w14:paraId="13DCB520" w14:textId="77777777" w:rsidR="008374B4" w:rsidRDefault="0043257D">
            <w:r>
              <w:t>ROA</w:t>
            </w:r>
          </w:p>
        </w:tc>
        <w:tc>
          <w:tcPr>
            <w:tcW w:w="1515" w:type="dxa"/>
          </w:tcPr>
          <w:p w14:paraId="13DCB521" w14:textId="77777777" w:rsidR="008374B4" w:rsidRDefault="0043257D">
            <w:r>
              <w:t>1,90%</w:t>
            </w:r>
          </w:p>
        </w:tc>
        <w:tc>
          <w:tcPr>
            <w:tcW w:w="1515" w:type="dxa"/>
          </w:tcPr>
          <w:p w14:paraId="13DCB522" w14:textId="77777777" w:rsidR="008374B4" w:rsidRDefault="0043257D">
            <w:r>
              <w:t>2,40%</w:t>
            </w:r>
          </w:p>
        </w:tc>
        <w:tc>
          <w:tcPr>
            <w:tcW w:w="1515" w:type="dxa"/>
          </w:tcPr>
          <w:p w14:paraId="13DCB523" w14:textId="77777777" w:rsidR="008374B4" w:rsidRDefault="0043257D">
            <w:r>
              <w:t>2,30%</w:t>
            </w:r>
          </w:p>
        </w:tc>
        <w:tc>
          <w:tcPr>
            <w:tcW w:w="1515" w:type="dxa"/>
          </w:tcPr>
          <w:p w14:paraId="13DCB524" w14:textId="77777777" w:rsidR="008374B4" w:rsidRDefault="0043257D">
            <w:r>
              <w:t>/</w:t>
            </w:r>
          </w:p>
        </w:tc>
        <w:tc>
          <w:tcPr>
            <w:tcW w:w="1515" w:type="dxa"/>
          </w:tcPr>
          <w:p w14:paraId="13DCB525" w14:textId="77777777" w:rsidR="008374B4" w:rsidRDefault="0043257D">
            <w:r>
              <w:t>/</w:t>
            </w:r>
          </w:p>
        </w:tc>
      </w:tr>
      <w:tr w:rsidR="008374B4" w14:paraId="13DCB52D" w14:textId="77777777">
        <w:tc>
          <w:tcPr>
            <w:tcW w:w="1770" w:type="dxa"/>
          </w:tcPr>
          <w:p w14:paraId="13DCB527" w14:textId="77777777" w:rsidR="008374B4" w:rsidRDefault="0043257D">
            <w:r>
              <w:t>K/W ratio</w:t>
            </w:r>
          </w:p>
        </w:tc>
        <w:tc>
          <w:tcPr>
            <w:tcW w:w="1515" w:type="dxa"/>
          </w:tcPr>
          <w:p w14:paraId="13DCB528" w14:textId="77777777" w:rsidR="008374B4" w:rsidRDefault="0043257D">
            <w:r>
              <w:t>3,15</w:t>
            </w:r>
          </w:p>
        </w:tc>
        <w:tc>
          <w:tcPr>
            <w:tcW w:w="1515" w:type="dxa"/>
          </w:tcPr>
          <w:p w14:paraId="13DCB529" w14:textId="77777777" w:rsidR="008374B4" w:rsidRDefault="0043257D">
            <w:r>
              <w:t>14,7</w:t>
            </w:r>
          </w:p>
        </w:tc>
        <w:tc>
          <w:tcPr>
            <w:tcW w:w="1515" w:type="dxa"/>
          </w:tcPr>
          <w:p w14:paraId="13DCB52A" w14:textId="77777777" w:rsidR="008374B4" w:rsidRDefault="0043257D">
            <w:r>
              <w:t>-23,0</w:t>
            </w:r>
          </w:p>
        </w:tc>
        <w:tc>
          <w:tcPr>
            <w:tcW w:w="1515" w:type="dxa"/>
          </w:tcPr>
          <w:p w14:paraId="13DCB52B" w14:textId="77777777" w:rsidR="008374B4" w:rsidRDefault="0043257D">
            <w:r>
              <w:t>98,9</w:t>
            </w:r>
          </w:p>
        </w:tc>
        <w:tc>
          <w:tcPr>
            <w:tcW w:w="1515" w:type="dxa"/>
          </w:tcPr>
          <w:p w14:paraId="13DCB52C" w14:textId="77777777" w:rsidR="008374B4" w:rsidRDefault="0043257D">
            <w:r>
              <w:t>26,2</w:t>
            </w:r>
          </w:p>
        </w:tc>
      </w:tr>
      <w:tr w:rsidR="008374B4" w14:paraId="13DCB534" w14:textId="77777777">
        <w:tc>
          <w:tcPr>
            <w:tcW w:w="1770" w:type="dxa"/>
          </w:tcPr>
          <w:p w14:paraId="13DCB52E" w14:textId="77777777" w:rsidR="008374B4" w:rsidRDefault="0043257D">
            <w:r>
              <w:t>EV/</w:t>
            </w:r>
            <w:proofErr w:type="spellStart"/>
            <w:r>
              <w:t>revenue</w:t>
            </w:r>
            <w:proofErr w:type="spellEnd"/>
          </w:p>
        </w:tc>
        <w:tc>
          <w:tcPr>
            <w:tcW w:w="1515" w:type="dxa"/>
          </w:tcPr>
          <w:p w14:paraId="13DCB52F" w14:textId="77777777" w:rsidR="008374B4" w:rsidRDefault="0043257D">
            <w:r>
              <w:t>21,6</w:t>
            </w:r>
          </w:p>
        </w:tc>
        <w:tc>
          <w:tcPr>
            <w:tcW w:w="1515" w:type="dxa"/>
          </w:tcPr>
          <w:p w14:paraId="13DCB530" w14:textId="77777777" w:rsidR="008374B4" w:rsidRDefault="0043257D">
            <w:r>
              <w:t>26,0</w:t>
            </w:r>
          </w:p>
        </w:tc>
        <w:tc>
          <w:tcPr>
            <w:tcW w:w="1515" w:type="dxa"/>
          </w:tcPr>
          <w:p w14:paraId="13DCB531" w14:textId="77777777" w:rsidR="008374B4" w:rsidRDefault="0043257D">
            <w:r>
              <w:t>29,7</w:t>
            </w:r>
          </w:p>
        </w:tc>
        <w:tc>
          <w:tcPr>
            <w:tcW w:w="1515" w:type="dxa"/>
          </w:tcPr>
          <w:p w14:paraId="13DCB532" w14:textId="77777777" w:rsidR="008374B4" w:rsidRDefault="0043257D">
            <w:r>
              <w:t>21,4</w:t>
            </w:r>
          </w:p>
        </w:tc>
        <w:tc>
          <w:tcPr>
            <w:tcW w:w="1515" w:type="dxa"/>
          </w:tcPr>
          <w:p w14:paraId="13DCB533" w14:textId="77777777" w:rsidR="008374B4" w:rsidRDefault="0043257D">
            <w:r>
              <w:t>30,6</w:t>
            </w:r>
          </w:p>
        </w:tc>
      </w:tr>
      <w:tr w:rsidR="008374B4" w14:paraId="13DCB53B" w14:textId="77777777">
        <w:tc>
          <w:tcPr>
            <w:tcW w:w="1770" w:type="dxa"/>
          </w:tcPr>
          <w:p w14:paraId="13DCB535" w14:textId="77777777" w:rsidR="008374B4" w:rsidRDefault="0043257D">
            <w:r>
              <w:t>EV/EBITDA</w:t>
            </w:r>
          </w:p>
        </w:tc>
        <w:tc>
          <w:tcPr>
            <w:tcW w:w="1515" w:type="dxa"/>
          </w:tcPr>
          <w:p w14:paraId="13DCB536" w14:textId="77777777" w:rsidR="008374B4" w:rsidRDefault="0043257D">
            <w:r>
              <w:t>29,6</w:t>
            </w:r>
          </w:p>
        </w:tc>
        <w:tc>
          <w:tcPr>
            <w:tcW w:w="1515" w:type="dxa"/>
          </w:tcPr>
          <w:p w14:paraId="13DCB537" w14:textId="77777777" w:rsidR="008374B4" w:rsidRDefault="0043257D">
            <w:r>
              <w:t>35,5</w:t>
            </w:r>
          </w:p>
        </w:tc>
        <w:tc>
          <w:tcPr>
            <w:tcW w:w="1515" w:type="dxa"/>
          </w:tcPr>
          <w:p w14:paraId="13DCB538" w14:textId="77777777" w:rsidR="008374B4" w:rsidRDefault="0043257D">
            <w:r>
              <w:t>38,9</w:t>
            </w:r>
          </w:p>
        </w:tc>
        <w:tc>
          <w:tcPr>
            <w:tcW w:w="1515" w:type="dxa"/>
          </w:tcPr>
          <w:p w14:paraId="13DCB539" w14:textId="77777777" w:rsidR="008374B4" w:rsidRDefault="0043257D">
            <w:r>
              <w:t>/</w:t>
            </w:r>
          </w:p>
        </w:tc>
        <w:tc>
          <w:tcPr>
            <w:tcW w:w="1515" w:type="dxa"/>
          </w:tcPr>
          <w:p w14:paraId="13DCB53A" w14:textId="77777777" w:rsidR="008374B4" w:rsidRDefault="0043257D">
            <w:r>
              <w:t>/</w:t>
            </w:r>
          </w:p>
        </w:tc>
      </w:tr>
    </w:tbl>
    <w:p w14:paraId="13DCB53C" w14:textId="77777777" w:rsidR="008374B4" w:rsidRDefault="008374B4"/>
    <w:p w14:paraId="13DCB53D" w14:textId="77777777" w:rsidR="008374B4" w:rsidRDefault="0043257D">
      <w:r>
        <w:tab/>
      </w:r>
      <w:r>
        <w:tab/>
      </w:r>
      <w:r>
        <w:tab/>
      </w:r>
      <w:r>
        <w:tab/>
      </w:r>
      <w:r>
        <w:tab/>
        <w:t>2017</w:t>
      </w:r>
      <w:r>
        <w:tab/>
        <w:t xml:space="preserve">     2018</w:t>
      </w:r>
      <w:r>
        <w:tab/>
      </w:r>
      <w:r>
        <w:tab/>
        <w:t xml:space="preserve">  2019</w:t>
      </w:r>
      <w:r>
        <w:tab/>
      </w:r>
      <w:r>
        <w:tab/>
      </w:r>
      <w:r>
        <w:t>2020</w:t>
      </w:r>
      <w:r>
        <w:tab/>
        <w:t xml:space="preserve">       2021</w:t>
      </w:r>
      <w:r>
        <w:tab/>
      </w:r>
      <w:r>
        <w:rPr>
          <w:noProof/>
        </w:rPr>
        <w:drawing>
          <wp:anchor distT="0" distB="0" distL="0" distR="0" simplePos="0" relativeHeight="251658240" behindDoc="0" locked="0" layoutInCell="1" hidden="0" allowOverlap="1" wp14:anchorId="13DCB565" wp14:editId="13DCB566">
            <wp:simplePos x="0" y="0"/>
            <wp:positionH relativeFrom="column">
              <wp:posOffset>80962</wp:posOffset>
            </wp:positionH>
            <wp:positionV relativeFrom="paragraph">
              <wp:posOffset>266700</wp:posOffset>
            </wp:positionV>
            <wp:extent cx="5760410" cy="482600"/>
            <wp:effectExtent l="0" t="0" r="0" b="0"/>
            <wp:wrapSquare wrapText="bothSides" distT="0" distB="0" distL="0" distR="0"/>
            <wp:docPr id="2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760410" cy="482600"/>
                    </a:xfrm>
                    <a:prstGeom prst="rect">
                      <a:avLst/>
                    </a:prstGeom>
                    <a:ln/>
                  </pic:spPr>
                </pic:pic>
              </a:graphicData>
            </a:graphic>
          </wp:anchor>
        </w:drawing>
      </w:r>
    </w:p>
    <w:p w14:paraId="13DCB53E" w14:textId="77777777" w:rsidR="008374B4" w:rsidRDefault="008374B4"/>
    <w:p w14:paraId="13DCB53F" w14:textId="77777777" w:rsidR="008374B4" w:rsidRDefault="008374B4"/>
    <w:p w14:paraId="13DCB540" w14:textId="77777777" w:rsidR="008374B4" w:rsidRDefault="008374B4"/>
    <w:p w14:paraId="13DCB541" w14:textId="77777777" w:rsidR="008374B4" w:rsidRDefault="0043257D">
      <w:pPr>
        <w:keepNext/>
        <w:keepLines/>
        <w:pBdr>
          <w:top w:val="nil"/>
          <w:left w:val="nil"/>
          <w:bottom w:val="nil"/>
          <w:right w:val="nil"/>
          <w:between w:val="nil"/>
        </w:pBdr>
        <w:spacing w:before="240" w:after="0"/>
      </w:pPr>
      <w:bookmarkStart w:id="0" w:name="_heading=h.gjdgxs" w:colFirst="0" w:colLast="0"/>
      <w:bookmarkEnd w:id="0"/>
      <w:proofErr w:type="spellStart"/>
      <w:r>
        <w:rPr>
          <w:color w:val="004D22"/>
          <w:sz w:val="32"/>
          <w:szCs w:val="32"/>
        </w:rPr>
        <w:lastRenderedPageBreak/>
        <w:t>Ownership</w:t>
      </w:r>
      <w:proofErr w:type="spellEnd"/>
      <w:r>
        <w:rPr>
          <w:color w:val="004D22"/>
          <w:sz w:val="32"/>
          <w:szCs w:val="32"/>
        </w:rPr>
        <w:t>:</w:t>
      </w:r>
      <w:r>
        <w:rPr>
          <w:color w:val="004D22"/>
          <w:sz w:val="32"/>
          <w:szCs w:val="32"/>
        </w:rPr>
        <w:br/>
      </w:r>
      <w:r>
        <w:br/>
        <w:t>Een groot deel</w:t>
      </w:r>
      <w:r>
        <w:t xml:space="preserve"> van de aandelen is in handen van de naamloze vennootschap in handen van de CEO en CFO. Dit zorgt ervoor dat deze heren de belangen van de aandeelhouders behartigen.</w:t>
      </w:r>
      <w:r>
        <w:rPr>
          <w:noProof/>
        </w:rPr>
        <w:drawing>
          <wp:anchor distT="114300" distB="114300" distL="114300" distR="114300" simplePos="0" relativeHeight="251659264" behindDoc="0" locked="0" layoutInCell="1" hidden="0" allowOverlap="1" wp14:anchorId="13DCB567" wp14:editId="13DCB568">
            <wp:simplePos x="0" y="0"/>
            <wp:positionH relativeFrom="column">
              <wp:posOffset>-476249</wp:posOffset>
            </wp:positionH>
            <wp:positionV relativeFrom="paragraph">
              <wp:posOffset>683374</wp:posOffset>
            </wp:positionV>
            <wp:extent cx="7140248" cy="1851937"/>
            <wp:effectExtent l="0" t="0" r="0" b="0"/>
            <wp:wrapSquare wrapText="bothSides" distT="114300" distB="114300" distL="114300" distR="114300"/>
            <wp:docPr id="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7140248" cy="1851937"/>
                    </a:xfrm>
                    <a:prstGeom prst="rect">
                      <a:avLst/>
                    </a:prstGeom>
                    <a:ln/>
                  </pic:spPr>
                </pic:pic>
              </a:graphicData>
            </a:graphic>
          </wp:anchor>
        </w:drawing>
      </w:r>
    </w:p>
    <w:p w14:paraId="13DCB542" w14:textId="77777777" w:rsidR="008374B4" w:rsidRDefault="0043257D">
      <w:pPr>
        <w:keepNext/>
        <w:keepLines/>
        <w:pBdr>
          <w:top w:val="nil"/>
          <w:left w:val="nil"/>
          <w:bottom w:val="nil"/>
          <w:right w:val="nil"/>
          <w:between w:val="nil"/>
        </w:pBdr>
        <w:spacing w:before="240" w:after="0"/>
        <w:rPr>
          <w:color w:val="004D22"/>
          <w:sz w:val="32"/>
          <w:szCs w:val="32"/>
        </w:rPr>
      </w:pPr>
      <w:bookmarkStart w:id="1" w:name="_heading=h.sobzxab49ddh" w:colFirst="0" w:colLast="0"/>
      <w:bookmarkEnd w:id="1"/>
      <w:r>
        <w:rPr>
          <w:color w:val="004D22"/>
          <w:sz w:val="32"/>
          <w:szCs w:val="32"/>
        </w:rPr>
        <w:t>Toekomst:</w:t>
      </w:r>
    </w:p>
    <w:p w14:paraId="13DCB543" w14:textId="77777777" w:rsidR="008374B4" w:rsidRDefault="0043257D">
      <w:pPr>
        <w:keepNext/>
        <w:keepLines/>
        <w:spacing w:before="240" w:after="0"/>
      </w:pPr>
      <w:r>
        <w:rPr>
          <w:noProof/>
        </w:rPr>
        <w:drawing>
          <wp:inline distT="114300" distB="114300" distL="114300" distR="114300" wp14:anchorId="13DCB569" wp14:editId="13DCB56A">
            <wp:extent cx="5381943" cy="2126090"/>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381943" cy="2126090"/>
                    </a:xfrm>
                    <a:prstGeom prst="rect">
                      <a:avLst/>
                    </a:prstGeom>
                    <a:ln/>
                  </pic:spPr>
                </pic:pic>
              </a:graphicData>
            </a:graphic>
          </wp:inline>
        </w:drawing>
      </w:r>
    </w:p>
    <w:p w14:paraId="13DCB544" w14:textId="77777777" w:rsidR="008374B4" w:rsidRDefault="0043257D">
      <w:pPr>
        <w:keepNext/>
        <w:keepLines/>
        <w:spacing w:before="240" w:after="0"/>
      </w:pPr>
      <w:r>
        <w:t xml:space="preserve">Hierboven ziet u de huurinkomsten opgesomd van nog niet opgenomen huurinkomsten, deze projecten zijn nog in aanbouw, worden nog ontwikkeld of worden </w:t>
      </w:r>
      <w:proofErr w:type="spellStart"/>
      <w:r>
        <w:t>gereconveert</w:t>
      </w:r>
      <w:proofErr w:type="spellEnd"/>
      <w:r>
        <w:t xml:space="preserve"> (kantoorruimtes die worden omgezet in studentenkoten). Men moet ook geen schrik hebben dat deze investeringen niet zullen renderen of dat deze studentenkoten niet verhuurd zullen geraken. Zowel in België, Nederland, Spanje en Portugal blijft de vraag naar studentenkoten stijgen. Dit zien we ook terug in hun zeer hoge bezettingsgraad. Door deze grote vraag naar studentenkoten heeft </w:t>
      </w:r>
      <w:proofErr w:type="spellStart"/>
      <w:r>
        <w:t>Xior</w:t>
      </w:r>
      <w:proofErr w:type="spellEnd"/>
      <w:r>
        <w:t xml:space="preserve"> goede prijszettingsmacht.</w:t>
      </w:r>
    </w:p>
    <w:p w14:paraId="13DCB545" w14:textId="77777777" w:rsidR="008374B4" w:rsidRDefault="008374B4"/>
    <w:p w14:paraId="13DCB546" w14:textId="77777777" w:rsidR="008374B4" w:rsidRDefault="0043257D">
      <w:proofErr w:type="spellStart"/>
      <w:r>
        <w:lastRenderedPageBreak/>
        <w:t>Xior</w:t>
      </w:r>
      <w:proofErr w:type="spellEnd"/>
      <w:r>
        <w:t xml:space="preserve"> is sinds kort ook bezig met de optimalisatie van de portefeuille: in de loop van het eerste halfjaar werd een programma gestart om de portefeuille strategisch te herzien en de minst efficiënte en minst duurzame gebouwen te verkopen, wat opnieuw ruimte creëert voor duurzame groei.</w:t>
      </w:r>
    </w:p>
    <w:p w14:paraId="13DCB547" w14:textId="77777777" w:rsidR="008374B4" w:rsidRDefault="0043257D">
      <w:pPr>
        <w:rPr>
          <w:color w:val="004D22"/>
          <w:sz w:val="32"/>
          <w:szCs w:val="32"/>
        </w:rPr>
      </w:pPr>
      <w:r>
        <w:t xml:space="preserve">Vervolgens zetten ze in  op transacties met inbreng in natura waarbij verkopende partij in het kapitaal van </w:t>
      </w:r>
      <w:proofErr w:type="spellStart"/>
      <w:r>
        <w:t>Xior</w:t>
      </w:r>
      <w:proofErr w:type="spellEnd"/>
      <w:r>
        <w:t xml:space="preserve"> stapt en lange termijn aandeelhouder blijft. Bovendien is </w:t>
      </w:r>
      <w:proofErr w:type="spellStart"/>
      <w:r>
        <w:t>Xior</w:t>
      </w:r>
      <w:proofErr w:type="spellEnd"/>
      <w:r>
        <w:t xml:space="preserve"> in belangrijke mate beschermd tegen een stijgend renteklimaat door de </w:t>
      </w:r>
      <w:proofErr w:type="spellStart"/>
      <w:r>
        <w:t>langetermijn</w:t>
      </w:r>
      <w:proofErr w:type="spellEnd"/>
      <w:r>
        <w:t xml:space="preserve"> indekking van haar bestaande schuldpositie, waarbij per 30 juni 2022, 87% van de opgenomen financieringen zijn ingedekt voor een looptijd van 5,7 jaar. Vermits deze </w:t>
      </w:r>
      <w:proofErr w:type="spellStart"/>
      <w:r>
        <w:t>indekkingen</w:t>
      </w:r>
      <w:proofErr w:type="spellEnd"/>
      <w:r>
        <w:t xml:space="preserve"> niet op het niveau van de individuele financieringen gebeuren maar voor een langere looptijd dan de onderliggende leningen, heeft het op vervaldag komen van individuele financieringen </w:t>
      </w:r>
      <w:r>
        <w:t>geen bijkomend interestrisico tot gevolg.</w:t>
      </w:r>
    </w:p>
    <w:p w14:paraId="13DCB548" w14:textId="77777777" w:rsidR="008374B4" w:rsidRDefault="008374B4"/>
    <w:p w14:paraId="13DCB549" w14:textId="77777777" w:rsidR="008374B4" w:rsidRDefault="0043257D">
      <w:pPr>
        <w:keepNext/>
        <w:keepLines/>
        <w:pBdr>
          <w:top w:val="nil"/>
          <w:left w:val="nil"/>
          <w:bottom w:val="nil"/>
          <w:right w:val="nil"/>
          <w:between w:val="nil"/>
        </w:pBdr>
        <w:spacing w:before="240" w:after="0"/>
        <w:rPr>
          <w:color w:val="004D22"/>
          <w:sz w:val="32"/>
          <w:szCs w:val="32"/>
        </w:rPr>
      </w:pPr>
      <w:r>
        <w:rPr>
          <w:color w:val="004D22"/>
          <w:sz w:val="32"/>
          <w:szCs w:val="32"/>
        </w:rPr>
        <w:t>Koersverloop:</w:t>
      </w:r>
    </w:p>
    <w:p w14:paraId="13DCB54A" w14:textId="77777777" w:rsidR="008374B4" w:rsidRDefault="0043257D">
      <w:r>
        <w:t xml:space="preserve"> </w:t>
      </w:r>
    </w:p>
    <w:p w14:paraId="13DCB54B" w14:textId="77777777" w:rsidR="008374B4" w:rsidRDefault="0043257D">
      <w:r>
        <w:rPr>
          <w:noProof/>
        </w:rPr>
        <w:drawing>
          <wp:inline distT="114300" distB="114300" distL="114300" distR="114300" wp14:anchorId="13DCB56B" wp14:editId="13DCB56C">
            <wp:extent cx="5760410" cy="2603500"/>
            <wp:effectExtent l="0" t="0" r="0" b="0"/>
            <wp:docPr id="1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760410" cy="2603500"/>
                    </a:xfrm>
                    <a:prstGeom prst="rect">
                      <a:avLst/>
                    </a:prstGeom>
                    <a:ln/>
                  </pic:spPr>
                </pic:pic>
              </a:graphicData>
            </a:graphic>
          </wp:inline>
        </w:drawing>
      </w:r>
    </w:p>
    <w:p w14:paraId="13DCB54C" w14:textId="77777777" w:rsidR="008374B4" w:rsidRDefault="008374B4"/>
    <w:p w14:paraId="13DCB54D" w14:textId="77777777" w:rsidR="008374B4" w:rsidRDefault="008374B4">
      <w:pPr>
        <w:keepNext/>
        <w:keepLines/>
        <w:pBdr>
          <w:top w:val="nil"/>
          <w:left w:val="nil"/>
          <w:bottom w:val="nil"/>
          <w:right w:val="nil"/>
          <w:between w:val="nil"/>
        </w:pBdr>
        <w:spacing w:before="240" w:after="0"/>
        <w:rPr>
          <w:color w:val="004D22"/>
          <w:sz w:val="14"/>
          <w:szCs w:val="14"/>
        </w:rPr>
      </w:pPr>
    </w:p>
    <w:p w14:paraId="13DCB54E" w14:textId="77777777" w:rsidR="008374B4" w:rsidRDefault="008374B4">
      <w:pPr>
        <w:keepNext/>
        <w:keepLines/>
        <w:pBdr>
          <w:top w:val="nil"/>
          <w:left w:val="nil"/>
          <w:bottom w:val="nil"/>
          <w:right w:val="nil"/>
          <w:between w:val="nil"/>
        </w:pBdr>
        <w:spacing w:before="240" w:after="0"/>
        <w:rPr>
          <w:color w:val="004D22"/>
          <w:sz w:val="14"/>
          <w:szCs w:val="14"/>
        </w:rPr>
      </w:pPr>
    </w:p>
    <w:p w14:paraId="13DCB54F" w14:textId="77777777" w:rsidR="008374B4" w:rsidRDefault="008374B4">
      <w:pPr>
        <w:keepNext/>
        <w:keepLines/>
        <w:pBdr>
          <w:top w:val="nil"/>
          <w:left w:val="nil"/>
          <w:bottom w:val="nil"/>
          <w:right w:val="nil"/>
          <w:between w:val="nil"/>
        </w:pBdr>
        <w:spacing w:before="240" w:after="0"/>
        <w:rPr>
          <w:color w:val="004D22"/>
          <w:sz w:val="14"/>
          <w:szCs w:val="14"/>
        </w:rPr>
      </w:pPr>
    </w:p>
    <w:p w14:paraId="13DCB550" w14:textId="77777777" w:rsidR="008374B4" w:rsidRDefault="0043257D">
      <w:pPr>
        <w:keepNext/>
        <w:keepLines/>
        <w:pBdr>
          <w:top w:val="nil"/>
          <w:left w:val="nil"/>
          <w:bottom w:val="nil"/>
          <w:right w:val="nil"/>
          <w:between w:val="nil"/>
        </w:pBdr>
        <w:spacing w:before="240" w:after="0"/>
        <w:rPr>
          <w:color w:val="2F5496"/>
          <w:sz w:val="32"/>
          <w:szCs w:val="32"/>
        </w:rPr>
      </w:pPr>
      <w:r>
        <w:rPr>
          <w:color w:val="004D22"/>
          <w:sz w:val="32"/>
          <w:szCs w:val="32"/>
        </w:rPr>
        <w:br/>
      </w:r>
      <w:r>
        <w:rPr>
          <w:color w:val="004D22"/>
          <w:sz w:val="32"/>
          <w:szCs w:val="32"/>
        </w:rPr>
        <w:t>Conclusie</w:t>
      </w:r>
      <w:r>
        <w:rPr>
          <w:color w:val="2F5496"/>
          <w:sz w:val="32"/>
          <w:szCs w:val="32"/>
        </w:rPr>
        <w:t>:</w:t>
      </w:r>
    </w:p>
    <w:p w14:paraId="13DCB551" w14:textId="77777777" w:rsidR="008374B4" w:rsidRDefault="0043257D">
      <w:r>
        <w:t xml:space="preserve">We zijn van mening dat de pandemische COVID-19 periode depositie van de activaklasse studentenwoningen definitief heeft bewezen als een echt alternatief voor investeren in residentiële activa. De impact van de pandemie op de bezettingsgraad was zeer beperkt, mede door de grote positie van </w:t>
      </w:r>
      <w:proofErr w:type="spellStart"/>
      <w:r>
        <w:t>Xior</w:t>
      </w:r>
      <w:proofErr w:type="spellEnd"/>
      <w:r>
        <w:t xml:space="preserve"> in Nederland, waar een structureel tekort is aan betaalbare woningen voor studenten. Maar ook in België bleef de bezettingsgraad op een hoog niveau. Het academiejaar 21/22 betekent voor de het bedrijf een terugkeer naar de normaliteit. Bovendien lijkt de vraag naar studentenhuisvesting in continentaal Europa zich op een hoger niveau te bevinden dan vóór de COVID uitbraak. We beschouwen het managementteam als zeer ondernemend en verwachten dat het kansen zal blijven aangrijpen om te groeien door overnam</w:t>
      </w:r>
      <w:r>
        <w:t xml:space="preserve">es en de (her)ontwikkeling van aantrekkelijk gelegen activa. De onzekerheden op de kantorenmarkt zouden de onderneming daartoe extra kansen kunnen bieden. We raden aan om een kleine positie op te bouwen van 20 aandelen aangezien we met WDP al een vastgoedaandeel in de portefeuille hebben. </w:t>
      </w:r>
    </w:p>
    <w:p w14:paraId="13DCB552" w14:textId="77777777" w:rsidR="008374B4" w:rsidRDefault="008374B4"/>
    <w:p w14:paraId="13DCB553" w14:textId="77777777" w:rsidR="008374B4" w:rsidRDefault="008374B4"/>
    <w:p w14:paraId="13DCB554" w14:textId="77777777" w:rsidR="008374B4" w:rsidRDefault="008374B4"/>
    <w:p w14:paraId="13DCB555" w14:textId="77777777" w:rsidR="008374B4" w:rsidRDefault="008374B4"/>
    <w:p w14:paraId="13DCB556" w14:textId="77777777" w:rsidR="008374B4" w:rsidRDefault="008374B4"/>
    <w:p w14:paraId="13DCB557" w14:textId="77777777" w:rsidR="008374B4" w:rsidRDefault="008374B4"/>
    <w:p w14:paraId="13DCB558" w14:textId="77777777" w:rsidR="008374B4" w:rsidRDefault="008374B4"/>
    <w:p w14:paraId="13DCB559" w14:textId="77777777" w:rsidR="008374B4" w:rsidRDefault="008374B4"/>
    <w:p w14:paraId="13DCB55A" w14:textId="77777777" w:rsidR="008374B4" w:rsidRDefault="008374B4"/>
    <w:p w14:paraId="13DCB55B" w14:textId="77777777" w:rsidR="008374B4" w:rsidRDefault="008374B4"/>
    <w:p w14:paraId="13DCB55C" w14:textId="77777777" w:rsidR="008374B4" w:rsidRDefault="008374B4"/>
    <w:p w14:paraId="13DCB55D" w14:textId="77777777" w:rsidR="008374B4" w:rsidRDefault="008374B4"/>
    <w:p w14:paraId="13DCB55E" w14:textId="77777777" w:rsidR="008374B4" w:rsidRDefault="008374B4"/>
    <w:p w14:paraId="13DCB55F" w14:textId="77777777" w:rsidR="008374B4" w:rsidRDefault="008374B4"/>
    <w:p w14:paraId="13DCB560" w14:textId="77777777" w:rsidR="008374B4" w:rsidRDefault="0043257D">
      <w:pPr>
        <w:rPr>
          <w:i/>
        </w:rPr>
      </w:pPr>
      <w:r>
        <w:rPr>
          <w:i/>
        </w:rPr>
        <w:lastRenderedPageBreak/>
        <w:t>Dit rapport is gemaakt door de vooraan vermelde leden van de VEK Investment Club met de bedoeling een beursgenoteerd bedrijf grondig te analyseren. Het bedrijf werd uiteindelijk ook gepresenteerd voor alle andere leden en een professionele analist. De VEK Investment Club (VIC) is een onderdeel van de Vlaamse Economische Kring, de facultaire studentenvereniging voor economiestudenten aan de Universiteit Gent. De VIC wil zoveel mogelijk studenten informeren over al de facetten van beleggen en de financiële ma</w:t>
      </w:r>
      <w:r>
        <w:rPr>
          <w:i/>
        </w:rPr>
        <w:t xml:space="preserve">rkten. Dit doen we aan de hand van gastlezingen, workshops, wedstrijden en een beleggingsclub. In die beleggingsclub leren een 100-tal studenten aandelen analyseren en beheren ze samen een aandelenportefeuille. Dit rapport is geen beleggingsadvies. De auteurs, de VEK Investment Club en de Vlaamse Economische Kring zijn niet verantwoordelijk voor eventuele schade geleden door handel in financiële instrumenten op basis van dit rapport. </w:t>
      </w:r>
    </w:p>
    <w:sectPr w:rsidR="008374B4">
      <w:headerReference w:type="default" r:id="rId17"/>
      <w:footerReference w:type="default" r:id="rId18"/>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DCB579" w14:textId="77777777" w:rsidR="0043257D" w:rsidRDefault="0043257D">
      <w:pPr>
        <w:spacing w:after="0" w:line="240" w:lineRule="auto"/>
      </w:pPr>
      <w:r>
        <w:separator/>
      </w:r>
    </w:p>
  </w:endnote>
  <w:endnote w:type="continuationSeparator" w:id="0">
    <w:p w14:paraId="13DCB57B" w14:textId="77777777" w:rsidR="0043257D" w:rsidRDefault="00432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DCB574" w14:textId="77777777" w:rsidR="008374B4" w:rsidRDefault="0043257D">
    <w:pPr>
      <w:pBdr>
        <w:top w:val="nil"/>
        <w:left w:val="nil"/>
        <w:bottom w:val="nil"/>
        <w:right w:val="nil"/>
        <w:between w:val="nil"/>
      </w:pBdr>
      <w:tabs>
        <w:tab w:val="center" w:pos="4536"/>
        <w:tab w:val="right" w:pos="9072"/>
      </w:tabs>
      <w:spacing w:after="0" w:line="240" w:lineRule="auto"/>
    </w:pPr>
    <w:r>
      <w:rPr>
        <w:color w:val="000000"/>
      </w:rPr>
      <w:t>VIC</w:t>
    </w:r>
    <w:r>
      <w:t xml:space="preserve"> voorstel </w:t>
    </w:r>
    <w:proofErr w:type="spellStart"/>
    <w:r>
      <w:t>Xior</w:t>
    </w:r>
    <w:proofErr w:type="spellEnd"/>
    <w:r>
      <w:t xml:space="preserve"> Student </w:t>
    </w:r>
    <w:proofErr w:type="spellStart"/>
    <w:r>
      <w:t>Housing</w:t>
    </w:r>
    <w:proofErr w:type="spellEnd"/>
    <w:r>
      <w:t xml:space="preserve"> </w:t>
    </w:r>
    <w:proofErr w:type="spellStart"/>
    <w:r>
      <w:t>Yari</w:t>
    </w:r>
    <w:proofErr w:type="spellEnd"/>
    <w:r>
      <w:t xml:space="preserve"> </w:t>
    </w:r>
    <w:proofErr w:type="spellStart"/>
    <w:r>
      <w:t>Steennot</w:t>
    </w:r>
    <w:proofErr w:type="spellEnd"/>
    <w:r>
      <w:t>, Pepijn Baert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DCB575" w14:textId="77777777" w:rsidR="0043257D" w:rsidRDefault="0043257D">
      <w:pPr>
        <w:spacing w:after="0" w:line="240" w:lineRule="auto"/>
      </w:pPr>
      <w:r>
        <w:separator/>
      </w:r>
    </w:p>
  </w:footnote>
  <w:footnote w:type="continuationSeparator" w:id="0">
    <w:p w14:paraId="13DCB577" w14:textId="77777777" w:rsidR="0043257D" w:rsidRDefault="00432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DCB56D" w14:textId="77777777" w:rsidR="008374B4" w:rsidRDefault="0043257D">
    <w:pPr>
      <w:pBdr>
        <w:top w:val="nil"/>
        <w:left w:val="nil"/>
        <w:bottom w:val="nil"/>
        <w:right w:val="nil"/>
        <w:between w:val="nil"/>
      </w:pBdr>
      <w:spacing w:after="0" w:line="240" w:lineRule="auto"/>
      <w:rPr>
        <w:rFonts w:ascii="Arial" w:eastAsia="Arial" w:hAnsi="Arial" w:cs="Arial"/>
      </w:rPr>
    </w:pPr>
    <w:r>
      <w:rPr>
        <w:rFonts w:ascii="Arial" w:eastAsia="Arial" w:hAnsi="Arial" w:cs="Arial"/>
        <w:sz w:val="32"/>
        <w:szCs w:val="32"/>
      </w:rPr>
      <w:tab/>
    </w:r>
    <w:r>
      <w:rPr>
        <w:rFonts w:ascii="Arial" w:eastAsia="Arial" w:hAnsi="Arial" w:cs="Arial"/>
        <w:sz w:val="32"/>
        <w:szCs w:val="32"/>
      </w:rPr>
      <w:tab/>
    </w:r>
    <w:r>
      <w:rPr>
        <w:rFonts w:ascii="Arial" w:eastAsia="Arial" w:hAnsi="Arial" w:cs="Arial"/>
        <w:sz w:val="32"/>
        <w:szCs w:val="32"/>
      </w:rPr>
      <w:tab/>
    </w:r>
    <w:r>
      <w:rPr>
        <w:rFonts w:ascii="Arial" w:eastAsia="Arial" w:hAnsi="Arial" w:cs="Arial"/>
        <w:sz w:val="32"/>
        <w:szCs w:val="32"/>
      </w:rPr>
      <w:tab/>
    </w:r>
    <w:r>
      <w:rPr>
        <w:rFonts w:ascii="Arial" w:eastAsia="Arial" w:hAnsi="Arial" w:cs="Arial"/>
        <w:sz w:val="32"/>
        <w:szCs w:val="32"/>
      </w:rPr>
      <w:tab/>
    </w:r>
    <w:r>
      <w:rPr>
        <w:rFonts w:ascii="Arial" w:eastAsia="Arial" w:hAnsi="Arial" w:cs="Arial"/>
        <w:sz w:val="32"/>
        <w:szCs w:val="32"/>
      </w:rPr>
      <w:tab/>
    </w:r>
    <w:r>
      <w:rPr>
        <w:rFonts w:ascii="Arial" w:eastAsia="Arial" w:hAnsi="Arial" w:cs="Arial"/>
        <w:sz w:val="32"/>
        <w:szCs w:val="32"/>
      </w:rPr>
      <w:tab/>
    </w:r>
    <w:proofErr w:type="spellStart"/>
    <w:r>
      <w:rPr>
        <w:rFonts w:ascii="Arial" w:eastAsia="Arial" w:hAnsi="Arial" w:cs="Arial"/>
      </w:rPr>
      <w:t>Yari</w:t>
    </w:r>
    <w:proofErr w:type="spellEnd"/>
    <w:r>
      <w:rPr>
        <w:rFonts w:ascii="Arial" w:eastAsia="Arial" w:hAnsi="Arial" w:cs="Arial"/>
      </w:rPr>
      <w:t xml:space="preserve"> </w:t>
    </w:r>
    <w:proofErr w:type="spellStart"/>
    <w:r>
      <w:rPr>
        <w:rFonts w:ascii="Arial" w:eastAsia="Arial" w:hAnsi="Arial" w:cs="Arial"/>
      </w:rPr>
      <w:t>Steennot</w:t>
    </w:r>
    <w:proofErr w:type="spellEnd"/>
    <w:r>
      <w:rPr>
        <w:rFonts w:ascii="Arial" w:eastAsia="Arial" w:hAnsi="Arial" w:cs="Arial"/>
      </w:rPr>
      <w:br/>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Pepijn Baert</w:t>
    </w:r>
    <w:r>
      <w:rPr>
        <w:rFonts w:ascii="Arial" w:eastAsia="Arial" w:hAnsi="Arial" w:cs="Arial"/>
      </w:rPr>
      <w:tab/>
    </w:r>
    <w:r>
      <w:rPr>
        <w:rFonts w:ascii="Arial" w:eastAsia="Arial" w:hAnsi="Arial" w:cs="Arial"/>
      </w:rPr>
      <w:br/>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 xml:space="preserve">          </w:t>
    </w:r>
    <w:proofErr w:type="spellStart"/>
    <w:r>
      <w:rPr>
        <w:rFonts w:ascii="Arial" w:eastAsia="Arial" w:hAnsi="Arial" w:cs="Arial"/>
      </w:rPr>
      <w:t>Vek</w:t>
    </w:r>
    <w:proofErr w:type="spellEnd"/>
    <w:r>
      <w:rPr>
        <w:rFonts w:ascii="Arial" w:eastAsia="Arial" w:hAnsi="Arial" w:cs="Arial"/>
      </w:rPr>
      <w:t xml:space="preserve"> Investment club</w:t>
    </w:r>
    <w:r>
      <w:rPr>
        <w:noProof/>
      </w:rPr>
      <mc:AlternateContent>
        <mc:Choice Requires="wpg">
          <w:drawing>
            <wp:anchor distT="0" distB="0" distL="114300" distR="114300" simplePos="0" relativeHeight="251658240" behindDoc="0" locked="0" layoutInCell="1" hidden="0" allowOverlap="1" wp14:anchorId="13DCB575" wp14:editId="13DCB576">
              <wp:simplePos x="0" y="0"/>
              <wp:positionH relativeFrom="column">
                <wp:posOffset>1803400</wp:posOffset>
              </wp:positionH>
              <wp:positionV relativeFrom="paragraph">
                <wp:posOffset>-50799</wp:posOffset>
              </wp:positionV>
              <wp:extent cx="2326414" cy="1086931"/>
              <wp:effectExtent l="0" t="0" r="0" b="0"/>
              <wp:wrapNone/>
              <wp:docPr id="15" name="Rechthoek 15"/>
              <wp:cNvGraphicFramePr/>
              <a:graphic xmlns:a="http://schemas.openxmlformats.org/drawingml/2006/main">
                <a:graphicData uri="http://schemas.microsoft.com/office/word/2010/wordprocessingShape">
                  <wps:wsp>
                    <wps:cNvSpPr/>
                    <wps:spPr>
                      <a:xfrm>
                        <a:off x="4192318" y="3245888"/>
                        <a:ext cx="2307364" cy="1068224"/>
                      </a:xfrm>
                      <a:prstGeom prst="rect">
                        <a:avLst/>
                      </a:prstGeom>
                      <a:solidFill>
                        <a:schemeClr val="lt1"/>
                      </a:solidFill>
                      <a:ln>
                        <a:noFill/>
                      </a:ln>
                    </wps:spPr>
                    <wps:txbx>
                      <w:txbxContent>
                        <w:p w14:paraId="13DCB579" w14:textId="77777777" w:rsidR="008374B4" w:rsidRDefault="0043257D">
                          <w:pPr>
                            <w:spacing w:after="0" w:line="240" w:lineRule="auto"/>
                            <w:jc w:val="center"/>
                            <w:textDirection w:val="btLr"/>
                          </w:pPr>
                          <w:r>
                            <w:rPr>
                              <w:rFonts w:ascii="Arial" w:eastAsia="Arial" w:hAnsi="Arial" w:cs="Arial"/>
                              <w:color w:val="000000"/>
                              <w:sz w:val="40"/>
                            </w:rPr>
                            <w:t>Analyse/voorstel</w:t>
                          </w:r>
                        </w:p>
                        <w:p w14:paraId="13DCB57A" w14:textId="77777777" w:rsidR="008374B4" w:rsidRDefault="0043257D">
                          <w:pPr>
                            <w:spacing w:after="0" w:line="311" w:lineRule="auto"/>
                            <w:textDirection w:val="btLr"/>
                          </w:pPr>
                          <w:proofErr w:type="spellStart"/>
                          <w:r>
                            <w:rPr>
                              <w:rFonts w:ascii="Arial" w:eastAsia="Arial" w:hAnsi="Arial" w:cs="Arial"/>
                              <w:color w:val="202124"/>
                              <w:sz w:val="34"/>
                              <w:highlight w:val="white"/>
                            </w:rPr>
                            <w:t>Xior</w:t>
                          </w:r>
                          <w:proofErr w:type="spellEnd"/>
                          <w:r>
                            <w:rPr>
                              <w:rFonts w:ascii="Arial" w:eastAsia="Arial" w:hAnsi="Arial" w:cs="Arial"/>
                              <w:color w:val="202124"/>
                              <w:sz w:val="34"/>
                              <w:highlight w:val="white"/>
                            </w:rPr>
                            <w:t xml:space="preserve"> Student </w:t>
                          </w:r>
                          <w:proofErr w:type="spellStart"/>
                          <w:r>
                            <w:rPr>
                              <w:rFonts w:ascii="Arial" w:eastAsia="Arial" w:hAnsi="Arial" w:cs="Arial"/>
                              <w:color w:val="202124"/>
                              <w:sz w:val="34"/>
                              <w:highlight w:val="white"/>
                            </w:rPr>
                            <w:t>Housing</w:t>
                          </w:r>
                          <w:proofErr w:type="spellEnd"/>
                        </w:p>
                        <w:p w14:paraId="13DCB57B" w14:textId="77777777" w:rsidR="008374B4" w:rsidRDefault="008374B4">
                          <w:pPr>
                            <w:spacing w:line="258" w:lineRule="auto"/>
                            <w:jc w:val="center"/>
                            <w:textDirection w:val="btLr"/>
                          </w:pPr>
                        </w:p>
                      </w:txbxContent>
                    </wps:txbx>
                    <wps:bodyPr spcFirstLastPara="1" wrap="square" lIns="91425" tIns="45700" rIns="91425" bIns="457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1803400</wp:posOffset>
              </wp:positionH>
              <wp:positionV relativeFrom="paragraph">
                <wp:posOffset>-50799</wp:posOffset>
              </wp:positionV>
              <wp:extent cx="2326414" cy="1086931"/>
              <wp:effectExtent b="0" l="0" r="0" t="0"/>
              <wp:wrapNone/>
              <wp:docPr id="15"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2326414" cy="1086931"/>
                      </a:xfrm>
                      <a:prstGeom prst="rect"/>
                      <a:ln/>
                    </pic:spPr>
                  </pic:pic>
                </a:graphicData>
              </a:graphic>
            </wp:anchor>
          </w:drawing>
        </mc:Fallback>
      </mc:AlternateContent>
    </w:r>
    <w:r>
      <w:rPr>
        <w:noProof/>
      </w:rPr>
      <w:drawing>
        <wp:anchor distT="0" distB="0" distL="114300" distR="114300" simplePos="0" relativeHeight="251659264" behindDoc="0" locked="0" layoutInCell="1" hidden="0" allowOverlap="1" wp14:anchorId="13DCB577" wp14:editId="13DCB578">
          <wp:simplePos x="0" y="0"/>
          <wp:positionH relativeFrom="column">
            <wp:posOffset>-612138</wp:posOffset>
          </wp:positionH>
          <wp:positionV relativeFrom="paragraph">
            <wp:posOffset>-234313</wp:posOffset>
          </wp:positionV>
          <wp:extent cx="1900555" cy="1441450"/>
          <wp:effectExtent l="0" t="0" r="0" b="0"/>
          <wp:wrapSquare wrapText="bothSides" distT="0" distB="0" distL="114300" distR="114300"/>
          <wp:docPr id="2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t="8056" b="10005"/>
                  <a:stretch>
                    <a:fillRect/>
                  </a:stretch>
                </pic:blipFill>
                <pic:spPr>
                  <a:xfrm>
                    <a:off x="0" y="0"/>
                    <a:ext cx="1900555" cy="1441450"/>
                  </a:xfrm>
                  <a:prstGeom prst="rect">
                    <a:avLst/>
                  </a:prstGeom>
                  <a:ln/>
                </pic:spPr>
              </pic:pic>
            </a:graphicData>
          </a:graphic>
        </wp:anchor>
      </w:drawing>
    </w:r>
  </w:p>
  <w:p w14:paraId="13DCB56E" w14:textId="77777777" w:rsidR="008374B4" w:rsidRDefault="0043257D">
    <w:p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Arial" w:eastAsia="Arial" w:hAnsi="Arial" w:cs="Arial"/>
        <w:color w:val="000000"/>
      </w:rPr>
      <w:t xml:space="preserve">       </w:t>
    </w:r>
  </w:p>
  <w:p w14:paraId="13DCB56F" w14:textId="77777777" w:rsidR="008374B4" w:rsidRDefault="008374B4">
    <w:pPr>
      <w:spacing w:after="0" w:line="240" w:lineRule="auto"/>
      <w:jc w:val="right"/>
      <w:rPr>
        <w:color w:val="000000"/>
      </w:rPr>
    </w:pPr>
  </w:p>
  <w:p w14:paraId="13DCB570" w14:textId="77777777" w:rsidR="008374B4" w:rsidRDefault="008374B4">
    <w:pPr>
      <w:spacing w:after="0" w:line="240" w:lineRule="auto"/>
      <w:jc w:val="right"/>
      <w:rPr>
        <w:color w:val="000000"/>
      </w:rPr>
    </w:pPr>
  </w:p>
  <w:p w14:paraId="13DCB571" w14:textId="77777777" w:rsidR="008374B4" w:rsidRDefault="008374B4">
    <w:pPr>
      <w:spacing w:after="0" w:line="240" w:lineRule="auto"/>
      <w:jc w:val="right"/>
      <w:rPr>
        <w:color w:val="000000"/>
      </w:rPr>
    </w:pPr>
  </w:p>
  <w:p w14:paraId="13DCB572" w14:textId="77777777" w:rsidR="008374B4" w:rsidRDefault="008374B4">
    <w:pPr>
      <w:spacing w:after="0" w:line="240" w:lineRule="auto"/>
      <w:jc w:val="right"/>
      <w:rPr>
        <w:rFonts w:ascii="Times New Roman" w:eastAsia="Times New Roman" w:hAnsi="Times New Roman" w:cs="Times New Roman"/>
        <w:color w:val="000000"/>
        <w:sz w:val="24"/>
        <w:szCs w:val="24"/>
      </w:rPr>
    </w:pPr>
  </w:p>
  <w:p w14:paraId="13DCB573" w14:textId="77777777" w:rsidR="008374B4" w:rsidRDefault="008374B4">
    <w:pPr>
      <w:pBdr>
        <w:top w:val="nil"/>
        <w:left w:val="nil"/>
        <w:bottom w:val="nil"/>
        <w:right w:val="nil"/>
        <w:between w:val="nil"/>
      </w:pBdr>
      <w:tabs>
        <w:tab w:val="center" w:pos="4536"/>
        <w:tab w:val="right" w:pos="9072"/>
      </w:tabs>
      <w:spacing w:after="0" w:line="240" w:lineRule="auto"/>
      <w:jc w:val="center"/>
      <w:rPr>
        <w:rFonts w:ascii="Arial" w:eastAsia="Arial" w:hAnsi="Arial" w:cs="Arial"/>
        <w:color w:val="000000"/>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0752BC"/>
    <w:multiLevelType w:val="multilevel"/>
    <w:tmpl w:val="98AECF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893313B"/>
    <w:multiLevelType w:val="multilevel"/>
    <w:tmpl w:val="C1BA74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DDC3B27"/>
    <w:multiLevelType w:val="multilevel"/>
    <w:tmpl w:val="EE5283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B616711"/>
    <w:multiLevelType w:val="multilevel"/>
    <w:tmpl w:val="6520E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D816C86"/>
    <w:multiLevelType w:val="multilevel"/>
    <w:tmpl w:val="3FFE48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61005880">
    <w:abstractNumId w:val="0"/>
  </w:num>
  <w:num w:numId="2" w16cid:durableId="1334649748">
    <w:abstractNumId w:val="4"/>
  </w:num>
  <w:num w:numId="3" w16cid:durableId="1675109626">
    <w:abstractNumId w:val="1"/>
  </w:num>
  <w:num w:numId="4" w16cid:durableId="1391225943">
    <w:abstractNumId w:val="3"/>
  </w:num>
  <w:num w:numId="5" w16cid:durableId="6402294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4B4"/>
    <w:rsid w:val="0043257D"/>
    <w:rsid w:val="008374B4"/>
    <w:rsid w:val="00AE283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CB48D"/>
  <w15:docId w15:val="{AEB5FB6F-B500-4BB6-9F63-6CBBE0468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nl-BE" w:eastAsia="nl-B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keepNext/>
      <w:keepLines/>
      <w:spacing w:before="240" w:after="0"/>
      <w:outlineLvl w:val="0"/>
    </w:pPr>
    <w:rPr>
      <w:color w:val="2F5496"/>
      <w:sz w:val="32"/>
      <w:szCs w:val="32"/>
    </w:rPr>
  </w:style>
  <w:style w:type="paragraph" w:styleId="Kop2">
    <w:name w:val="heading 2"/>
    <w:basedOn w:val="Standaard"/>
    <w:next w:val="Standaard"/>
    <w:uiPriority w:val="9"/>
    <w:semiHidden/>
    <w:unhideWhenUsed/>
    <w:qFormat/>
    <w:pPr>
      <w:keepNext/>
      <w:keepLines/>
      <w:spacing w:before="40" w:after="0"/>
      <w:outlineLvl w:val="1"/>
    </w:pPr>
    <w:rPr>
      <w:color w:val="2F5496"/>
      <w:sz w:val="26"/>
      <w:szCs w:val="26"/>
    </w:rPr>
  </w:style>
  <w:style w:type="paragraph" w:styleId="Kop3">
    <w:name w:val="heading 3"/>
    <w:basedOn w:val="Standaard"/>
    <w:next w:val="Standaard"/>
    <w:uiPriority w:val="9"/>
    <w:semiHidden/>
    <w:unhideWhenUsed/>
    <w:qFormat/>
    <w:pPr>
      <w:keepNext/>
      <w:keepLines/>
      <w:spacing w:before="280" w:after="80"/>
      <w:outlineLvl w:val="2"/>
    </w:pPr>
    <w:rPr>
      <w:b/>
      <w:sz w:val="28"/>
      <w:szCs w:val="28"/>
    </w:rPr>
  </w:style>
  <w:style w:type="paragraph" w:styleId="Kop4">
    <w:name w:val="heading 4"/>
    <w:basedOn w:val="Standaard"/>
    <w:next w:val="Standaard"/>
    <w:uiPriority w:val="9"/>
    <w:semiHidden/>
    <w:unhideWhenUsed/>
    <w:qFormat/>
    <w:pPr>
      <w:keepNext/>
      <w:keepLines/>
      <w:spacing w:before="240" w:after="40"/>
      <w:outlineLvl w:val="3"/>
    </w:pPr>
    <w:rPr>
      <w:b/>
      <w:sz w:val="24"/>
      <w:szCs w:val="24"/>
    </w:rPr>
  </w:style>
  <w:style w:type="paragraph" w:styleId="Kop5">
    <w:name w:val="heading 5"/>
    <w:basedOn w:val="Standaard"/>
    <w:next w:val="Standaard"/>
    <w:uiPriority w:val="9"/>
    <w:semiHidden/>
    <w:unhideWhenUsed/>
    <w:qFormat/>
    <w:pPr>
      <w:keepNext/>
      <w:keepLines/>
      <w:spacing w:before="220" w:after="40"/>
      <w:outlineLvl w:val="4"/>
    </w:pPr>
    <w:rPr>
      <w:b/>
    </w:rPr>
  </w:style>
  <w:style w:type="paragraph" w:styleId="Kop6">
    <w:name w:val="heading 6"/>
    <w:basedOn w:val="Standaard"/>
    <w:next w:val="Standaard"/>
    <w:uiPriority w:val="9"/>
    <w:semiHidden/>
    <w:unhideWhenUsed/>
    <w:qFormat/>
    <w:pPr>
      <w:keepNext/>
      <w:keepLines/>
      <w:spacing w:before="200" w:after="40"/>
      <w:outlineLvl w:val="5"/>
    </w:pPr>
    <w:rPr>
      <w:b/>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ard"/>
    <w:next w:val="Standaard"/>
    <w:uiPriority w:val="10"/>
    <w:qFormat/>
    <w:pPr>
      <w:spacing w:after="0" w:line="240" w:lineRule="auto"/>
    </w:pPr>
    <w:rPr>
      <w:sz w:val="56"/>
      <w:szCs w:val="56"/>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Ondertitel">
    <w:name w:val="Subtitle"/>
    <w:basedOn w:val="Standaard"/>
    <w:next w:val="Standaard"/>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pPr>
      <w:spacing w:after="0" w:line="240" w:lineRule="auto"/>
    </w:pPr>
    <w:tblPr>
      <w:tblStyleRowBandSize w:val="1"/>
      <w:tblStyleColBandSize w:val="1"/>
      <w:tblCellMar>
        <w:left w:w="108" w:type="dxa"/>
        <w:right w:w="108" w:type="dxa"/>
      </w:tblCellMar>
    </w:tblPr>
  </w:style>
  <w:style w:type="paragraph" w:styleId="Koptekst">
    <w:name w:val="header"/>
    <w:basedOn w:val="Standaard"/>
    <w:link w:val="KoptekstChar"/>
    <w:uiPriority w:val="99"/>
    <w:unhideWhenUsed/>
    <w:rsid w:val="00922BD4"/>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922BD4"/>
  </w:style>
  <w:style w:type="paragraph" w:styleId="Voettekst">
    <w:name w:val="footer"/>
    <w:basedOn w:val="Standaard"/>
    <w:link w:val="VoettekstChar"/>
    <w:uiPriority w:val="99"/>
    <w:unhideWhenUsed/>
    <w:rsid w:val="00922BD4"/>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922BD4"/>
  </w:style>
  <w:style w:type="paragraph" w:styleId="Normaalweb">
    <w:name w:val="Normal (Web)"/>
    <w:basedOn w:val="Standaard"/>
    <w:uiPriority w:val="99"/>
    <w:unhideWhenUsed/>
    <w:rsid w:val="00922BD4"/>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a4">
    <w:basedOn w:val="TableNormal1"/>
    <w:pPr>
      <w:spacing w:after="0" w:line="240" w:lineRule="auto"/>
    </w:pPr>
    <w:tblPr>
      <w:tblStyleRowBandSize w:val="1"/>
      <w:tblStyleColBandSize w:val="1"/>
      <w:tblCellMar>
        <w:top w:w="100" w:type="dxa"/>
        <w:left w:w="108" w:type="dxa"/>
        <w:bottom w:w="100" w:type="dxa"/>
        <w:right w:w="108" w:type="dxa"/>
      </w:tblCellMar>
    </w:tblPr>
  </w:style>
  <w:style w:type="table" w:customStyle="1" w:styleId="a5">
    <w:basedOn w:val="TableNormal1"/>
    <w:pPr>
      <w:spacing w:after="0" w:line="240" w:lineRule="auto"/>
    </w:pPr>
    <w:tblPr>
      <w:tblStyleRowBandSize w:val="1"/>
      <w:tblStyleColBandSize w:val="1"/>
      <w:tblCellMar>
        <w:top w:w="100" w:type="dxa"/>
        <w:left w:w="108" w:type="dxa"/>
        <w:bottom w:w="10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645f338-6b19-47dd-a9cd-521166d8a9c7" xsi:nil="true"/>
    <lcf76f155ced4ddcb4097134ff3c332f xmlns="bc1159ad-d26f-4422-9cd3-507dd7bb304b">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id+pWYnmvDjANGQooxxsUMAbxRiA==">AMUW2mWuVEeFSI+ZBVwO5d4Qe8NRp8Ef1++5EFjRf70iKYGqDuo61lcaIijLAnCTLWyCfCWWSVVH8kxG7jdszvBILgB6NXn0ccdVWO0NUdp38I54m6jTN973255vn7YgTe+zeVjJPLzNIoFELEIQ7Bn0+X2MkJYOgg==</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04FD744ABC62A64EB73EBDE161BAFFAF" ma:contentTypeVersion="11" ma:contentTypeDescription="Een nieuw document maken." ma:contentTypeScope="" ma:versionID="b8f33c57b389fc33ef5efc2eae871055">
  <xsd:schema xmlns:xsd="http://www.w3.org/2001/XMLSchema" xmlns:xs="http://www.w3.org/2001/XMLSchema" xmlns:p="http://schemas.microsoft.com/office/2006/metadata/properties" xmlns:ns2="bc1159ad-d26f-4422-9cd3-507dd7bb304b" xmlns:ns3="8645f338-6b19-47dd-a9cd-521166d8a9c7" targetNamespace="http://schemas.microsoft.com/office/2006/metadata/properties" ma:root="true" ma:fieldsID="abb4fd4ab0053d24a53095350140fb14" ns2:_="" ns3:_="">
    <xsd:import namespace="bc1159ad-d26f-4422-9cd3-507dd7bb304b"/>
    <xsd:import namespace="8645f338-6b19-47dd-a9cd-521166d8a9c7"/>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1159ad-d26f-4422-9cd3-507dd7bb304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Afbeeldingtags" ma:readOnly="false" ma:fieldId="{5cf76f15-5ced-4ddc-b409-7134ff3c332f}" ma:taxonomyMulti="true" ma:sspId="da829b53-f82c-4818-ba9e-f50c3edd119c"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645f338-6b19-47dd-a9cd-521166d8a9c7"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fa6b2853-0cf4-4253-bc2b-fe296ed0741f}" ma:internalName="TaxCatchAll" ma:showField="CatchAllData" ma:web="8645f338-6b19-47dd-a9cd-521166d8a9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44F0C93-10C8-4D8D-ADAD-5EB1E5435018}">
  <ds:schemaRefs>
    <ds:schemaRef ds:uri="http://schemas.microsoft.com/office/2006/metadata/properties"/>
    <ds:schemaRef ds:uri="http://schemas.microsoft.com/office/infopath/2007/PartnerControls"/>
    <ds:schemaRef ds:uri="8645f338-6b19-47dd-a9cd-521166d8a9c7"/>
    <ds:schemaRef ds:uri="bc1159ad-d26f-4422-9cd3-507dd7bb304b"/>
  </ds:schemaRefs>
</ds:datastoreItem>
</file>

<file path=customXml/itemProps2.xml><?xml version="1.0" encoding="utf-8"?>
<ds:datastoreItem xmlns:ds="http://schemas.openxmlformats.org/officeDocument/2006/customXml" ds:itemID="{6B23FC09-C084-46B8-A18A-98C32F039E77}">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4.xml><?xml version="1.0" encoding="utf-8"?>
<ds:datastoreItem xmlns:ds="http://schemas.openxmlformats.org/officeDocument/2006/customXml" ds:itemID="{D208C2A2-C429-40D9-8A9E-1F23E375B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1159ad-d26f-4422-9cd3-507dd7bb304b"/>
    <ds:schemaRef ds:uri="8645f338-6b19-47dd-a9cd-521166d8a9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1644</Words>
  <Characters>9047</Characters>
  <Application>Microsoft Office Word</Application>
  <DocSecurity>0</DocSecurity>
  <Lines>75</Lines>
  <Paragraphs>21</Paragraphs>
  <ScaleCrop>false</ScaleCrop>
  <Company/>
  <LinksUpToDate>false</LinksUpToDate>
  <CharactersWithSpaces>10670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Ruben Tack</cp:lastModifiedBy>
  <cp:revision>2</cp:revision>
  <dcterms:created xsi:type="dcterms:W3CDTF">2022-11-03T08:50:00Z</dcterms:created>
  <dcterms:modified xsi:type="dcterms:W3CDTF">2024-10-02T15:00:00Z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0x01010004FD744ABC62A64EB73EBDE161BAFFAF</vt:lpwstr>
  </property>
  <property fmtid="{D5CDD505-2E9C-101B-9397-08002B2CF9AE}" pid="3" name="Order">
    <vt:r8>195700</vt:r8>
  </property>
  <property fmtid="{D5CDD505-2E9C-101B-9397-08002B2CF9AE}" pid="4" name="TriggerFlowInfo">
    <vt:lpwstr/>
  </property>
  <property fmtid="{D5CDD505-2E9C-101B-9397-08002B2CF9AE}" pid="5" name="ComplianceAssetId">
    <vt:lpwstr/>
  </property>
  <property fmtid="{D5CDD505-2E9C-101B-9397-08002B2CF9AE}" pid="6" name="_ExtendedDescription">
    <vt:lpwstr/>
  </property>
</Properties>
</file>