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7706D" w:rsidP="00E7706D" w:rsidRDefault="00E7706D" w14:paraId="685A2E62" w14:textId="77777777"/>
    <w:p w:rsidR="00965B24" w:rsidP="00E7706D" w:rsidRDefault="00965B24" w14:paraId="6CB86E8E" w14:textId="30B40DA5">
      <w:r w:rsidRPr="00965B24">
        <w:t> </w:t>
      </w:r>
      <w:r>
        <w:t> </w:t>
      </w:r>
    </w:p>
    <w:p w:rsidR="00E7706D" w:rsidP="00E7706D" w:rsidRDefault="00E7706D" w14:paraId="620A2343" w14:textId="77777777"/>
    <w:p w:rsidRPr="00965B24" w:rsidR="00E7706D" w:rsidP="00E7706D" w:rsidRDefault="00E7706D" w14:paraId="6B2E63B3" w14:textId="77777777"/>
    <w:p w:rsidR="00E7706D" w:rsidP="7C294747" w:rsidRDefault="004F18A4" w14:paraId="26D534E9" w14:textId="24C75D8A">
      <w:pPr>
        <w:pStyle w:val="Standaard"/>
        <w:jc w:val="center"/>
      </w:pPr>
      <w:r>
        <w:drawing>
          <wp:inline wp14:editId="0E1FA7E9" wp14:anchorId="564D584A">
            <wp:extent cx="4782003" cy="3922737"/>
            <wp:effectExtent l="0" t="0" r="0" b="0"/>
            <wp:docPr id="1054791598" name="" title=""/>
            <wp:cNvGraphicFramePr>
              <a:graphicFrameLocks noChangeAspect="1"/>
            </wp:cNvGraphicFramePr>
            <a:graphic>
              <a:graphicData uri="http://schemas.openxmlformats.org/drawingml/2006/picture">
                <pic:pic>
                  <pic:nvPicPr>
                    <pic:cNvPr id="0" name=""/>
                    <pic:cNvPicPr/>
                  </pic:nvPicPr>
                  <pic:blipFill>
                    <a:blip r:embed="R30d6eb8a72094ed7">
                      <a:extLst>
                        <a:ext xmlns:a="http://schemas.openxmlformats.org/drawingml/2006/main" uri="{28A0092B-C50C-407E-A947-70E740481C1C}">
                          <a14:useLocalDpi val="0"/>
                        </a:ext>
                      </a:extLst>
                    </a:blip>
                    <a:stretch>
                      <a:fillRect/>
                    </a:stretch>
                  </pic:blipFill>
                  <pic:spPr>
                    <a:xfrm>
                      <a:off x="0" y="0"/>
                      <a:ext cx="4782003" cy="3922737"/>
                    </a:xfrm>
                    <a:prstGeom prst="rect">
                      <a:avLst/>
                    </a:prstGeom>
                  </pic:spPr>
                </pic:pic>
              </a:graphicData>
            </a:graphic>
          </wp:inline>
        </w:drawing>
      </w:r>
    </w:p>
    <w:p w:rsidR="004F18A4" w:rsidP="004F18A4" w:rsidRDefault="004F18A4" w14:paraId="47312170" w14:textId="77777777" w14:noSpellErr="1">
      <w:pPr>
        <w:rPr>
          <w:lang w:val="nl-NL"/>
        </w:rPr>
      </w:pPr>
    </w:p>
    <w:p w:rsidR="7C294747" w:rsidP="7C294747" w:rsidRDefault="7C294747" w14:paraId="7FC6AB14" w14:textId="45A88C6C">
      <w:pPr>
        <w:rPr>
          <w:lang w:val="nl-NL"/>
        </w:rPr>
      </w:pPr>
    </w:p>
    <w:p w:rsidR="7C294747" w:rsidP="7C294747" w:rsidRDefault="7C294747" w14:paraId="213D1C3E" w14:textId="0B6709BA">
      <w:pPr>
        <w:pStyle w:val="Standaard"/>
        <w:rPr>
          <w:lang w:val="nl-NL"/>
        </w:rPr>
      </w:pPr>
    </w:p>
    <w:p w:rsidRPr="00E7706D" w:rsidR="00E7706D" w:rsidP="00E7706D" w:rsidRDefault="00E7706D" w14:paraId="0F9C04D4" w14:textId="04539D9D">
      <w:pPr>
        <w:rPr>
          <w:lang w:val="nl-BE"/>
        </w:rPr>
      </w:pPr>
      <w:r w:rsidRPr="7C294747" w:rsidR="7C294747">
        <w:rPr>
          <w:b w:val="1"/>
          <w:bCs w:val="1"/>
          <w:lang w:val="nl-BE"/>
        </w:rPr>
        <w:t xml:space="preserve">Naam: </w:t>
      </w:r>
      <w:r w:rsidRPr="7C294747" w:rsidR="7C294747">
        <w:rPr>
          <w:b w:val="0"/>
          <w:bCs w:val="0"/>
          <w:lang w:val="nl-BE"/>
        </w:rPr>
        <w:t xml:space="preserve">Electronic Arts </w:t>
      </w:r>
    </w:p>
    <w:p w:rsidRPr="00E7706D" w:rsidR="00E7706D" w:rsidP="00E7706D" w:rsidRDefault="00E7706D" w14:paraId="7F70BC1E" w14:textId="4ACF475A">
      <w:r w:rsidRPr="7C294747" w:rsidR="7C294747">
        <w:rPr>
          <w:b w:val="1"/>
          <w:bCs w:val="1"/>
          <w:lang w:val="en-GB"/>
        </w:rPr>
        <w:t>Hoofdnotering</w:t>
      </w:r>
      <w:r w:rsidRPr="7C294747" w:rsidR="7C294747">
        <w:rPr>
          <w:b w:val="1"/>
          <w:bCs w:val="1"/>
          <w:lang w:val="en-GB"/>
        </w:rPr>
        <w:t xml:space="preserve">: </w:t>
      </w:r>
      <w:r w:rsidRPr="7C294747" w:rsidR="7C294747">
        <w:rPr>
          <w:lang w:val="en-GB"/>
        </w:rPr>
        <w:t>Euronext Brussel</w:t>
      </w:r>
    </w:p>
    <w:p w:rsidRPr="00E7706D" w:rsidR="00E7706D" w:rsidP="00E7706D" w:rsidRDefault="00E7706D" w14:paraId="22EDB885" w14:textId="190B0ACB">
      <w:r w:rsidRPr="7C294747" w:rsidR="7C294747">
        <w:rPr>
          <w:b w:val="1"/>
          <w:bCs w:val="1"/>
        </w:rPr>
        <w:t xml:space="preserve">Ticker: </w:t>
      </w:r>
      <w:r w:rsidR="7C294747">
        <w:rPr/>
        <w:t>EA</w:t>
      </w:r>
    </w:p>
    <w:p w:rsidRPr="00E7706D" w:rsidR="00E7706D" w:rsidP="00E7706D" w:rsidRDefault="00E7706D" w14:paraId="14CC9645" w14:textId="33C4C15F">
      <w:r w:rsidRPr="7C294747" w:rsidR="7C294747">
        <w:rPr>
          <w:b w:val="1"/>
          <w:bCs w:val="1"/>
        </w:rPr>
        <w:t xml:space="preserve">Sector: </w:t>
      </w:r>
      <w:r w:rsidR="7C294747">
        <w:rPr>
          <w:b w:val="0"/>
          <w:bCs w:val="0"/>
        </w:rPr>
        <w:t>Tech</w:t>
      </w:r>
      <w:r w:rsidR="7C294747">
        <w:rPr/>
        <w:t xml:space="preserve"> </w:t>
      </w:r>
    </w:p>
    <w:p w:rsidRPr="00E7706D" w:rsidR="00E7706D" w:rsidP="00E7706D" w:rsidRDefault="00E7706D" w14:paraId="07AD8147" w14:textId="55EF4C08">
      <w:pPr>
        <w:rPr>
          <w:lang w:val="nl-NL"/>
        </w:rPr>
      </w:pPr>
      <w:r w:rsidRPr="7C294747" w:rsidR="7C294747">
        <w:rPr>
          <w:b w:val="1"/>
          <w:bCs w:val="1"/>
          <w:lang w:val="nl-NL"/>
        </w:rPr>
        <w:t xml:space="preserve">Land: </w:t>
      </w:r>
      <w:r w:rsidRPr="7C294747" w:rsidR="7C294747">
        <w:rPr>
          <w:b w:val="0"/>
          <w:bCs w:val="0"/>
          <w:lang w:val="nl-NL"/>
        </w:rPr>
        <w:t>VS</w:t>
      </w:r>
    </w:p>
    <w:p w:rsidR="00E7706D" w:rsidP="00E7706D" w:rsidRDefault="00E7706D" w14:paraId="4A96DEB6" w14:textId="20797C1B">
      <w:pPr>
        <w:rPr>
          <w:lang w:val="nl-NL"/>
        </w:rPr>
      </w:pPr>
      <w:r w:rsidRPr="7C294747" w:rsidR="7C294747">
        <w:rPr>
          <w:b w:val="1"/>
          <w:bCs w:val="1"/>
          <w:lang w:val="nl-NL"/>
        </w:rPr>
        <w:t>Huidige koers: $</w:t>
      </w:r>
      <w:r w:rsidRPr="7C294747" w:rsidR="7C294747">
        <w:rPr>
          <w:lang w:val="nl-NL"/>
        </w:rPr>
        <w:t xml:space="preserve">130 </w:t>
      </w:r>
      <w:r>
        <w:tab/>
      </w:r>
      <w:r w:rsidRPr="7C294747" w:rsidR="7C294747">
        <w:rPr>
          <w:lang w:val="nl-NL"/>
        </w:rPr>
        <w:t xml:space="preserve"> </w:t>
      </w:r>
    </w:p>
    <w:p w:rsidR="00E7706D" w:rsidP="00E7706D" w:rsidRDefault="00E7706D" w14:paraId="1E1C862C" w14:textId="10A7284C">
      <w:pPr>
        <w:rPr>
          <w:lang w:val="nl-NL"/>
        </w:rPr>
      </w:pPr>
      <w:r w:rsidRPr="7C294747" w:rsidR="7C294747">
        <w:rPr>
          <w:b w:val="1"/>
          <w:bCs w:val="1"/>
          <w:lang w:val="nl-NL"/>
        </w:rPr>
        <w:t>Marktcapitalisatie</w:t>
      </w:r>
      <w:r w:rsidRPr="7C294747" w:rsidR="7C294747">
        <w:rPr>
          <w:b w:val="1"/>
          <w:bCs w:val="1"/>
          <w:lang w:val="nl-NL"/>
        </w:rPr>
        <w:t xml:space="preserve">: </w:t>
      </w:r>
      <w:r w:rsidRPr="7C294747" w:rsidR="7C294747">
        <w:rPr>
          <w:lang w:val="nl-NL"/>
        </w:rPr>
        <w:t>€33,71 miljard</w:t>
      </w:r>
    </w:p>
    <w:p w:rsidR="004F18A4" w:rsidRDefault="004F18A4" w14:paraId="7AB0A306" w14:textId="77777777">
      <w:pPr>
        <w:rPr>
          <w:rFonts w:eastAsia="Calibri"/>
          <w:b/>
          <w:bCs/>
          <w:color w:val="004D22"/>
          <w:sz w:val="32"/>
          <w:szCs w:val="32"/>
          <w:u w:val="single"/>
        </w:rPr>
      </w:pPr>
      <w:r w:rsidRPr="63874D20">
        <w:rPr>
          <w:rFonts w:eastAsia="Calibri"/>
          <w:b w:val="1"/>
          <w:bCs w:val="1"/>
          <w:color w:val="004D22"/>
          <w:sz w:val="32"/>
          <w:szCs w:val="32"/>
          <w:u w:val="single"/>
        </w:rPr>
        <w:br w:type="page"/>
      </w:r>
    </w:p>
    <w:p w:rsidR="63874D20" w:rsidP="63874D20" w:rsidRDefault="63874D20" w14:paraId="4CADA382" w14:textId="498CBE7A">
      <w:pPr>
        <w:rPr>
          <w:rFonts w:eastAsia="Calibri"/>
          <w:b w:val="1"/>
          <w:bCs w:val="1"/>
          <w:color w:val="004D22"/>
          <w:sz w:val="32"/>
          <w:szCs w:val="32"/>
          <w:u w:val="single"/>
        </w:rPr>
      </w:pPr>
    </w:p>
    <w:p w:rsidR="63874D20" w:rsidP="63874D20" w:rsidRDefault="63874D20" w14:paraId="43E54CFC" w14:textId="5449879B">
      <w:pPr>
        <w:rPr>
          <w:rFonts w:eastAsia="Calibri"/>
          <w:b w:val="1"/>
          <w:bCs w:val="1"/>
          <w:color w:val="004D22"/>
          <w:sz w:val="32"/>
          <w:szCs w:val="32"/>
          <w:u w:val="single"/>
        </w:rPr>
      </w:pPr>
    </w:p>
    <w:p w:rsidR="004F18A4" w:rsidP="63874D20" w:rsidRDefault="004F18A4" w14:paraId="257928DD" w14:textId="70D8A638">
      <w:pPr>
        <w:rPr>
          <w:rFonts w:eastAsia="Calibri"/>
          <w:b w:val="1"/>
          <w:bCs w:val="1"/>
          <w:color w:val="004D22"/>
          <w:sz w:val="32"/>
          <w:szCs w:val="32"/>
          <w:u w:val="single"/>
        </w:rPr>
      </w:pPr>
      <w:r w:rsidRPr="63874D20" w:rsidR="63874D20">
        <w:rPr>
          <w:rFonts w:eastAsia="Calibri"/>
          <w:b w:val="1"/>
          <w:bCs w:val="1"/>
          <w:color w:val="004D22"/>
          <w:sz w:val="32"/>
          <w:szCs w:val="32"/>
          <w:u w:val="single"/>
        </w:rPr>
        <w:t>Analyse Mattias:</w:t>
      </w:r>
    </w:p>
    <w:p w:rsidR="00B62206" w:rsidP="63874D20" w:rsidRDefault="00B62206" w14:paraId="5C56C5A2" w14:textId="5006160E">
      <w:pPr>
        <w:spacing w:before="0" w:beforeAutospacing="off" w:after="160" w:afterAutospacing="off" w:line="276" w:lineRule="auto"/>
      </w:pPr>
      <w:r w:rsidRPr="63874D20" w:rsidR="63874D20">
        <w:rPr>
          <w:rFonts w:ascii="Calibri" w:hAnsi="Calibri" w:eastAsia="Calibri" w:cs="Calibri"/>
          <w:b w:val="1"/>
          <w:bCs w:val="1"/>
          <w:noProof w:val="0"/>
          <w:sz w:val="28"/>
          <w:szCs w:val="28"/>
          <w:u w:val="single"/>
          <w:lang w:val="en-GB"/>
        </w:rPr>
        <w:t>Company Activities:</w:t>
      </w:r>
    </w:p>
    <w:p w:rsidR="00B62206" w:rsidP="63874D20" w:rsidRDefault="00B62206" w14:paraId="2F970296" w14:textId="32A88E29">
      <w:pPr>
        <w:spacing w:before="0" w:beforeAutospacing="off" w:after="160" w:afterAutospacing="off" w:line="276" w:lineRule="auto"/>
      </w:pPr>
      <w:r w:rsidRPr="63874D20" w:rsidR="63874D20">
        <w:rPr>
          <w:rFonts w:ascii="Calibri" w:hAnsi="Calibri" w:eastAsia="Calibri" w:cs="Calibri"/>
          <w:noProof w:val="0"/>
          <w:sz w:val="22"/>
          <w:szCs w:val="22"/>
          <w:lang w:val="en-GB"/>
        </w:rPr>
        <w:t>What does the company do?</w:t>
      </w:r>
    </w:p>
    <w:p w:rsidR="00B62206" w:rsidP="63874D20" w:rsidRDefault="00B62206" w14:paraId="3993BE22" w14:textId="7A1CFE4A">
      <w:pPr>
        <w:spacing w:before="0" w:beforeAutospacing="off" w:after="160" w:afterAutospacing="off" w:line="276" w:lineRule="auto"/>
      </w:pPr>
      <w:r w:rsidRPr="45AC00C9" w:rsidR="45AC00C9">
        <w:rPr>
          <w:rFonts w:ascii="Calibri" w:hAnsi="Calibri" w:eastAsia="Calibri" w:cs="Calibri"/>
          <w:noProof w:val="0"/>
          <w:sz w:val="22"/>
          <w:szCs w:val="22"/>
          <w:lang w:val="en-GB"/>
        </w:rPr>
        <w:t xml:space="preserve">Are they </w:t>
      </w:r>
      <w:r w:rsidRPr="45AC00C9" w:rsidR="45AC00C9">
        <w:rPr>
          <w:rFonts w:ascii="Calibri" w:hAnsi="Calibri" w:eastAsia="Calibri" w:cs="Calibri"/>
          <w:noProof w:val="0"/>
          <w:sz w:val="22"/>
          <w:szCs w:val="22"/>
          <w:lang w:val="en-GB"/>
        </w:rPr>
        <w:t>operating</w:t>
      </w:r>
      <w:r w:rsidRPr="45AC00C9" w:rsidR="45AC00C9">
        <w:rPr>
          <w:rFonts w:ascii="Calibri" w:hAnsi="Calibri" w:eastAsia="Calibri" w:cs="Calibri"/>
          <w:noProof w:val="0"/>
          <w:sz w:val="22"/>
          <w:szCs w:val="22"/>
          <w:lang w:val="en-GB"/>
        </w:rPr>
        <w:t xml:space="preserve"> in an attractive market?</w:t>
      </w:r>
    </w:p>
    <w:p w:rsidR="00B62206" w:rsidP="63874D20" w:rsidRDefault="00B62206" w14:paraId="55E1E421" w14:textId="22C8B426">
      <w:pPr>
        <w:spacing w:before="0" w:beforeAutospacing="off" w:after="160" w:afterAutospacing="off" w:line="276" w:lineRule="auto"/>
      </w:pPr>
      <w:r w:rsidRPr="63874D20" w:rsidR="63874D20">
        <w:rPr>
          <w:rFonts w:ascii="Calibri" w:hAnsi="Calibri" w:eastAsia="Calibri" w:cs="Calibri"/>
          <w:noProof w:val="0"/>
          <w:sz w:val="22"/>
          <w:szCs w:val="22"/>
          <w:lang w:val="en-GB"/>
        </w:rPr>
        <w:t>Who are the key competitors? How does the company differentiate itself, i.e., what is its competitive advantage (moat)?</w:t>
      </w:r>
    </w:p>
    <w:p w:rsidR="00B62206" w:rsidP="63874D20" w:rsidRDefault="00B62206" w14:paraId="426318D0" w14:textId="5C87C4FC">
      <w:pPr>
        <w:spacing w:before="0" w:beforeAutospacing="off" w:after="160" w:afterAutospacing="off" w:line="276" w:lineRule="auto"/>
      </w:pPr>
      <w:r w:rsidRPr="63874D20" w:rsidR="63874D20">
        <w:rPr>
          <w:rFonts w:ascii="Calibri" w:hAnsi="Calibri" w:eastAsia="Calibri" w:cs="Calibri"/>
          <w:noProof w:val="0"/>
          <w:sz w:val="22"/>
          <w:szCs w:val="22"/>
          <w:lang w:val="en-GB"/>
        </w:rPr>
        <w:t>Revenue model: How does the company generate income? Are there recurring revenues?</w:t>
      </w:r>
    </w:p>
    <w:p w:rsidR="00B62206" w:rsidP="63874D20" w:rsidRDefault="00B62206" w14:paraId="0A6CE3AA" w14:textId="645DD61B">
      <w:pPr>
        <w:spacing w:before="0" w:beforeAutospacing="off" w:after="160" w:afterAutospacing="off" w:line="276" w:lineRule="auto"/>
      </w:pPr>
      <w:r w:rsidRPr="63874D20" w:rsidR="63874D20">
        <w:rPr>
          <w:rFonts w:ascii="Calibri" w:hAnsi="Calibri" w:eastAsia="Calibri" w:cs="Calibri"/>
          <w:noProof w:val="0"/>
          <w:sz w:val="22"/>
          <w:szCs w:val="22"/>
          <w:lang w:val="en-GB"/>
        </w:rPr>
        <w:t>How is revenue distributed per product/service or sector?</w:t>
      </w:r>
    </w:p>
    <w:p w:rsidR="00B62206" w:rsidP="63874D20" w:rsidRDefault="00B62206" w14:paraId="16831941" w14:textId="4D428D0C">
      <w:pPr>
        <w:spacing w:before="0" w:beforeAutospacing="off" w:after="160" w:afterAutospacing="off" w:line="276" w:lineRule="auto"/>
      </w:pPr>
      <w:r w:rsidRPr="63874D20" w:rsidR="63874D20">
        <w:rPr>
          <w:rFonts w:ascii="Calibri" w:hAnsi="Calibri" w:eastAsia="Calibri" w:cs="Calibri"/>
          <w:noProof w:val="0"/>
          <w:sz w:val="22"/>
          <w:szCs w:val="22"/>
          <w:lang w:val="en-GB"/>
        </w:rPr>
        <w:t>What is the geographical revenue distribution?</w:t>
      </w:r>
    </w:p>
    <w:p w:rsidR="00B62206" w:rsidP="63874D20" w:rsidRDefault="00B62206" w14:paraId="58378E08" w14:textId="52082200">
      <w:pPr>
        <w:spacing w:before="0" w:beforeAutospacing="off" w:after="160" w:afterAutospacing="off" w:line="276" w:lineRule="auto"/>
      </w:pPr>
      <w:r w:rsidRPr="63874D20" w:rsidR="63874D20">
        <w:rPr>
          <w:rFonts w:ascii="Calibri" w:hAnsi="Calibri" w:eastAsia="Calibri" w:cs="Calibri"/>
          <w:b w:val="1"/>
          <w:bCs w:val="1"/>
          <w:noProof w:val="0"/>
          <w:sz w:val="28"/>
          <w:szCs w:val="28"/>
          <w:u w:val="single"/>
          <w:lang w:val="en-GB"/>
        </w:rPr>
        <w:t>Key Financials:</w:t>
      </w:r>
    </w:p>
    <w:p w:rsidR="00B62206" w:rsidP="63874D20" w:rsidRDefault="00B62206" w14:paraId="34DBF8FD" w14:textId="31E99B88">
      <w:pPr>
        <w:spacing w:before="0" w:beforeAutospacing="off" w:after="160" w:afterAutospacing="off" w:line="276" w:lineRule="auto"/>
      </w:pPr>
      <w:r w:rsidRPr="63874D20" w:rsidR="63874D20">
        <w:rPr>
          <w:rFonts w:ascii="Calibri" w:hAnsi="Calibri" w:eastAsia="Calibri" w:cs="Calibri"/>
          <w:noProof w:val="0"/>
          <w:sz w:val="22"/>
          <w:szCs w:val="22"/>
          <w:lang w:val="en-GB"/>
        </w:rPr>
        <w:t>Provide some commentary on the numbers—what is strong, and what are the weaknesses?</w:t>
      </w:r>
    </w:p>
    <w:p w:rsidR="00B62206" w:rsidP="63874D20" w:rsidRDefault="00B62206" w14:paraId="05815FCF" w14:textId="25E9FD42">
      <w:pPr>
        <w:spacing w:before="0" w:beforeAutospacing="off" w:after="160" w:afterAutospacing="off" w:line="276" w:lineRule="auto"/>
      </w:pPr>
      <w:r w:rsidRPr="63874D20" w:rsidR="63874D20">
        <w:rPr>
          <w:rFonts w:ascii="Calibri" w:hAnsi="Calibri" w:eastAsia="Calibri" w:cs="Calibri"/>
          <w:noProof w:val="0"/>
          <w:sz w:val="22"/>
          <w:szCs w:val="22"/>
          <w:lang w:val="en-GB"/>
        </w:rPr>
        <w:t>Analyze the balance sheet—does the company carry significant debt?</w:t>
      </w:r>
    </w:p>
    <w:p w:rsidR="00B62206" w:rsidP="63874D20" w:rsidRDefault="00B62206" w14:paraId="5C42E73A" w14:textId="1C1F4CAB">
      <w:pPr>
        <w:spacing w:before="0" w:beforeAutospacing="off" w:after="160" w:afterAutospacing="off" w:line="276" w:lineRule="auto"/>
      </w:pPr>
      <w:r w:rsidRPr="63874D20" w:rsidR="63874D20">
        <w:rPr>
          <w:rFonts w:ascii="Calibri" w:hAnsi="Calibri" w:eastAsia="Calibri" w:cs="Calibri"/>
          <w:b w:val="1"/>
          <w:bCs w:val="1"/>
          <w:noProof w:val="0"/>
          <w:sz w:val="28"/>
          <w:szCs w:val="28"/>
          <w:u w:val="single"/>
          <w:lang w:val="en-GB"/>
        </w:rPr>
        <w:t>Valuation:</w:t>
      </w:r>
    </w:p>
    <w:p w:rsidR="00B62206" w:rsidP="63874D20" w:rsidRDefault="00B62206" w14:paraId="4BBDAF65" w14:textId="408034C4">
      <w:pPr>
        <w:spacing w:before="0" w:beforeAutospacing="off" w:after="160" w:afterAutospacing="off" w:line="276" w:lineRule="auto"/>
      </w:pPr>
      <w:r w:rsidRPr="63874D20" w:rsidR="63874D20">
        <w:rPr>
          <w:rFonts w:ascii="Calibri" w:hAnsi="Calibri" w:eastAsia="Calibri" w:cs="Calibri"/>
          <w:noProof w:val="0"/>
          <w:sz w:val="22"/>
          <w:szCs w:val="22"/>
          <w:lang w:val="en-GB"/>
        </w:rPr>
        <w:t>How is [Company Name] currently valued compared to its industry peers based on key valuation metrics such as EV/EBITDA, P/E ratio, and EV/EBIT?</w:t>
      </w:r>
    </w:p>
    <w:p w:rsidR="00B62206" w:rsidP="63874D20" w:rsidRDefault="00B62206" w14:paraId="5C1F27D1" w14:textId="3919843C">
      <w:pPr>
        <w:spacing w:before="0" w:beforeAutospacing="off" w:after="160" w:afterAutospacing="off" w:line="276" w:lineRule="auto"/>
      </w:pPr>
      <w:r w:rsidRPr="63874D20" w:rsidR="63874D20">
        <w:rPr>
          <w:rFonts w:ascii="Calibri" w:hAnsi="Calibri" w:eastAsia="Calibri" w:cs="Calibri"/>
          <w:noProof w:val="0"/>
          <w:sz w:val="22"/>
          <w:szCs w:val="22"/>
          <w:lang w:val="en-GB"/>
        </w:rPr>
        <w:t>Does the valuation reflect its growth potential, profitability, and competitive position?</w:t>
      </w:r>
    </w:p>
    <w:p w:rsidR="00B62206" w:rsidP="63874D20" w:rsidRDefault="00B62206" w14:paraId="3ECC787C" w14:textId="61B73BAE">
      <w:pPr>
        <w:spacing w:before="0" w:beforeAutospacing="off" w:after="160" w:afterAutospacing="off" w:line="276" w:lineRule="auto"/>
      </w:pPr>
      <w:r w:rsidRPr="63874D20" w:rsidR="63874D20">
        <w:rPr>
          <w:rFonts w:ascii="Calibri" w:hAnsi="Calibri" w:eastAsia="Calibri" w:cs="Calibri"/>
          <w:noProof w:val="0"/>
          <w:sz w:val="22"/>
          <w:szCs w:val="22"/>
          <w:lang w:val="en-GB"/>
        </w:rPr>
        <w:t>What are the projected earnings and EBITDA multiples for the next twelve months, and how do they compare to historical and industry averages?</w:t>
      </w:r>
    </w:p>
    <w:p w:rsidR="00B62206" w:rsidP="63874D20" w:rsidRDefault="00B62206" w14:paraId="0B828E33" w14:textId="733920D0">
      <w:pPr>
        <w:spacing w:before="0" w:beforeAutospacing="off" w:after="160" w:afterAutospacing="off" w:line="276" w:lineRule="auto"/>
      </w:pPr>
      <w:r w:rsidRPr="63874D20" w:rsidR="63874D20">
        <w:rPr>
          <w:rFonts w:ascii="Calibri" w:hAnsi="Calibri" w:eastAsia="Calibri" w:cs="Calibri"/>
          <w:b w:val="1"/>
          <w:bCs w:val="1"/>
          <w:noProof w:val="0"/>
          <w:sz w:val="28"/>
          <w:szCs w:val="28"/>
          <w:u w:val="single"/>
          <w:lang w:val="en-GB"/>
        </w:rPr>
        <w:t>Shareholder Structure:</w:t>
      </w:r>
    </w:p>
    <w:p w:rsidR="00B62206" w:rsidP="63874D20" w:rsidRDefault="00B62206" w14:paraId="761AD397" w14:textId="096CA28B">
      <w:pPr>
        <w:spacing w:before="0" w:beforeAutospacing="off" w:after="160" w:afterAutospacing="off" w:line="276" w:lineRule="auto"/>
      </w:pPr>
      <w:r w:rsidRPr="63874D20" w:rsidR="63874D20">
        <w:rPr>
          <w:rFonts w:ascii="Calibri" w:hAnsi="Calibri" w:eastAsia="Calibri" w:cs="Calibri"/>
          <w:noProof w:val="0"/>
          <w:sz w:val="22"/>
          <w:szCs w:val="22"/>
          <w:lang w:val="en-GB"/>
        </w:rPr>
        <w:t>Who are the major shareholders?</w:t>
      </w:r>
    </w:p>
    <w:p w:rsidR="00B62206" w:rsidP="63874D20" w:rsidRDefault="00B62206" w14:paraId="203FDE11" w14:textId="269CDED8">
      <w:pPr>
        <w:spacing w:before="0" w:beforeAutospacing="off" w:after="160" w:afterAutospacing="off" w:line="276" w:lineRule="auto"/>
      </w:pPr>
      <w:r w:rsidRPr="63874D20" w:rsidR="63874D20">
        <w:rPr>
          <w:rFonts w:ascii="Calibri" w:hAnsi="Calibri" w:eastAsia="Calibri" w:cs="Calibri"/>
          <w:noProof w:val="0"/>
          <w:sz w:val="22"/>
          <w:szCs w:val="22"/>
          <w:lang w:val="en-GB"/>
        </w:rPr>
        <w:t>Does the management hold shares in the company?</w:t>
      </w:r>
    </w:p>
    <w:p w:rsidR="00B62206" w:rsidP="63874D20" w:rsidRDefault="00B62206" w14:paraId="56FD9DD4" w14:textId="40B902C4">
      <w:pPr>
        <w:spacing w:before="0" w:beforeAutospacing="off" w:after="160" w:afterAutospacing="off" w:line="276" w:lineRule="auto"/>
      </w:pPr>
      <w:r w:rsidRPr="63874D20" w:rsidR="63874D20">
        <w:rPr>
          <w:rFonts w:ascii="Calibri" w:hAnsi="Calibri" w:eastAsia="Calibri" w:cs="Calibri"/>
          <w:noProof w:val="0"/>
          <w:sz w:val="22"/>
          <w:szCs w:val="22"/>
          <w:lang w:val="en-GB"/>
        </w:rPr>
        <w:t>Is the management buying or selling shares?</w:t>
      </w:r>
    </w:p>
    <w:p w:rsidR="00B62206" w:rsidP="63874D20" w:rsidRDefault="00B62206" w14:paraId="3143218E" w14:textId="135B8D17">
      <w:pPr>
        <w:spacing w:before="0" w:beforeAutospacing="off" w:after="160" w:afterAutospacing="off" w:line="276" w:lineRule="auto"/>
      </w:pPr>
      <w:r w:rsidRPr="63874D20" w:rsidR="63874D20">
        <w:rPr>
          <w:rFonts w:ascii="Calibri" w:hAnsi="Calibri" w:eastAsia="Calibri" w:cs="Calibri"/>
          <w:b w:val="1"/>
          <w:bCs w:val="1"/>
          <w:noProof w:val="0"/>
          <w:sz w:val="28"/>
          <w:szCs w:val="28"/>
          <w:u w:val="single"/>
          <w:lang w:val="en-GB"/>
        </w:rPr>
        <w:t>SWOT Analysis:</w:t>
      </w:r>
    </w:p>
    <w:p w:rsidR="00B62206" w:rsidP="63874D20" w:rsidRDefault="00B62206" w14:paraId="36CA90E0" w14:textId="6BC8A5F5">
      <w:pPr>
        <w:spacing w:before="0" w:beforeAutospacing="off" w:after="160" w:afterAutospacing="off" w:line="276" w:lineRule="auto"/>
      </w:pPr>
      <w:r w:rsidRPr="63874D20" w:rsidR="63874D20">
        <w:rPr>
          <w:rFonts w:ascii="Calibri" w:hAnsi="Calibri" w:eastAsia="Calibri" w:cs="Calibri"/>
          <w:noProof w:val="0"/>
          <w:sz w:val="22"/>
          <w:szCs w:val="22"/>
          <w:lang w:val="en-GB"/>
        </w:rPr>
        <w:t>Strengths?</w:t>
      </w:r>
    </w:p>
    <w:p w:rsidR="00B62206" w:rsidP="63874D20" w:rsidRDefault="00B62206" w14:paraId="52B2AC38" w14:textId="5D0F773E">
      <w:pPr>
        <w:spacing w:before="0" w:beforeAutospacing="off" w:after="160" w:afterAutospacing="off" w:line="276" w:lineRule="auto"/>
      </w:pPr>
      <w:r w:rsidRPr="63874D20" w:rsidR="63874D20">
        <w:rPr>
          <w:rFonts w:ascii="Calibri" w:hAnsi="Calibri" w:eastAsia="Calibri" w:cs="Calibri"/>
          <w:noProof w:val="0"/>
          <w:sz w:val="22"/>
          <w:szCs w:val="22"/>
          <w:lang w:val="en-GB"/>
        </w:rPr>
        <w:t>Weaknesses?</w:t>
      </w:r>
    </w:p>
    <w:p w:rsidR="00B62206" w:rsidP="63874D20" w:rsidRDefault="00B62206" w14:paraId="4E1E70ED" w14:textId="75D2A2BC">
      <w:pPr>
        <w:spacing w:before="0" w:beforeAutospacing="off" w:after="160" w:afterAutospacing="off" w:line="276" w:lineRule="auto"/>
      </w:pPr>
      <w:r w:rsidRPr="63874D20" w:rsidR="63874D20">
        <w:rPr>
          <w:rFonts w:ascii="Calibri" w:hAnsi="Calibri" w:eastAsia="Calibri" w:cs="Calibri"/>
          <w:noProof w:val="0"/>
          <w:sz w:val="22"/>
          <w:szCs w:val="22"/>
          <w:lang w:val="en-GB"/>
        </w:rPr>
        <w:t>Opportunities?</w:t>
      </w:r>
    </w:p>
    <w:p w:rsidR="00B62206" w:rsidP="63874D20" w:rsidRDefault="00B62206" w14:paraId="000B6259" w14:textId="18DF2501">
      <w:pPr>
        <w:spacing w:before="0" w:beforeAutospacing="off" w:after="160" w:afterAutospacing="off" w:line="276" w:lineRule="auto"/>
      </w:pPr>
      <w:r w:rsidRPr="63874D20" w:rsidR="63874D20">
        <w:rPr>
          <w:rFonts w:ascii="Calibri" w:hAnsi="Calibri" w:eastAsia="Calibri" w:cs="Calibri"/>
          <w:noProof w:val="0"/>
          <w:sz w:val="22"/>
          <w:szCs w:val="22"/>
          <w:lang w:val="en-GB"/>
        </w:rPr>
        <w:t>Threats?</w:t>
      </w:r>
    </w:p>
    <w:p w:rsidR="00B62206" w:rsidP="63874D20" w:rsidRDefault="00B62206" w14:paraId="495D9278" w14:textId="6205927E">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0026B05B" w14:textId="2AA4F138">
      <w:pPr>
        <w:spacing w:before="0" w:beforeAutospacing="off" w:after="160" w:afterAutospacing="off" w:line="276" w:lineRule="auto"/>
      </w:pPr>
      <w:r w:rsidRPr="63874D20" w:rsidR="63874D20">
        <w:rPr>
          <w:rFonts w:ascii="Aptos" w:hAnsi="Aptos" w:eastAsia="Aptos" w:cs="Aptos"/>
          <w:noProof w:val="0"/>
          <w:sz w:val="24"/>
          <w:szCs w:val="24"/>
          <w:lang w:val="en-GB"/>
        </w:rPr>
        <w:t xml:space="preserve"> </w:t>
      </w:r>
    </w:p>
    <w:p w:rsidR="00B62206" w:rsidP="63874D20" w:rsidRDefault="00B62206" w14:paraId="3310FB0D" w14:textId="317FFB4F">
      <w:pPr>
        <w:spacing w:before="0" w:beforeAutospacing="off" w:after="160" w:afterAutospacing="off" w:line="276" w:lineRule="auto"/>
      </w:pPr>
      <w:r w:rsidRPr="63874D20" w:rsidR="63874D20">
        <w:rPr>
          <w:rFonts w:ascii="Aptos" w:hAnsi="Aptos" w:eastAsia="Aptos" w:cs="Aptos"/>
          <w:noProof w:val="0"/>
          <w:sz w:val="24"/>
          <w:szCs w:val="24"/>
          <w:lang w:val="en-GB"/>
        </w:rPr>
        <w:t xml:space="preserve"> </w:t>
      </w:r>
    </w:p>
    <w:p w:rsidR="00B62206" w:rsidP="63874D20" w:rsidRDefault="00B62206" w14:paraId="1C163F35" w14:textId="01A998F8">
      <w:pPr>
        <w:spacing w:before="0" w:beforeAutospacing="off" w:after="160" w:afterAutospacing="off" w:line="276" w:lineRule="auto"/>
      </w:pPr>
      <w:r w:rsidRPr="63874D20" w:rsidR="63874D20">
        <w:rPr>
          <w:rFonts w:ascii="Aptos" w:hAnsi="Aptos" w:eastAsia="Aptos" w:cs="Aptos"/>
          <w:noProof w:val="0"/>
          <w:sz w:val="24"/>
          <w:szCs w:val="24"/>
          <w:lang w:val="en-GB"/>
        </w:rPr>
        <w:t xml:space="preserve"> </w:t>
      </w:r>
      <w:r w:rsidRPr="63874D20" w:rsidR="63874D20">
        <w:rPr>
          <w:rFonts w:ascii="Calibri" w:hAnsi="Calibri" w:eastAsia="Calibri" w:cs="Calibri"/>
          <w:b w:val="1"/>
          <w:bCs w:val="1"/>
          <w:noProof w:val="0"/>
          <w:sz w:val="22"/>
          <w:szCs w:val="22"/>
          <w:lang w:val="en-GB"/>
        </w:rPr>
        <w:t>Company Overview</w:t>
      </w:r>
    </w:p>
    <w:p w:rsidR="00B62206" w:rsidP="63874D20" w:rsidRDefault="00B62206" w14:paraId="3F95CF72" w14:textId="3DE1E874">
      <w:pPr>
        <w:pStyle w:val="Lijstalinea"/>
        <w:numPr>
          <w:ilvl w:val="0"/>
          <w:numId w:val="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Industry</w:t>
      </w:r>
      <w:r w:rsidRPr="63874D20" w:rsidR="63874D20">
        <w:rPr>
          <w:rFonts w:ascii="Calibri" w:hAnsi="Calibri" w:eastAsia="Calibri" w:cs="Calibri"/>
          <w:noProof w:val="0"/>
          <w:sz w:val="22"/>
          <w:szCs w:val="22"/>
          <w:lang w:val="en-GB"/>
        </w:rPr>
        <w:t>: Entertainment</w:t>
      </w:r>
    </w:p>
    <w:p w:rsidR="00B62206" w:rsidP="63874D20" w:rsidRDefault="00B62206" w14:paraId="6F92960A" w14:textId="08528817">
      <w:pPr>
        <w:pStyle w:val="Lijstalinea"/>
        <w:numPr>
          <w:ilvl w:val="0"/>
          <w:numId w:val="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Founded</w:t>
      </w:r>
      <w:r w:rsidRPr="63874D20" w:rsidR="63874D20">
        <w:rPr>
          <w:rFonts w:ascii="Calibri" w:hAnsi="Calibri" w:eastAsia="Calibri" w:cs="Calibri"/>
          <w:noProof w:val="0"/>
          <w:sz w:val="22"/>
          <w:szCs w:val="22"/>
          <w:lang w:val="en-GB"/>
        </w:rPr>
        <w:t>: 1982</w:t>
      </w:r>
    </w:p>
    <w:p w:rsidR="00B62206" w:rsidP="63874D20" w:rsidRDefault="00B62206" w14:paraId="0D22E127" w14:textId="120D15EA">
      <w:pPr>
        <w:pStyle w:val="Lijstalinea"/>
        <w:numPr>
          <w:ilvl w:val="0"/>
          <w:numId w:val="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Headquarters</w:t>
      </w:r>
      <w:r w:rsidRPr="63874D20" w:rsidR="63874D20">
        <w:rPr>
          <w:rFonts w:ascii="Calibri" w:hAnsi="Calibri" w:eastAsia="Calibri" w:cs="Calibri"/>
          <w:noProof w:val="0"/>
          <w:sz w:val="22"/>
          <w:szCs w:val="22"/>
          <w:lang w:val="en-GB"/>
        </w:rPr>
        <w:t>: Redwood City, California</w:t>
      </w:r>
    </w:p>
    <w:p w:rsidR="00B62206" w:rsidP="63874D20" w:rsidRDefault="00B62206" w14:paraId="188A6313" w14:textId="0822C794">
      <w:pPr>
        <w:pStyle w:val="Lijstalinea"/>
        <w:numPr>
          <w:ilvl w:val="0"/>
          <w:numId w:val="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Description</w:t>
      </w:r>
      <w:r w:rsidRPr="63874D20" w:rsidR="63874D20">
        <w:rPr>
          <w:rFonts w:ascii="Calibri" w:hAnsi="Calibri" w:eastAsia="Calibri" w:cs="Calibri"/>
          <w:noProof w:val="0"/>
          <w:sz w:val="22"/>
          <w:szCs w:val="22"/>
          <w:lang w:val="en-GB"/>
        </w:rPr>
        <w:t>: Electronic Arts Inc. develops, markets, publishes, and distributes games, content, and services for game consoles, PCs, mobile phones, and tablets worldwide. It operates under brands like Battlefield, The Sims, Apex Legends, Need for Speed, and licenses games from others, including FIFA, Madden NFL, UFC, and Star Wars .</w:t>
      </w:r>
    </w:p>
    <w:p w:rsidR="00B62206" w:rsidP="63874D20" w:rsidRDefault="00B62206" w14:paraId="414800CE" w14:textId="5E88F803">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Market Attractiveness</w:t>
      </w:r>
    </w:p>
    <w:p w:rsidR="00B62206" w:rsidP="63874D20" w:rsidRDefault="00B62206" w14:paraId="7DF00EC0" w14:textId="29A63F35">
      <w:pPr>
        <w:pStyle w:val="Lijstalinea"/>
        <w:numPr>
          <w:ilvl w:val="0"/>
          <w:numId w:val="7"/>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Industry</w:t>
      </w:r>
      <w:r w:rsidRPr="63874D20" w:rsidR="63874D20">
        <w:rPr>
          <w:rFonts w:ascii="Calibri" w:hAnsi="Calibri" w:eastAsia="Calibri" w:cs="Calibri"/>
          <w:noProof w:val="0"/>
          <w:sz w:val="22"/>
          <w:szCs w:val="22"/>
          <w:lang w:val="en-GB"/>
        </w:rPr>
        <w:t>: Entertainment</w:t>
      </w:r>
    </w:p>
    <w:p w:rsidR="00B62206" w:rsidP="63874D20" w:rsidRDefault="00B62206" w14:paraId="4F721F5F" w14:textId="10FB344E">
      <w:pPr>
        <w:pStyle w:val="Lijstalinea"/>
        <w:numPr>
          <w:ilvl w:val="0"/>
          <w:numId w:val="7"/>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Market Cap</w:t>
      </w:r>
      <w:r w:rsidRPr="63874D20" w:rsidR="63874D20">
        <w:rPr>
          <w:rFonts w:ascii="Calibri" w:hAnsi="Calibri" w:eastAsia="Calibri" w:cs="Calibri"/>
          <w:noProof w:val="0"/>
          <w:sz w:val="22"/>
          <w:szCs w:val="22"/>
          <w:lang w:val="en-GB"/>
        </w:rPr>
        <w:t>: $33.65B</w:t>
      </w:r>
    </w:p>
    <w:p w:rsidR="00B62206" w:rsidP="63874D20" w:rsidRDefault="00B62206" w14:paraId="10E14524" w14:textId="58EADE1A">
      <w:pPr>
        <w:pStyle w:val="Lijstalinea"/>
        <w:numPr>
          <w:ilvl w:val="0"/>
          <w:numId w:val="7"/>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Total Enterprise Value (TEV)</w:t>
      </w:r>
      <w:r w:rsidRPr="63874D20" w:rsidR="63874D20">
        <w:rPr>
          <w:rFonts w:ascii="Calibri" w:hAnsi="Calibri" w:eastAsia="Calibri" w:cs="Calibri"/>
          <w:noProof w:val="0"/>
          <w:sz w:val="22"/>
          <w:szCs w:val="22"/>
          <w:lang w:val="en-GB"/>
        </w:rPr>
        <w:t>: $32.77B</w:t>
      </w:r>
    </w:p>
    <w:p w:rsidR="00B62206" w:rsidP="63874D20" w:rsidRDefault="00B62206" w14:paraId="6813218E" w14:textId="29ADD713">
      <w:pPr>
        <w:pStyle w:val="Lijstalinea"/>
        <w:numPr>
          <w:ilvl w:val="0"/>
          <w:numId w:val="7"/>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Revenue</w:t>
      </w:r>
      <w:r w:rsidRPr="63874D20" w:rsidR="63874D20">
        <w:rPr>
          <w:rFonts w:ascii="Calibri" w:hAnsi="Calibri" w:eastAsia="Calibri" w:cs="Calibri"/>
          <w:noProof w:val="0"/>
          <w:sz w:val="22"/>
          <w:szCs w:val="22"/>
          <w:lang w:val="en-GB"/>
        </w:rPr>
        <w:t>: $7.35B</w:t>
      </w:r>
    </w:p>
    <w:p w:rsidR="00B62206" w:rsidP="63874D20" w:rsidRDefault="00B62206" w14:paraId="7DA6BC84" w14:textId="408A5E67">
      <w:pPr>
        <w:pStyle w:val="Lijstalinea"/>
        <w:numPr>
          <w:ilvl w:val="0"/>
          <w:numId w:val="7"/>
        </w:numPr>
        <w:spacing w:before="0" w:beforeAutospacing="off" w:after="0" w:afterAutospacing="off" w:line="276" w:lineRule="auto"/>
        <w:rPr>
          <w:rFonts w:ascii="Calibri" w:hAnsi="Calibri" w:eastAsia="Calibri" w:cs="Calibri"/>
          <w:noProof w:val="0"/>
          <w:sz w:val="22"/>
          <w:szCs w:val="22"/>
          <w:lang w:val="en-GB"/>
        </w:rPr>
      </w:pPr>
      <w:r w:rsidRPr="45AC00C9" w:rsidR="45AC00C9">
        <w:rPr>
          <w:rFonts w:ascii="Calibri" w:hAnsi="Calibri" w:eastAsia="Calibri" w:cs="Calibri"/>
          <w:b w:val="1"/>
          <w:bCs w:val="1"/>
          <w:noProof w:val="0"/>
          <w:sz w:val="22"/>
          <w:szCs w:val="22"/>
          <w:lang w:val="en-GB"/>
        </w:rPr>
        <w:t>Growth</w:t>
      </w:r>
      <w:r w:rsidRPr="45AC00C9" w:rsidR="45AC00C9">
        <w:rPr>
          <w:rFonts w:ascii="Calibri" w:hAnsi="Calibri" w:eastAsia="Calibri" w:cs="Calibri"/>
          <w:noProof w:val="0"/>
          <w:sz w:val="22"/>
          <w:szCs w:val="22"/>
          <w:lang w:val="en-GB"/>
        </w:rPr>
        <w:t xml:space="preserve">: </w:t>
      </w:r>
      <w:r w:rsidRPr="45AC00C9" w:rsidR="45AC00C9">
        <w:rPr>
          <w:rFonts w:ascii="Calibri" w:hAnsi="Calibri" w:eastAsia="Calibri" w:cs="Calibri"/>
          <w:noProof w:val="0"/>
          <w:sz w:val="22"/>
          <w:szCs w:val="22"/>
          <w:lang w:val="en-GB"/>
        </w:rPr>
        <w:t>Revenue 3Y CAGR: 4.1%, Revenue 5Y CAGR: 6.4</w:t>
      </w:r>
      <w:r w:rsidRPr="45AC00C9" w:rsidR="45AC00C9">
        <w:rPr>
          <w:rFonts w:ascii="Calibri" w:hAnsi="Calibri" w:eastAsia="Calibri" w:cs="Calibri"/>
          <w:noProof w:val="0"/>
          <w:sz w:val="22"/>
          <w:szCs w:val="22"/>
          <w:lang w:val="en-GB"/>
        </w:rPr>
        <w:t>% .</w:t>
      </w:r>
    </w:p>
    <w:p w:rsidR="00B62206" w:rsidP="63874D20" w:rsidRDefault="00B62206" w14:paraId="0A1A2339" w14:textId="633F6412">
      <w:pPr>
        <w:spacing w:before="0" w:beforeAutospacing="off" w:after="160" w:afterAutospacing="off" w:line="276" w:lineRule="auto"/>
      </w:pPr>
      <w:r w:rsidRPr="45AC00C9" w:rsidR="45AC00C9">
        <w:rPr>
          <w:rFonts w:ascii="Calibri" w:hAnsi="Calibri" w:eastAsia="Calibri" w:cs="Calibri"/>
          <w:b w:val="1"/>
          <w:bCs w:val="1"/>
          <w:noProof w:val="0"/>
          <w:sz w:val="22"/>
          <w:szCs w:val="22"/>
          <w:lang w:val="en-GB"/>
        </w:rPr>
        <w:t>Key Competitors</w:t>
      </w:r>
    </w:p>
    <w:p w:rsidR="00B62206" w:rsidP="63874D20" w:rsidRDefault="00B62206" w14:paraId="22015B90" w14:textId="6427B957">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The Walt Disney Company</w:t>
      </w:r>
    </w:p>
    <w:p w:rsidR="00B62206" w:rsidP="63874D20" w:rsidRDefault="00B62206" w14:paraId="77C73D31" w14:textId="36070A9C">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Roblox Corporation</w:t>
      </w:r>
    </w:p>
    <w:p w:rsidR="00B62206" w:rsidP="63874D20" w:rsidRDefault="00B62206" w14:paraId="45B64E19" w14:textId="2AF29ED0">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Take-Two Interactive Software, Inc.</w:t>
      </w:r>
    </w:p>
    <w:p w:rsidR="00B62206" w:rsidP="63874D20" w:rsidRDefault="00B62206" w14:paraId="18C27073" w14:textId="19349A6B">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Live Nation Entertainment, Inc.</w:t>
      </w:r>
    </w:p>
    <w:p w:rsidR="00B62206" w:rsidP="63874D20" w:rsidRDefault="00B62206" w14:paraId="3841EC88" w14:textId="0DDD1531">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Warner Bros. Discovery, Inc.</w:t>
      </w:r>
    </w:p>
    <w:p w:rsidR="00B62206" w:rsidP="63874D20" w:rsidRDefault="00B62206" w14:paraId="3A9DE53D" w14:textId="5A65CAED">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Formula One Group</w:t>
      </w:r>
    </w:p>
    <w:p w:rsidR="00B62206" w:rsidP="63874D20" w:rsidRDefault="00B62206" w14:paraId="17EFA3B3" w14:textId="7A409B16">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Warner Music Group Corp.</w:t>
      </w:r>
    </w:p>
    <w:p w:rsidR="00B62206" w:rsidP="63874D20" w:rsidRDefault="00B62206" w14:paraId="752915C3" w14:textId="67242F23">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Roku, Inc.</w:t>
      </w:r>
    </w:p>
    <w:p w:rsidR="00B62206" w:rsidP="63874D20" w:rsidRDefault="00B62206" w14:paraId="2CDF9616" w14:textId="65E18221">
      <w:pPr>
        <w:pStyle w:val="Lijstalinea"/>
        <w:numPr>
          <w:ilvl w:val="0"/>
          <w:numId w:val="8"/>
        </w:numPr>
        <w:spacing w:before="0" w:beforeAutospacing="off" w:after="0" w:afterAutospacing="off" w:line="276" w:lineRule="auto"/>
        <w:rPr>
          <w:rFonts w:ascii="Calibri" w:hAnsi="Calibri" w:eastAsia="Calibri" w:cs="Calibri"/>
          <w:noProof w:val="0"/>
          <w:sz w:val="22"/>
          <w:szCs w:val="22"/>
          <w:lang w:val="en-GB"/>
        </w:rPr>
      </w:pPr>
      <w:r w:rsidRPr="45AC00C9" w:rsidR="45AC00C9">
        <w:rPr>
          <w:rFonts w:ascii="Calibri" w:hAnsi="Calibri" w:eastAsia="Calibri" w:cs="Calibri"/>
          <w:b w:val="1"/>
          <w:bCs w:val="1"/>
          <w:noProof w:val="0"/>
          <w:sz w:val="22"/>
          <w:szCs w:val="22"/>
          <w:lang w:val="en-GB"/>
        </w:rPr>
        <w:t>TKO Group Holdings, Inc.</w:t>
      </w:r>
      <w:r w:rsidRPr="45AC00C9" w:rsidR="45AC00C9">
        <w:rPr>
          <w:rFonts w:ascii="Calibri" w:hAnsi="Calibri" w:eastAsia="Calibri" w:cs="Calibri"/>
          <w:noProof w:val="0"/>
          <w:sz w:val="22"/>
          <w:szCs w:val="22"/>
          <w:lang w:val="en-GB"/>
        </w:rPr>
        <w:t xml:space="preserve"> .</w:t>
      </w:r>
    </w:p>
    <w:p w:rsidR="45AC00C9" w:rsidP="45AC00C9" w:rsidRDefault="45AC00C9" w14:paraId="3F419F37" w14:textId="5330E13B">
      <w:pPr>
        <w:pStyle w:val="Lijstalinea"/>
        <w:numPr>
          <w:ilvl w:val="0"/>
          <w:numId w:val="8"/>
        </w:numPr>
        <w:spacing w:before="0" w:beforeAutospacing="off" w:after="0" w:afterAutospacing="off" w:line="276" w:lineRule="auto"/>
        <w:rPr>
          <w:rFonts w:ascii="Calibri" w:hAnsi="Calibri" w:eastAsia="Calibri" w:cs="Calibri"/>
          <w:b w:val="1"/>
          <w:bCs w:val="1"/>
          <w:noProof w:val="0"/>
          <w:sz w:val="22"/>
          <w:szCs w:val="22"/>
          <w:lang w:val="en-GB"/>
        </w:rPr>
      </w:pPr>
      <w:r w:rsidRPr="45AC00C9" w:rsidR="45AC00C9">
        <w:rPr>
          <w:rFonts w:ascii="Calibri" w:hAnsi="Calibri" w:eastAsia="Calibri" w:cs="Calibri"/>
          <w:b w:val="1"/>
          <w:bCs w:val="1"/>
          <w:noProof w:val="0"/>
          <w:sz w:val="22"/>
          <w:szCs w:val="22"/>
          <w:lang w:val="en-GB"/>
        </w:rPr>
        <w:t>Activision Blizzard</w:t>
      </w:r>
    </w:p>
    <w:p w:rsidR="00B62206" w:rsidP="63874D20" w:rsidRDefault="00B62206" w14:paraId="01493C21" w14:textId="0B8311B2">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1A283F16" w14:textId="2302E212">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Competitive Advantage (Moat)</w:t>
      </w:r>
    </w:p>
    <w:p w:rsidR="00B62206" w:rsidP="63874D20" w:rsidRDefault="00B62206" w14:paraId="2DC04BF7" w14:textId="1C7B4F02">
      <w:pPr>
        <w:pStyle w:val="Lijstalinea"/>
        <w:numPr>
          <w:ilvl w:val="0"/>
          <w:numId w:val="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Differentiation</w:t>
      </w:r>
      <w:r w:rsidRPr="63874D20" w:rsidR="63874D20">
        <w:rPr>
          <w:rFonts w:ascii="Calibri" w:hAnsi="Calibri" w:eastAsia="Calibri" w:cs="Calibri"/>
          <w:noProof w:val="0"/>
          <w:sz w:val="22"/>
          <w:szCs w:val="22"/>
          <w:lang w:val="en-GB"/>
        </w:rPr>
        <w:t>: EA differentiates itself through its strong brand portfolio, exclusive licensing agreements (e.g., FIFA, Madden NFL), and a robust digital distribution network. Its focus on live services and recurring revenue streams from in-game purchases and subscriptions also provides a competitive edge .</w:t>
      </w:r>
    </w:p>
    <w:p w:rsidR="00B62206" w:rsidP="63874D20" w:rsidRDefault="00B62206" w14:paraId="1A18162A" w14:textId="0477F540">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63CE5A17" w14:textId="488BF0D9">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38A27E6C" w14:textId="79111BB3">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6312B500" w14:textId="4EF5BED0">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198DD43A" w14:textId="70419413">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1D196F80" w14:textId="0F94DC1E">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70CAAA1E" w14:textId="355B5EBA">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Revenue Model</w:t>
      </w:r>
    </w:p>
    <w:p w:rsidR="00B62206" w:rsidP="63874D20" w:rsidRDefault="00B62206" w14:paraId="624583BC" w14:textId="30EA5D81">
      <w:pPr>
        <w:pStyle w:val="Lijstalinea"/>
        <w:numPr>
          <w:ilvl w:val="0"/>
          <w:numId w:val="1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Revenue Segments</w:t>
      </w:r>
      <w:r w:rsidRPr="63874D20" w:rsidR="63874D20">
        <w:rPr>
          <w:rFonts w:ascii="Calibri" w:hAnsi="Calibri" w:eastAsia="Calibri" w:cs="Calibri"/>
          <w:noProof w:val="0"/>
          <w:sz w:val="22"/>
          <w:szCs w:val="22"/>
          <w:lang w:val="en-GB"/>
        </w:rPr>
        <w:t>:</w:t>
      </w:r>
    </w:p>
    <w:p w:rsidR="00B62206" w:rsidP="63874D20" w:rsidRDefault="00B62206" w14:paraId="47150338" w14:textId="0A75975D">
      <w:pPr>
        <w:pStyle w:val="Lijstalinea"/>
        <w:numPr>
          <w:ilvl w:val="1"/>
          <w:numId w:val="1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Live Services &amp; Other Revenue</w:t>
      </w:r>
      <w:r w:rsidRPr="63874D20" w:rsidR="63874D20">
        <w:rPr>
          <w:rFonts w:ascii="Calibri" w:hAnsi="Calibri" w:eastAsia="Calibri" w:cs="Calibri"/>
          <w:noProof w:val="0"/>
          <w:sz w:val="22"/>
          <w:szCs w:val="22"/>
          <w:lang w:val="en-GB"/>
        </w:rPr>
        <w:t>: $5.55B (73.4%)</w:t>
      </w:r>
    </w:p>
    <w:p w:rsidR="00B62206" w:rsidP="63874D20" w:rsidRDefault="00B62206" w14:paraId="2942BF47" w14:textId="0A2599CC">
      <w:pPr>
        <w:pStyle w:val="Lijstalinea"/>
        <w:numPr>
          <w:ilvl w:val="1"/>
          <w:numId w:val="1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Full Game Downloads Revenue</w:t>
      </w:r>
      <w:r w:rsidRPr="63874D20" w:rsidR="63874D20">
        <w:rPr>
          <w:rFonts w:ascii="Calibri" w:hAnsi="Calibri" w:eastAsia="Calibri" w:cs="Calibri"/>
          <w:noProof w:val="0"/>
          <w:sz w:val="22"/>
          <w:szCs w:val="22"/>
          <w:lang w:val="en-GB"/>
        </w:rPr>
        <w:t>: $1.34B (17.8%)</w:t>
      </w:r>
    </w:p>
    <w:p w:rsidR="00B62206" w:rsidP="63874D20" w:rsidRDefault="00B62206" w14:paraId="7A5E4CA8" w14:textId="41045468">
      <w:pPr>
        <w:pStyle w:val="Lijstalinea"/>
        <w:numPr>
          <w:ilvl w:val="1"/>
          <w:numId w:val="1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Packaged Goods Revenue</w:t>
      </w:r>
      <w:r w:rsidRPr="63874D20" w:rsidR="63874D20">
        <w:rPr>
          <w:rFonts w:ascii="Calibri" w:hAnsi="Calibri" w:eastAsia="Calibri" w:cs="Calibri"/>
          <w:noProof w:val="0"/>
          <w:sz w:val="22"/>
          <w:szCs w:val="22"/>
          <w:lang w:val="en-GB"/>
        </w:rPr>
        <w:t>: $672M (8.9%) .</w:t>
      </w:r>
    </w:p>
    <w:p w:rsidR="00B62206" w:rsidP="63874D20" w:rsidRDefault="00B62206" w14:paraId="74FA9959" w14:textId="53FBD7F0">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2BCCE39B" w14:textId="7AF1AAB4">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Geographical Revenue Distribution</w:t>
      </w:r>
    </w:p>
    <w:p w:rsidR="00B62206" w:rsidP="63874D20" w:rsidRDefault="00B62206" w14:paraId="522EDE4B" w14:textId="0D93A9AF">
      <w:pPr>
        <w:pStyle w:val="Lijstalinea"/>
        <w:numPr>
          <w:ilvl w:val="0"/>
          <w:numId w:val="1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Total Revenue</w:t>
      </w:r>
      <w:r w:rsidRPr="63874D20" w:rsidR="63874D20">
        <w:rPr>
          <w:rFonts w:ascii="Calibri" w:hAnsi="Calibri" w:eastAsia="Calibri" w:cs="Calibri"/>
          <w:noProof w:val="0"/>
          <w:sz w:val="22"/>
          <w:szCs w:val="22"/>
          <w:lang w:val="en-GB"/>
        </w:rPr>
        <w:t>: $7.35B</w:t>
      </w:r>
    </w:p>
    <w:p w:rsidR="00B62206" w:rsidP="63874D20" w:rsidRDefault="00B62206" w14:paraId="3610DEB3" w14:textId="02D334A3">
      <w:pPr>
        <w:pStyle w:val="Lijstalinea"/>
        <w:numPr>
          <w:ilvl w:val="0"/>
          <w:numId w:val="1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Growth</w:t>
      </w:r>
      <w:r w:rsidRPr="63874D20" w:rsidR="63874D20">
        <w:rPr>
          <w:rFonts w:ascii="Calibri" w:hAnsi="Calibri" w:eastAsia="Calibri" w:cs="Calibri"/>
          <w:noProof w:val="0"/>
          <w:sz w:val="22"/>
          <w:szCs w:val="22"/>
          <w:lang w:val="en-GB"/>
        </w:rPr>
        <w:t>: -4.0% for the twelve months ending 2024-12-31 .</w:t>
      </w:r>
    </w:p>
    <w:p w:rsidR="00B62206" w:rsidP="63874D20" w:rsidRDefault="00B62206" w14:paraId="0A4D66FF" w14:textId="61869C19">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2626DEA2" w14:textId="4247337D">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Key Financials</w:t>
      </w:r>
    </w:p>
    <w:p w:rsidR="00B62206" w:rsidP="63874D20" w:rsidRDefault="00B62206" w14:paraId="2B042FB5" w14:textId="736E2748">
      <w:pPr>
        <w:pStyle w:val="Lijstalinea"/>
        <w:numPr>
          <w:ilvl w:val="0"/>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Profitability</w:t>
      </w:r>
      <w:r w:rsidRPr="63874D20" w:rsidR="63874D20">
        <w:rPr>
          <w:rFonts w:ascii="Calibri" w:hAnsi="Calibri" w:eastAsia="Calibri" w:cs="Calibri"/>
          <w:noProof w:val="0"/>
          <w:sz w:val="22"/>
          <w:szCs w:val="22"/>
          <w:lang w:val="en-GB"/>
        </w:rPr>
        <w:t>:</w:t>
      </w:r>
    </w:p>
    <w:p w:rsidR="00B62206" w:rsidP="63874D20" w:rsidRDefault="00B62206" w14:paraId="3CB49D90" w14:textId="74381940">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Gross Profit Margin</w:t>
      </w:r>
      <w:r w:rsidRPr="63874D20" w:rsidR="63874D20">
        <w:rPr>
          <w:rFonts w:ascii="Calibri" w:hAnsi="Calibri" w:eastAsia="Calibri" w:cs="Calibri"/>
          <w:noProof w:val="0"/>
          <w:sz w:val="22"/>
          <w:szCs w:val="22"/>
          <w:lang w:val="en-GB"/>
        </w:rPr>
        <w:t>: 79.4%</w:t>
      </w:r>
    </w:p>
    <w:p w:rsidR="00B62206" w:rsidP="63874D20" w:rsidRDefault="00B62206" w14:paraId="5CC7160E" w14:textId="4109198D">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EBITDA Margin</w:t>
      </w:r>
      <w:r w:rsidRPr="63874D20" w:rsidR="63874D20">
        <w:rPr>
          <w:rFonts w:ascii="Calibri" w:hAnsi="Calibri" w:eastAsia="Calibri" w:cs="Calibri"/>
          <w:noProof w:val="0"/>
          <w:sz w:val="22"/>
          <w:szCs w:val="22"/>
          <w:lang w:val="en-GB"/>
        </w:rPr>
        <w:t>: 25.8%</w:t>
      </w:r>
    </w:p>
    <w:p w:rsidR="00B62206" w:rsidP="63874D20" w:rsidRDefault="00B62206" w14:paraId="0BFD5D1E" w14:textId="4967748B">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Operating Margin</w:t>
      </w:r>
      <w:r w:rsidRPr="63874D20" w:rsidR="63874D20">
        <w:rPr>
          <w:rFonts w:ascii="Calibri" w:hAnsi="Calibri" w:eastAsia="Calibri" w:cs="Calibri"/>
          <w:noProof w:val="0"/>
          <w:sz w:val="22"/>
          <w:szCs w:val="22"/>
          <w:lang w:val="en-GB"/>
        </w:rPr>
        <w:t>: 21.0%</w:t>
      </w:r>
    </w:p>
    <w:p w:rsidR="00B62206" w:rsidP="63874D20" w:rsidRDefault="00B62206" w14:paraId="484C977B" w14:textId="3E1F1023">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Net Profit Margin</w:t>
      </w:r>
      <w:r w:rsidRPr="63874D20" w:rsidR="63874D20">
        <w:rPr>
          <w:rFonts w:ascii="Calibri" w:hAnsi="Calibri" w:eastAsia="Calibri" w:cs="Calibri"/>
          <w:noProof w:val="0"/>
          <w:sz w:val="22"/>
          <w:szCs w:val="22"/>
          <w:lang w:val="en-GB"/>
        </w:rPr>
        <w:t>: 14.3% .</w:t>
      </w:r>
    </w:p>
    <w:p w:rsidR="00B62206" w:rsidP="63874D20" w:rsidRDefault="00B62206" w14:paraId="78172FB8" w14:textId="46F1621B">
      <w:pPr>
        <w:pStyle w:val="Lijstalinea"/>
        <w:numPr>
          <w:ilvl w:val="0"/>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Valuation</w:t>
      </w:r>
      <w:r w:rsidRPr="63874D20" w:rsidR="63874D20">
        <w:rPr>
          <w:rFonts w:ascii="Calibri" w:hAnsi="Calibri" w:eastAsia="Calibri" w:cs="Calibri"/>
          <w:noProof w:val="0"/>
          <w:sz w:val="22"/>
          <w:szCs w:val="22"/>
          <w:lang w:val="en-GB"/>
        </w:rPr>
        <w:t>:</w:t>
      </w:r>
    </w:p>
    <w:p w:rsidR="00B62206" w:rsidP="63874D20" w:rsidRDefault="00B62206" w14:paraId="6536CF29" w14:textId="3A14A604">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P/E Ratio</w:t>
      </w:r>
      <w:r w:rsidRPr="63874D20" w:rsidR="63874D20">
        <w:rPr>
          <w:rFonts w:ascii="Calibri" w:hAnsi="Calibri" w:eastAsia="Calibri" w:cs="Calibri"/>
          <w:noProof w:val="0"/>
          <w:sz w:val="22"/>
          <w:szCs w:val="22"/>
          <w:lang w:val="en-GB"/>
        </w:rPr>
        <w:t>: 32.9</w:t>
      </w:r>
    </w:p>
    <w:p w:rsidR="00B62206" w:rsidP="63874D20" w:rsidRDefault="00B62206" w14:paraId="08D4D2A7" w14:textId="4FED38C8">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EV/EBITDA</w:t>
      </w:r>
      <w:r w:rsidRPr="63874D20" w:rsidR="63874D20">
        <w:rPr>
          <w:rFonts w:ascii="Calibri" w:hAnsi="Calibri" w:eastAsia="Calibri" w:cs="Calibri"/>
          <w:noProof w:val="0"/>
          <w:sz w:val="22"/>
          <w:szCs w:val="22"/>
          <w:lang w:val="en-GB"/>
        </w:rPr>
        <w:t>: 17.3</w:t>
      </w:r>
    </w:p>
    <w:p w:rsidR="00B62206" w:rsidP="63874D20" w:rsidRDefault="00B62206" w14:paraId="478FA631" w14:textId="25ACD6DA">
      <w:pPr>
        <w:pStyle w:val="Lijstalinea"/>
        <w:numPr>
          <w:ilvl w:val="1"/>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EV/EBIT</w:t>
      </w:r>
      <w:r w:rsidRPr="63874D20" w:rsidR="63874D20">
        <w:rPr>
          <w:rFonts w:ascii="Calibri" w:hAnsi="Calibri" w:eastAsia="Calibri" w:cs="Calibri"/>
          <w:noProof w:val="0"/>
          <w:sz w:val="22"/>
          <w:szCs w:val="22"/>
          <w:lang w:val="en-GB"/>
        </w:rPr>
        <w:t>: 21.3 .</w:t>
      </w:r>
    </w:p>
    <w:p w:rsidR="00B62206" w:rsidP="63874D20" w:rsidRDefault="00B62206" w14:paraId="76ACE071" w14:textId="056E84F7">
      <w:pPr>
        <w:pStyle w:val="Lijstalinea"/>
        <w:numPr>
          <w:ilvl w:val="0"/>
          <w:numId w:val="12"/>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Balance Sheet</w:t>
      </w:r>
      <w:r w:rsidRPr="63874D20" w:rsidR="63874D20">
        <w:rPr>
          <w:rFonts w:ascii="Calibri" w:hAnsi="Calibri" w:eastAsia="Calibri" w:cs="Calibri"/>
          <w:noProof w:val="0"/>
          <w:sz w:val="22"/>
          <w:szCs w:val="22"/>
          <w:lang w:val="en-GB"/>
        </w:rPr>
        <w:t>: EA has a strong balance sheet with a focus on digital revenue streams, which reduces the need for significant physical inventory and associated costs .</w:t>
      </w:r>
    </w:p>
    <w:p w:rsidR="00B62206" w:rsidP="63874D20" w:rsidRDefault="00B62206" w14:paraId="7C6A5FCF" w14:textId="5D76EE60">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13453AD0" w14:textId="0FCCA26F">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Valuation Compared to Industry Peers</w:t>
      </w:r>
    </w:p>
    <w:p w:rsidR="00B62206" w:rsidP="63874D20" w:rsidRDefault="00B62206" w14:paraId="778E9D02" w14:textId="2C41AE8E">
      <w:pPr>
        <w:pStyle w:val="Lijstalinea"/>
        <w:numPr>
          <w:ilvl w:val="0"/>
          <w:numId w:val="13"/>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P/E Ratio</w:t>
      </w:r>
      <w:r w:rsidRPr="63874D20" w:rsidR="63874D20">
        <w:rPr>
          <w:rFonts w:ascii="Calibri" w:hAnsi="Calibri" w:eastAsia="Calibri" w:cs="Calibri"/>
          <w:noProof w:val="0"/>
          <w:sz w:val="22"/>
          <w:szCs w:val="22"/>
          <w:lang w:val="en-GB"/>
        </w:rPr>
        <w:t>: 32.9, compared to industry peers like Netflix (40.4) and Disney (20.1) .</w:t>
      </w:r>
    </w:p>
    <w:p w:rsidR="00B62206" w:rsidP="63874D20" w:rsidRDefault="00B62206" w14:paraId="37638427" w14:textId="5FCF380B">
      <w:pPr>
        <w:pStyle w:val="Lijstalinea"/>
        <w:numPr>
          <w:ilvl w:val="0"/>
          <w:numId w:val="13"/>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EV/EBITDA</w:t>
      </w:r>
      <w:r w:rsidRPr="63874D20" w:rsidR="63874D20">
        <w:rPr>
          <w:rFonts w:ascii="Calibri" w:hAnsi="Calibri" w:eastAsia="Calibri" w:cs="Calibri"/>
          <w:noProof w:val="0"/>
          <w:sz w:val="22"/>
          <w:szCs w:val="22"/>
          <w:lang w:val="en-GB"/>
        </w:rPr>
        <w:t>: 17.3, which is competitive within the entertainment industry .</w:t>
      </w:r>
    </w:p>
    <w:p w:rsidR="00B62206" w:rsidP="63874D20" w:rsidRDefault="00B62206" w14:paraId="150D5492" w14:textId="52112FC3">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213013CC" w14:textId="1538FA63">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Shareholder Structure</w:t>
      </w:r>
    </w:p>
    <w:p w:rsidR="00B62206" w:rsidP="63874D20" w:rsidRDefault="00B62206" w14:paraId="55F7DFA0" w14:textId="580AE26C">
      <w:pPr>
        <w:pStyle w:val="Lijstalinea"/>
        <w:numPr>
          <w:ilvl w:val="0"/>
          <w:numId w:val="14"/>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Major Shareholders</w:t>
      </w:r>
      <w:r w:rsidRPr="63874D20" w:rsidR="63874D20">
        <w:rPr>
          <w:rFonts w:ascii="Calibri" w:hAnsi="Calibri" w:eastAsia="Calibri" w:cs="Calibri"/>
          <w:noProof w:val="0"/>
          <w:sz w:val="22"/>
          <w:szCs w:val="22"/>
          <w:lang w:val="en-GB"/>
        </w:rPr>
        <w:t>:</w:t>
      </w:r>
    </w:p>
    <w:p w:rsidR="00B62206" w:rsidP="63874D20" w:rsidRDefault="00B62206" w14:paraId="7F5222D0" w14:textId="2E9BBF7E">
      <w:pPr>
        <w:pStyle w:val="Lijstalinea"/>
        <w:numPr>
          <w:ilvl w:val="1"/>
          <w:numId w:val="14"/>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BlackRock, Inc.</w:t>
      </w:r>
      <w:r w:rsidRPr="63874D20" w:rsidR="63874D20">
        <w:rPr>
          <w:rFonts w:ascii="Calibri" w:hAnsi="Calibri" w:eastAsia="Calibri" w:cs="Calibri"/>
          <w:noProof w:val="0"/>
          <w:sz w:val="22"/>
          <w:szCs w:val="22"/>
          <w:lang w:val="en-GB"/>
        </w:rPr>
        <w:t>: 11.4%</w:t>
      </w:r>
    </w:p>
    <w:p w:rsidR="00B62206" w:rsidP="63874D20" w:rsidRDefault="00B62206" w14:paraId="42E1175F" w14:textId="7B5B9624">
      <w:pPr>
        <w:pStyle w:val="Lijstalinea"/>
        <w:numPr>
          <w:ilvl w:val="1"/>
          <w:numId w:val="14"/>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The Vanguard Group, Inc.</w:t>
      </w:r>
      <w:r w:rsidRPr="63874D20" w:rsidR="63874D20">
        <w:rPr>
          <w:rFonts w:ascii="Calibri" w:hAnsi="Calibri" w:eastAsia="Calibri" w:cs="Calibri"/>
          <w:noProof w:val="0"/>
          <w:sz w:val="22"/>
          <w:szCs w:val="22"/>
          <w:lang w:val="en-GB"/>
        </w:rPr>
        <w:t>: 11.1%</w:t>
      </w:r>
    </w:p>
    <w:p w:rsidR="00B62206" w:rsidP="63874D20" w:rsidRDefault="00B62206" w14:paraId="4FD643C9" w14:textId="76D7DA71">
      <w:pPr>
        <w:pStyle w:val="Lijstalinea"/>
        <w:numPr>
          <w:ilvl w:val="1"/>
          <w:numId w:val="14"/>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Public Investment Fund</w:t>
      </w:r>
      <w:r w:rsidRPr="63874D20" w:rsidR="63874D20">
        <w:rPr>
          <w:rFonts w:ascii="Calibri" w:hAnsi="Calibri" w:eastAsia="Calibri" w:cs="Calibri"/>
          <w:noProof w:val="0"/>
          <w:sz w:val="22"/>
          <w:szCs w:val="22"/>
          <w:lang w:val="en-GB"/>
        </w:rPr>
        <w:t>: 9.5% .</w:t>
      </w:r>
    </w:p>
    <w:p w:rsidR="00B62206" w:rsidP="63874D20" w:rsidRDefault="00B62206" w14:paraId="3AFE5BC1" w14:textId="45A27EA0">
      <w:pPr>
        <w:pStyle w:val="Lijstalinea"/>
        <w:numPr>
          <w:ilvl w:val="0"/>
          <w:numId w:val="14"/>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Insider Ownership</w:t>
      </w:r>
      <w:r w:rsidRPr="63874D20" w:rsidR="63874D20">
        <w:rPr>
          <w:rFonts w:ascii="Calibri" w:hAnsi="Calibri" w:eastAsia="Calibri" w:cs="Calibri"/>
          <w:noProof w:val="0"/>
          <w:sz w:val="22"/>
          <w:szCs w:val="22"/>
          <w:lang w:val="en-GB"/>
        </w:rPr>
        <w:t>: Key insiders include Andrew Wilson (Chairman &amp; CEO) with a market value of shares at $15.40M .</w:t>
      </w:r>
    </w:p>
    <w:p w:rsidR="00B62206" w:rsidP="63874D20" w:rsidRDefault="00B62206" w14:paraId="303613AC" w14:textId="316CB063">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 xml:space="preserve"> </w:t>
      </w:r>
    </w:p>
    <w:p w:rsidR="00B62206" w:rsidP="63874D20" w:rsidRDefault="00B62206" w14:paraId="07CE641F" w14:textId="2179CB3F">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 xml:space="preserve"> </w:t>
      </w:r>
    </w:p>
    <w:p w:rsidR="00B62206" w:rsidP="63874D20" w:rsidRDefault="00B62206" w14:paraId="6CDAEAD3" w14:textId="6FF8017A">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65DCFAFF" w14:textId="72746A33">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1CB473B3" w14:textId="246BE362">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66310AC0" w14:textId="6168FB11">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SWOT Analysis</w:t>
      </w:r>
    </w:p>
    <w:p w:rsidR="00B62206" w:rsidP="63874D20" w:rsidRDefault="00B62206" w14:paraId="1D4E83FA" w14:textId="564CDDE1">
      <w:pPr>
        <w:pStyle w:val="Lijstalinea"/>
        <w:numPr>
          <w:ilvl w:val="0"/>
          <w:numId w:val="15"/>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Strengths</w:t>
      </w:r>
      <w:r w:rsidRPr="63874D20" w:rsidR="63874D20">
        <w:rPr>
          <w:rFonts w:ascii="Calibri" w:hAnsi="Calibri" w:eastAsia="Calibri" w:cs="Calibri"/>
          <w:noProof w:val="0"/>
          <w:sz w:val="22"/>
          <w:szCs w:val="22"/>
          <w:lang w:val="en-GB"/>
        </w:rPr>
        <w:t>: Strong brand portfolio, exclusive licensing agreements, robust digital distribution.</w:t>
      </w:r>
    </w:p>
    <w:p w:rsidR="00B62206" w:rsidP="63874D20" w:rsidRDefault="00B62206" w14:paraId="526684C0" w14:textId="0197ECD0">
      <w:pPr>
        <w:pStyle w:val="Lijstalinea"/>
        <w:numPr>
          <w:ilvl w:val="0"/>
          <w:numId w:val="15"/>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Weaknesses</w:t>
      </w:r>
      <w:r w:rsidRPr="63874D20" w:rsidR="63874D20">
        <w:rPr>
          <w:rFonts w:ascii="Calibri" w:hAnsi="Calibri" w:eastAsia="Calibri" w:cs="Calibri"/>
          <w:noProof w:val="0"/>
          <w:sz w:val="22"/>
          <w:szCs w:val="22"/>
          <w:lang w:val="en-GB"/>
        </w:rPr>
        <w:t>: Dependence on a few key franchises, potential regulatory challenges.</w:t>
      </w:r>
    </w:p>
    <w:p w:rsidR="00B62206" w:rsidP="63874D20" w:rsidRDefault="00B62206" w14:paraId="14E79D15" w14:textId="632BBDBD">
      <w:pPr>
        <w:pStyle w:val="Lijstalinea"/>
        <w:numPr>
          <w:ilvl w:val="0"/>
          <w:numId w:val="15"/>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Opportunities</w:t>
      </w:r>
      <w:r w:rsidRPr="63874D20" w:rsidR="63874D20">
        <w:rPr>
          <w:rFonts w:ascii="Calibri" w:hAnsi="Calibri" w:eastAsia="Calibri" w:cs="Calibri"/>
          <w:noProof w:val="0"/>
          <w:sz w:val="22"/>
          <w:szCs w:val="22"/>
          <w:lang w:val="en-GB"/>
        </w:rPr>
        <w:t>: Expansion into new gaming genres, growth in mobile gaming.</w:t>
      </w:r>
    </w:p>
    <w:p w:rsidR="00B62206" w:rsidP="63874D20" w:rsidRDefault="00B62206" w14:paraId="206A48EF" w14:textId="11AE58B1">
      <w:pPr>
        <w:pStyle w:val="Lijstalinea"/>
        <w:numPr>
          <w:ilvl w:val="0"/>
          <w:numId w:val="15"/>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Threats</w:t>
      </w:r>
      <w:r w:rsidRPr="63874D20" w:rsidR="63874D20">
        <w:rPr>
          <w:rFonts w:ascii="Calibri" w:hAnsi="Calibri" w:eastAsia="Calibri" w:cs="Calibri"/>
          <w:noProof w:val="0"/>
          <w:sz w:val="22"/>
          <w:szCs w:val="22"/>
          <w:lang w:val="en-GB"/>
        </w:rPr>
        <w:t>: Intense competition, changing consumer preferences, potential regulatory changes.</w:t>
      </w:r>
    </w:p>
    <w:p w:rsidR="00B62206" w:rsidP="63874D20" w:rsidRDefault="00B62206" w14:paraId="6D3C499C" w14:textId="6DFDC3CF">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3EE702D3" w14:textId="2169EC04">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Comparison to peers</w:t>
      </w:r>
    </w:p>
    <w:p w:rsidR="00B62206" w:rsidP="63874D20" w:rsidRDefault="00B62206" w14:paraId="0891FD40" w14:textId="40396281">
      <w:pPr>
        <w:spacing w:before="0" w:beforeAutospacing="off" w:after="160" w:afterAutospacing="off" w:line="276" w:lineRule="auto"/>
      </w:pPr>
      <w:r>
        <w:drawing>
          <wp:inline wp14:editId="7058D5A5" wp14:anchorId="1E555536">
            <wp:extent cx="5753098" cy="2066925"/>
            <wp:effectExtent l="0" t="0" r="0" b="0"/>
            <wp:docPr id="2035124869" name="" descr="Afbeelding met tekst, schermopname, nummer, Lettertype&#10;&#10;Door AI gegenereerde inhoud is mogelijk onjuist." title=""/>
            <wp:cNvGraphicFramePr>
              <a:graphicFrameLocks noChangeAspect="1"/>
            </wp:cNvGraphicFramePr>
            <a:graphic>
              <a:graphicData uri="http://schemas.openxmlformats.org/drawingml/2006/picture">
                <pic:pic>
                  <pic:nvPicPr>
                    <pic:cNvPr id="0" name=""/>
                    <pic:cNvPicPr/>
                  </pic:nvPicPr>
                  <pic:blipFill>
                    <a:blip r:embed="R97fada06379b40aa">
                      <a:extLst>
                        <a:ext xmlns:a="http://schemas.openxmlformats.org/drawingml/2006/main" uri="{28A0092B-C50C-407E-A947-70E740481C1C}">
                          <a14:useLocalDpi val="0"/>
                        </a:ext>
                      </a:extLst>
                    </a:blip>
                    <a:stretch>
                      <a:fillRect/>
                    </a:stretch>
                  </pic:blipFill>
                  <pic:spPr>
                    <a:xfrm>
                      <a:off x="0" y="0"/>
                      <a:ext cx="5753098" cy="2066925"/>
                    </a:xfrm>
                    <a:prstGeom prst="rect">
                      <a:avLst/>
                    </a:prstGeom>
                  </pic:spPr>
                </pic:pic>
              </a:graphicData>
            </a:graphic>
          </wp:inline>
        </w:drawing>
      </w:r>
      <w:r w:rsidRPr="63874D20" w:rsidR="63874D20">
        <w:rPr>
          <w:rFonts w:ascii="Calibri" w:hAnsi="Calibri" w:eastAsia="Calibri" w:cs="Calibri"/>
          <w:b w:val="1"/>
          <w:bCs w:val="1"/>
          <w:noProof w:val="0"/>
          <w:sz w:val="22"/>
          <w:szCs w:val="22"/>
          <w:lang w:val="en-GB"/>
        </w:rPr>
        <w:t>-&gt; Analysis</w:t>
      </w:r>
    </w:p>
    <w:p w:rsidR="00B62206" w:rsidP="63874D20" w:rsidRDefault="00B62206" w14:paraId="55A1C756" w14:textId="71248DA9">
      <w:pPr>
        <w:pStyle w:val="Lijstalinea"/>
        <w:numPr>
          <w:ilvl w:val="0"/>
          <w:numId w:val="1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Market Position</w:t>
      </w:r>
      <w:r w:rsidRPr="63874D20" w:rsidR="63874D20">
        <w:rPr>
          <w:rFonts w:ascii="Calibri" w:hAnsi="Calibri" w:eastAsia="Calibri" w:cs="Calibri"/>
          <w:noProof w:val="0"/>
          <w:sz w:val="22"/>
          <w:szCs w:val="22"/>
          <w:lang w:val="en-GB"/>
        </w:rPr>
        <w:t>: EA has a strong market position with a market cap of $34.13B, but it is smaller compared to giants like Netflix and Disney.</w:t>
      </w:r>
    </w:p>
    <w:p w:rsidR="00B62206" w:rsidP="63874D20" w:rsidRDefault="00B62206" w14:paraId="66D8B014" w14:textId="3A9849CE">
      <w:pPr>
        <w:pStyle w:val="Lijstalinea"/>
        <w:numPr>
          <w:ilvl w:val="0"/>
          <w:numId w:val="1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Growth Rates</w:t>
      </w:r>
      <w:r w:rsidRPr="63874D20" w:rsidR="63874D20">
        <w:rPr>
          <w:rFonts w:ascii="Calibri" w:hAnsi="Calibri" w:eastAsia="Calibri" w:cs="Calibri"/>
          <w:noProof w:val="0"/>
          <w:sz w:val="22"/>
          <w:szCs w:val="22"/>
          <w:lang w:val="en-GB"/>
        </w:rPr>
        <w:t>: EA's revenue growth rates (3Y and 5Y CAGR) are moderate compared to high-growth companies like Roblox and Take-Two Interactive.</w:t>
      </w:r>
    </w:p>
    <w:p w:rsidR="00B62206" w:rsidP="63874D20" w:rsidRDefault="00B62206" w14:paraId="1C3FBB91" w14:textId="4F900341">
      <w:pPr>
        <w:pStyle w:val="Lijstalinea"/>
        <w:numPr>
          <w:ilvl w:val="0"/>
          <w:numId w:val="1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Profitability</w:t>
      </w:r>
      <w:r w:rsidRPr="63874D20" w:rsidR="63874D20">
        <w:rPr>
          <w:rFonts w:ascii="Calibri" w:hAnsi="Calibri" w:eastAsia="Calibri" w:cs="Calibri"/>
          <w:noProof w:val="0"/>
          <w:sz w:val="22"/>
          <w:szCs w:val="22"/>
          <w:lang w:val="en-GB"/>
        </w:rPr>
        <w:t>: EA maintains a healthy operating margin of 21.0%, which is competitive within the industry, though lower than Netflix's 26.7%.</w:t>
      </w:r>
    </w:p>
    <w:p w:rsidR="00B62206" w:rsidP="63874D20" w:rsidRDefault="00B62206" w14:paraId="2750049B" w14:textId="2DC319EA">
      <w:pPr>
        <w:pStyle w:val="Lijstalinea"/>
        <w:numPr>
          <w:ilvl w:val="0"/>
          <w:numId w:val="1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Valuation</w:t>
      </w:r>
      <w:r w:rsidRPr="63874D20" w:rsidR="63874D20">
        <w:rPr>
          <w:rFonts w:ascii="Calibri" w:hAnsi="Calibri" w:eastAsia="Calibri" w:cs="Calibri"/>
          <w:noProof w:val="0"/>
          <w:sz w:val="22"/>
          <w:szCs w:val="22"/>
          <w:lang w:val="en-GB"/>
        </w:rPr>
        <w:t>: EA's Forward P/E of 18.6 is relatively low compared to Netflix and Take-Two Interactive, indicating a potentially more attractive valuation.</w:t>
      </w:r>
    </w:p>
    <w:p w:rsidR="00B62206" w:rsidP="63874D20" w:rsidRDefault="00B62206" w14:paraId="53F15DDD" w14:textId="373476FE">
      <w:pPr>
        <w:pStyle w:val="Lijstalinea"/>
        <w:numPr>
          <w:ilvl w:val="0"/>
          <w:numId w:val="16"/>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Challenges</w:t>
      </w:r>
      <w:r w:rsidRPr="63874D20" w:rsidR="63874D20">
        <w:rPr>
          <w:rFonts w:ascii="Calibri" w:hAnsi="Calibri" w:eastAsia="Calibri" w:cs="Calibri"/>
          <w:noProof w:val="0"/>
          <w:sz w:val="22"/>
          <w:szCs w:val="22"/>
          <w:lang w:val="en-GB"/>
        </w:rPr>
        <w:t>: EA's negative 5Y CAGR for diluted EPS suggests challenges in maintaining consistent earnings growth over the longer term.</w:t>
      </w:r>
    </w:p>
    <w:p w:rsidR="00B62206" w:rsidP="63874D20" w:rsidRDefault="00B62206" w14:paraId="6B325D13" w14:textId="36DE314C">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789E9661" w14:textId="5A48DBB3">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6FB7FB64" w14:textId="15AAA748">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03969D7A" w14:textId="5ACEF26B">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76D6FFA0" w14:textId="1030E463">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5F1A556C" w14:textId="363AC0F2">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4B351E75" w14:textId="4A1C9AA3">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7088FE1C" w14:textId="4B1D2076">
      <w:pPr>
        <w:spacing w:before="0" w:beforeAutospacing="off" w:after="160" w:afterAutospacing="off" w:line="276" w:lineRule="auto"/>
        <w:rPr>
          <w:rFonts w:ascii="Calibri" w:hAnsi="Calibri" w:eastAsia="Calibri" w:cs="Calibri"/>
          <w:noProof w:val="0"/>
          <w:sz w:val="22"/>
          <w:szCs w:val="22"/>
          <w:lang w:val="en-GB"/>
        </w:rPr>
      </w:pPr>
    </w:p>
    <w:p w:rsidR="00B62206" w:rsidP="63874D20" w:rsidRDefault="00B62206" w14:paraId="12387317" w14:textId="29F800AB">
      <w:pPr>
        <w:spacing w:before="0" w:beforeAutospacing="off" w:after="160" w:afterAutospacing="off" w:line="276" w:lineRule="auto"/>
        <w:rPr>
          <w:rFonts w:ascii="Calibri" w:hAnsi="Calibri" w:eastAsia="Calibri" w:cs="Calibri"/>
          <w:noProof w:val="0"/>
          <w:sz w:val="22"/>
          <w:szCs w:val="22"/>
          <w:lang w:val="en-GB"/>
        </w:rPr>
      </w:pPr>
    </w:p>
    <w:p w:rsidR="00B62206" w:rsidP="63874D20" w:rsidRDefault="00B62206" w14:paraId="703BE14A" w14:textId="541C34AC">
      <w:pPr>
        <w:spacing w:before="0" w:beforeAutospacing="off" w:after="160" w:afterAutospacing="off" w:line="276" w:lineRule="auto"/>
      </w:pPr>
      <w:r w:rsidRPr="63874D20" w:rsidR="63874D20">
        <w:rPr>
          <w:rFonts w:ascii="Calibri" w:hAnsi="Calibri" w:eastAsia="Calibri" w:cs="Calibri"/>
          <w:noProof w:val="0"/>
          <w:sz w:val="22"/>
          <w:szCs w:val="22"/>
          <w:lang w:val="en-GB"/>
        </w:rPr>
        <w:t>Here's what analysts are saying about Electronic Arts Inc. (EA) and their target price estimates:</w:t>
      </w:r>
    </w:p>
    <w:p w:rsidR="00B62206" w:rsidP="63874D20" w:rsidRDefault="00B62206" w14:paraId="155F636E" w14:textId="40D31213">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Analyst Price Targets</w:t>
      </w:r>
    </w:p>
    <w:tbl>
      <w:tblPr>
        <w:tblStyle w:val="Standaardtabel"/>
        <w:tblW w:w="0" w:type="auto"/>
        <w:tblLayout w:type="fixed"/>
        <w:tblLook w:val="04A0" w:firstRow="1" w:lastRow="0" w:firstColumn="1" w:lastColumn="0" w:noHBand="0" w:noVBand="1"/>
      </w:tblPr>
      <w:tblGrid>
        <w:gridCol w:w="6574"/>
        <w:gridCol w:w="2486"/>
      </w:tblGrid>
      <w:tr w:rsidR="63874D20" w:rsidTr="63874D20" w14:paraId="5DA96743">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00A4B726" w14:textId="7069A828">
            <w:pPr>
              <w:spacing w:before="0" w:beforeAutospacing="off" w:after="160" w:afterAutospacing="off" w:line="276" w:lineRule="auto"/>
            </w:pPr>
            <w:r w:rsidRPr="63874D20" w:rsidR="63874D20">
              <w:rPr>
                <w:rFonts w:ascii="Calibri" w:hAnsi="Calibri" w:eastAsia="Calibri" w:cs="Calibri"/>
                <w:b w:val="1"/>
                <w:bCs w:val="1"/>
                <w:sz w:val="22"/>
                <w:szCs w:val="22"/>
              </w:rPr>
              <w:t>Metric</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304B772A" w14:textId="0A0FDD05">
            <w:pPr>
              <w:spacing w:before="0" w:beforeAutospacing="off" w:after="160" w:afterAutospacing="off" w:line="276" w:lineRule="auto"/>
            </w:pPr>
            <w:r w:rsidRPr="63874D20" w:rsidR="63874D20">
              <w:rPr>
                <w:rFonts w:ascii="Calibri" w:hAnsi="Calibri" w:eastAsia="Calibri" w:cs="Calibri"/>
                <w:b w:val="1"/>
                <w:bCs w:val="1"/>
                <w:sz w:val="22"/>
                <w:szCs w:val="22"/>
              </w:rPr>
              <w:t>Value</w:t>
            </w:r>
          </w:p>
        </w:tc>
      </w:tr>
      <w:tr w:rsidR="63874D20" w:rsidTr="63874D20" w14:paraId="1A38E10F">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69DE8280" w14:textId="641A7AF6">
            <w:pPr>
              <w:spacing w:before="0" w:beforeAutospacing="off" w:after="160" w:afterAutospacing="off" w:line="276" w:lineRule="auto"/>
            </w:pPr>
            <w:r w:rsidRPr="63874D20" w:rsidR="63874D20">
              <w:rPr>
                <w:rFonts w:ascii="Calibri" w:hAnsi="Calibri" w:eastAsia="Calibri" w:cs="Calibri"/>
                <w:b w:val="1"/>
                <w:bCs w:val="1"/>
                <w:sz w:val="22"/>
                <w:szCs w:val="22"/>
              </w:rPr>
              <w:t>Mean Price Target</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7E8E46EF" w14:textId="0642B196">
            <w:pPr>
              <w:spacing w:before="0" w:beforeAutospacing="off" w:after="160" w:afterAutospacing="off" w:line="276" w:lineRule="auto"/>
            </w:pPr>
            <w:r w:rsidRPr="63874D20" w:rsidR="63874D20">
              <w:rPr>
                <w:rFonts w:ascii="Calibri" w:hAnsi="Calibri" w:eastAsia="Calibri" w:cs="Calibri"/>
                <w:sz w:val="22"/>
                <w:szCs w:val="22"/>
              </w:rPr>
              <w:t>$142.80</w:t>
            </w:r>
          </w:p>
        </w:tc>
      </w:tr>
      <w:tr w:rsidR="63874D20" w:rsidTr="63874D20" w14:paraId="617A144E">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2E1BEB88" w14:textId="45AE27DD">
            <w:pPr>
              <w:spacing w:before="0" w:beforeAutospacing="off" w:after="160" w:afterAutospacing="off" w:line="276" w:lineRule="auto"/>
            </w:pPr>
            <w:r w:rsidRPr="63874D20" w:rsidR="63874D20">
              <w:rPr>
                <w:rFonts w:ascii="Calibri" w:hAnsi="Calibri" w:eastAsia="Calibri" w:cs="Calibri"/>
                <w:b w:val="1"/>
                <w:bCs w:val="1"/>
                <w:sz w:val="22"/>
                <w:szCs w:val="22"/>
              </w:rPr>
              <w:t>Median Price Target</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7DF04C31" w14:textId="46FDA2C9">
            <w:pPr>
              <w:spacing w:before="0" w:beforeAutospacing="off" w:after="160" w:afterAutospacing="off" w:line="276" w:lineRule="auto"/>
            </w:pPr>
            <w:r w:rsidRPr="63874D20" w:rsidR="63874D20">
              <w:rPr>
                <w:rFonts w:ascii="Calibri" w:hAnsi="Calibri" w:eastAsia="Calibri" w:cs="Calibri"/>
                <w:sz w:val="22"/>
                <w:szCs w:val="22"/>
              </w:rPr>
              <w:t>$140.00</w:t>
            </w:r>
          </w:p>
        </w:tc>
      </w:tr>
      <w:tr w:rsidR="63874D20" w:rsidTr="63874D20" w14:paraId="12FF9FD4">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5E8C3D0E" w14:textId="7F322D86">
            <w:pPr>
              <w:spacing w:before="0" w:beforeAutospacing="off" w:after="160" w:afterAutospacing="off" w:line="276" w:lineRule="auto"/>
            </w:pPr>
            <w:r w:rsidRPr="63874D20" w:rsidR="63874D20">
              <w:rPr>
                <w:rFonts w:ascii="Calibri" w:hAnsi="Calibri" w:eastAsia="Calibri" w:cs="Calibri"/>
                <w:b w:val="1"/>
                <w:bCs w:val="1"/>
                <w:sz w:val="22"/>
                <w:szCs w:val="22"/>
              </w:rPr>
              <w:t>High Price Target</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48CB999E" w14:textId="1EDA77A1">
            <w:pPr>
              <w:spacing w:before="0" w:beforeAutospacing="off" w:after="160" w:afterAutospacing="off" w:line="276" w:lineRule="auto"/>
            </w:pPr>
            <w:r w:rsidRPr="63874D20" w:rsidR="63874D20">
              <w:rPr>
                <w:rFonts w:ascii="Calibri" w:hAnsi="Calibri" w:eastAsia="Calibri" w:cs="Calibri"/>
                <w:sz w:val="22"/>
                <w:szCs w:val="22"/>
              </w:rPr>
              <w:t>$179.00</w:t>
            </w:r>
          </w:p>
        </w:tc>
      </w:tr>
      <w:tr w:rsidR="63874D20" w:rsidTr="63874D20" w14:paraId="48E6B177">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492C8BFB" w14:textId="00E02984">
            <w:pPr>
              <w:spacing w:before="0" w:beforeAutospacing="off" w:after="160" w:afterAutospacing="off" w:line="276" w:lineRule="auto"/>
            </w:pPr>
            <w:r w:rsidRPr="63874D20" w:rsidR="63874D20">
              <w:rPr>
                <w:rFonts w:ascii="Calibri" w:hAnsi="Calibri" w:eastAsia="Calibri" w:cs="Calibri"/>
                <w:b w:val="1"/>
                <w:bCs w:val="1"/>
                <w:sz w:val="22"/>
                <w:szCs w:val="22"/>
              </w:rPr>
              <w:t>Low Price Target</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45DA278A" w14:textId="3A1671B7">
            <w:pPr>
              <w:spacing w:before="0" w:beforeAutospacing="off" w:after="160" w:afterAutospacing="off" w:line="276" w:lineRule="auto"/>
            </w:pPr>
            <w:r w:rsidRPr="63874D20" w:rsidR="63874D20">
              <w:rPr>
                <w:rFonts w:ascii="Calibri" w:hAnsi="Calibri" w:eastAsia="Calibri" w:cs="Calibri"/>
                <w:sz w:val="22"/>
                <w:szCs w:val="22"/>
              </w:rPr>
              <w:t>$125.00</w:t>
            </w:r>
          </w:p>
        </w:tc>
      </w:tr>
      <w:tr w:rsidR="63874D20" w:rsidTr="63874D20" w14:paraId="73E3AF54">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60E5BBA9" w14:textId="0C7EE013">
            <w:pPr>
              <w:spacing w:before="0" w:beforeAutospacing="off" w:after="160" w:afterAutospacing="off" w:line="276" w:lineRule="auto"/>
            </w:pPr>
            <w:r w:rsidRPr="63874D20" w:rsidR="63874D20">
              <w:rPr>
                <w:rFonts w:ascii="Calibri" w:hAnsi="Calibri" w:eastAsia="Calibri" w:cs="Calibri"/>
                <w:b w:val="1"/>
                <w:bCs w:val="1"/>
                <w:sz w:val="22"/>
                <w:szCs w:val="22"/>
              </w:rPr>
              <w:t>Standard Deviation</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19A3F066" w14:textId="24CB3A64">
            <w:pPr>
              <w:spacing w:before="0" w:beforeAutospacing="off" w:after="160" w:afterAutospacing="off" w:line="276" w:lineRule="auto"/>
            </w:pPr>
            <w:r w:rsidRPr="63874D20" w:rsidR="63874D20">
              <w:rPr>
                <w:rFonts w:ascii="Calibri" w:hAnsi="Calibri" w:eastAsia="Calibri" w:cs="Calibri"/>
                <w:sz w:val="22"/>
                <w:szCs w:val="22"/>
              </w:rPr>
              <w:t>$13.57</w:t>
            </w:r>
          </w:p>
        </w:tc>
      </w:tr>
      <w:tr w:rsidR="63874D20" w:rsidTr="63874D20" w14:paraId="19AC1746">
        <w:trPr>
          <w:trHeight w:val="300"/>
        </w:trPr>
        <w:tc>
          <w:tcPr>
            <w:tcW w:w="6574" w:type="dxa"/>
            <w:tcBorders>
              <w:top w:val="single" w:color="156082" w:sz="8"/>
              <w:left w:val="single" w:color="156082" w:sz="8"/>
              <w:bottom w:val="single" w:color="156082" w:sz="8"/>
              <w:right w:val="single" w:color="156082" w:sz="8"/>
            </w:tcBorders>
            <w:tcMar/>
            <w:vAlign w:val="bottom"/>
          </w:tcPr>
          <w:p w:rsidR="63874D20" w:rsidP="63874D20" w:rsidRDefault="63874D20" w14:paraId="2194A537" w14:textId="6141AF49">
            <w:pPr>
              <w:spacing w:before="0" w:beforeAutospacing="off" w:after="160" w:afterAutospacing="off" w:line="276" w:lineRule="auto"/>
            </w:pPr>
            <w:r w:rsidRPr="63874D20" w:rsidR="63874D20">
              <w:rPr>
                <w:rFonts w:ascii="Calibri" w:hAnsi="Calibri" w:eastAsia="Calibri" w:cs="Calibri"/>
                <w:b w:val="1"/>
                <w:bCs w:val="1"/>
                <w:sz w:val="22"/>
                <w:szCs w:val="22"/>
              </w:rPr>
              <w:t>Number of Estimates</w:t>
            </w:r>
          </w:p>
        </w:tc>
        <w:tc>
          <w:tcPr>
            <w:tcW w:w="2486" w:type="dxa"/>
            <w:tcBorders>
              <w:top w:val="single" w:color="156082" w:sz="8"/>
              <w:left w:val="single" w:color="156082" w:sz="8"/>
              <w:bottom w:val="single" w:color="156082" w:sz="8"/>
              <w:right w:val="single" w:color="156082" w:sz="8"/>
            </w:tcBorders>
            <w:tcMar/>
            <w:vAlign w:val="bottom"/>
          </w:tcPr>
          <w:p w:rsidR="63874D20" w:rsidP="63874D20" w:rsidRDefault="63874D20" w14:paraId="10F74A27" w14:textId="68E5F659">
            <w:pPr>
              <w:spacing w:before="0" w:beforeAutospacing="off" w:after="160" w:afterAutospacing="off" w:line="276" w:lineRule="auto"/>
            </w:pPr>
            <w:r w:rsidRPr="63874D20" w:rsidR="63874D20">
              <w:rPr>
                <w:rFonts w:ascii="Calibri" w:hAnsi="Calibri" w:eastAsia="Calibri" w:cs="Calibri"/>
                <w:sz w:val="22"/>
                <w:szCs w:val="22"/>
              </w:rPr>
              <w:t>23</w:t>
            </w:r>
          </w:p>
        </w:tc>
      </w:tr>
    </w:tbl>
    <w:p w:rsidR="00B62206" w:rsidP="63874D20" w:rsidRDefault="00B62206" w14:paraId="6DC884DA" w14:textId="3EF890AD">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 xml:space="preserve"> </w:t>
      </w:r>
    </w:p>
    <w:p w:rsidR="00B62206" w:rsidP="63874D20" w:rsidRDefault="00B62206" w14:paraId="4C17912D" w14:textId="53DD16E2">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Analyst Recommendations</w:t>
      </w:r>
    </w:p>
    <w:tbl>
      <w:tblPr>
        <w:tblStyle w:val="Standaardtabel"/>
        <w:tblW w:w="0" w:type="auto"/>
        <w:tblLayout w:type="fixed"/>
        <w:tblLook w:val="04A0" w:firstRow="1" w:lastRow="0" w:firstColumn="1" w:lastColumn="0" w:noHBand="0" w:noVBand="1"/>
      </w:tblPr>
      <w:tblGrid>
        <w:gridCol w:w="4285"/>
        <w:gridCol w:w="4775"/>
      </w:tblGrid>
      <w:tr w:rsidR="63874D20" w:rsidTr="63874D20" w14:paraId="4E674021">
        <w:trPr>
          <w:trHeight w:val="300"/>
        </w:trPr>
        <w:tc>
          <w:tcPr>
            <w:tcW w:w="4285" w:type="dxa"/>
            <w:tcBorders>
              <w:top w:val="single" w:color="156082" w:sz="8"/>
              <w:left w:val="single" w:color="156082" w:sz="8"/>
              <w:bottom w:val="single" w:color="156082" w:sz="8"/>
              <w:right w:val="single" w:color="156082" w:sz="8"/>
            </w:tcBorders>
            <w:tcMar/>
            <w:vAlign w:val="bottom"/>
          </w:tcPr>
          <w:p w:rsidR="63874D20" w:rsidP="63874D20" w:rsidRDefault="63874D20" w14:paraId="67EA1001" w14:textId="2AF472C3">
            <w:pPr>
              <w:spacing w:before="0" w:beforeAutospacing="off" w:after="160" w:afterAutospacing="off" w:line="276" w:lineRule="auto"/>
            </w:pPr>
            <w:r w:rsidRPr="63874D20" w:rsidR="63874D20">
              <w:rPr>
                <w:rFonts w:ascii="Calibri" w:hAnsi="Calibri" w:eastAsia="Calibri" w:cs="Calibri"/>
                <w:b w:val="1"/>
                <w:bCs w:val="1"/>
                <w:sz w:val="22"/>
                <w:szCs w:val="22"/>
              </w:rPr>
              <w:t>Recommendation</w:t>
            </w:r>
          </w:p>
        </w:tc>
        <w:tc>
          <w:tcPr>
            <w:tcW w:w="4775" w:type="dxa"/>
            <w:tcBorders>
              <w:top w:val="single" w:color="156082" w:sz="8"/>
              <w:left w:val="single" w:color="156082" w:sz="8"/>
              <w:bottom w:val="single" w:color="156082" w:sz="8"/>
              <w:right w:val="single" w:color="156082" w:sz="8"/>
            </w:tcBorders>
            <w:tcMar/>
            <w:vAlign w:val="bottom"/>
          </w:tcPr>
          <w:p w:rsidR="63874D20" w:rsidP="63874D20" w:rsidRDefault="63874D20" w14:paraId="366DCB00" w14:textId="0D52B70F">
            <w:pPr>
              <w:spacing w:before="0" w:beforeAutospacing="off" w:after="160" w:afterAutospacing="off" w:line="276" w:lineRule="auto"/>
            </w:pPr>
            <w:r w:rsidRPr="63874D20" w:rsidR="63874D20">
              <w:rPr>
                <w:rFonts w:ascii="Calibri" w:hAnsi="Calibri" w:eastAsia="Calibri" w:cs="Calibri"/>
                <w:b w:val="1"/>
                <w:bCs w:val="1"/>
                <w:sz w:val="22"/>
                <w:szCs w:val="22"/>
              </w:rPr>
              <w:t>Number of Analysts</w:t>
            </w:r>
          </w:p>
        </w:tc>
      </w:tr>
      <w:tr w:rsidR="63874D20" w:rsidTr="63874D20" w14:paraId="674564F6">
        <w:trPr>
          <w:trHeight w:val="300"/>
        </w:trPr>
        <w:tc>
          <w:tcPr>
            <w:tcW w:w="4285" w:type="dxa"/>
            <w:tcBorders>
              <w:top w:val="single" w:color="156082" w:sz="8"/>
              <w:left w:val="single" w:color="156082" w:sz="8"/>
              <w:bottom w:val="single" w:color="156082" w:sz="8"/>
              <w:right w:val="single" w:color="156082" w:sz="8"/>
            </w:tcBorders>
            <w:tcMar/>
            <w:vAlign w:val="bottom"/>
          </w:tcPr>
          <w:p w:rsidR="63874D20" w:rsidP="63874D20" w:rsidRDefault="63874D20" w14:paraId="1C03AFC6" w14:textId="1EF80B92">
            <w:pPr>
              <w:spacing w:before="0" w:beforeAutospacing="off" w:after="160" w:afterAutospacing="off" w:line="276" w:lineRule="auto"/>
            </w:pPr>
            <w:r w:rsidRPr="63874D20" w:rsidR="63874D20">
              <w:rPr>
                <w:rFonts w:ascii="Calibri" w:hAnsi="Calibri" w:eastAsia="Calibri" w:cs="Calibri"/>
                <w:b w:val="1"/>
                <w:bCs w:val="1"/>
                <w:sz w:val="22"/>
                <w:szCs w:val="22"/>
              </w:rPr>
              <w:t>Outperform</w:t>
            </w:r>
          </w:p>
        </w:tc>
        <w:tc>
          <w:tcPr>
            <w:tcW w:w="4775" w:type="dxa"/>
            <w:tcBorders>
              <w:top w:val="single" w:color="156082" w:sz="8"/>
              <w:left w:val="single" w:color="156082" w:sz="8"/>
              <w:bottom w:val="single" w:color="156082" w:sz="8"/>
              <w:right w:val="single" w:color="156082" w:sz="8"/>
            </w:tcBorders>
            <w:tcMar/>
            <w:vAlign w:val="bottom"/>
          </w:tcPr>
          <w:p w:rsidR="63874D20" w:rsidP="63874D20" w:rsidRDefault="63874D20" w14:paraId="252BA13F" w14:textId="62C0E831">
            <w:pPr>
              <w:spacing w:before="0" w:beforeAutospacing="off" w:after="160" w:afterAutospacing="off" w:line="276" w:lineRule="auto"/>
            </w:pPr>
            <w:r w:rsidRPr="63874D20" w:rsidR="63874D20">
              <w:rPr>
                <w:rFonts w:ascii="Calibri" w:hAnsi="Calibri" w:eastAsia="Calibri" w:cs="Calibri"/>
                <w:sz w:val="22"/>
                <w:szCs w:val="22"/>
              </w:rPr>
              <w:t>1</w:t>
            </w:r>
          </w:p>
        </w:tc>
      </w:tr>
      <w:tr w:rsidR="63874D20" w:rsidTr="63874D20" w14:paraId="0FEA6D4E">
        <w:trPr>
          <w:trHeight w:val="300"/>
        </w:trPr>
        <w:tc>
          <w:tcPr>
            <w:tcW w:w="4285" w:type="dxa"/>
            <w:tcBorders>
              <w:top w:val="single" w:color="156082" w:sz="8"/>
              <w:left w:val="single" w:color="156082" w:sz="8"/>
              <w:bottom w:val="single" w:color="156082" w:sz="8"/>
              <w:right w:val="single" w:color="156082" w:sz="8"/>
            </w:tcBorders>
            <w:tcMar/>
            <w:vAlign w:val="bottom"/>
          </w:tcPr>
          <w:p w:rsidR="63874D20" w:rsidP="63874D20" w:rsidRDefault="63874D20" w14:paraId="19753C28" w14:textId="541EC87E">
            <w:pPr>
              <w:spacing w:before="0" w:beforeAutospacing="off" w:after="160" w:afterAutospacing="off" w:line="276" w:lineRule="auto"/>
            </w:pPr>
            <w:r w:rsidRPr="63874D20" w:rsidR="63874D20">
              <w:rPr>
                <w:rFonts w:ascii="Calibri" w:hAnsi="Calibri" w:eastAsia="Calibri" w:cs="Calibri"/>
                <w:b w:val="1"/>
                <w:bCs w:val="1"/>
                <w:sz w:val="22"/>
                <w:szCs w:val="22"/>
              </w:rPr>
              <w:t>Hold</w:t>
            </w:r>
          </w:p>
        </w:tc>
        <w:tc>
          <w:tcPr>
            <w:tcW w:w="4775" w:type="dxa"/>
            <w:tcBorders>
              <w:top w:val="single" w:color="156082" w:sz="8"/>
              <w:left w:val="single" w:color="156082" w:sz="8"/>
              <w:bottom w:val="single" w:color="156082" w:sz="8"/>
              <w:right w:val="single" w:color="156082" w:sz="8"/>
            </w:tcBorders>
            <w:tcMar/>
            <w:vAlign w:val="bottom"/>
          </w:tcPr>
          <w:p w:rsidR="63874D20" w:rsidP="63874D20" w:rsidRDefault="63874D20" w14:paraId="4864BD9B" w14:textId="02E681BB">
            <w:pPr>
              <w:spacing w:before="0" w:beforeAutospacing="off" w:after="160" w:afterAutospacing="off" w:line="276" w:lineRule="auto"/>
            </w:pPr>
            <w:r w:rsidRPr="63874D20" w:rsidR="63874D20">
              <w:rPr>
                <w:rFonts w:ascii="Calibri" w:hAnsi="Calibri" w:eastAsia="Calibri" w:cs="Calibri"/>
                <w:sz w:val="22"/>
                <w:szCs w:val="22"/>
              </w:rPr>
              <w:t>18</w:t>
            </w:r>
          </w:p>
        </w:tc>
      </w:tr>
      <w:tr w:rsidR="63874D20" w:rsidTr="63874D20" w14:paraId="3E37AAAD">
        <w:trPr>
          <w:trHeight w:val="300"/>
        </w:trPr>
        <w:tc>
          <w:tcPr>
            <w:tcW w:w="4285" w:type="dxa"/>
            <w:tcBorders>
              <w:top w:val="single" w:color="156082" w:sz="8"/>
              <w:left w:val="single" w:color="156082" w:sz="8"/>
              <w:bottom w:val="single" w:color="156082" w:sz="8"/>
              <w:right w:val="single" w:color="156082" w:sz="8"/>
            </w:tcBorders>
            <w:tcMar/>
            <w:vAlign w:val="bottom"/>
          </w:tcPr>
          <w:p w:rsidR="63874D20" w:rsidP="63874D20" w:rsidRDefault="63874D20" w14:paraId="3269282D" w14:textId="7F2074AD">
            <w:pPr>
              <w:spacing w:before="0" w:beforeAutospacing="off" w:after="160" w:afterAutospacing="off" w:line="276" w:lineRule="auto"/>
            </w:pPr>
            <w:r w:rsidRPr="63874D20" w:rsidR="63874D20">
              <w:rPr>
                <w:rFonts w:ascii="Calibri" w:hAnsi="Calibri" w:eastAsia="Calibri" w:cs="Calibri"/>
                <w:b w:val="1"/>
                <w:bCs w:val="1"/>
                <w:sz w:val="22"/>
                <w:szCs w:val="22"/>
              </w:rPr>
              <w:t>Buy</w:t>
            </w:r>
          </w:p>
        </w:tc>
        <w:tc>
          <w:tcPr>
            <w:tcW w:w="4775" w:type="dxa"/>
            <w:tcBorders>
              <w:top w:val="single" w:color="156082" w:sz="8"/>
              <w:left w:val="single" w:color="156082" w:sz="8"/>
              <w:bottom w:val="single" w:color="156082" w:sz="8"/>
              <w:right w:val="single" w:color="156082" w:sz="8"/>
            </w:tcBorders>
            <w:tcMar/>
            <w:vAlign w:val="bottom"/>
          </w:tcPr>
          <w:p w:rsidR="63874D20" w:rsidP="63874D20" w:rsidRDefault="63874D20" w14:paraId="2A6D88F2" w14:textId="54CE8FD4">
            <w:pPr>
              <w:spacing w:before="0" w:beforeAutospacing="off" w:after="160" w:afterAutospacing="off" w:line="276" w:lineRule="auto"/>
            </w:pPr>
            <w:r w:rsidRPr="63874D20" w:rsidR="63874D20">
              <w:rPr>
                <w:rFonts w:ascii="Calibri" w:hAnsi="Calibri" w:eastAsia="Calibri" w:cs="Calibri"/>
                <w:sz w:val="22"/>
                <w:szCs w:val="22"/>
              </w:rPr>
              <w:t>7</w:t>
            </w:r>
          </w:p>
        </w:tc>
      </w:tr>
    </w:tbl>
    <w:p w:rsidR="00B62206" w:rsidP="63874D20" w:rsidRDefault="00B62206" w14:paraId="0481D4A9" w14:textId="332F8CBA">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 xml:space="preserve"> </w:t>
      </w:r>
    </w:p>
    <w:p w:rsidR="00B62206" w:rsidP="63874D20" w:rsidRDefault="00B62206" w14:paraId="0CC6E32E" w14:textId="28A4ABDF">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Consensus Recommendation</w:t>
      </w:r>
    </w:p>
    <w:p w:rsidR="00B62206" w:rsidP="63874D20" w:rsidRDefault="00B62206" w14:paraId="5642F51B" w14:textId="6FA033CC">
      <w:pPr>
        <w:pStyle w:val="Lijstalinea"/>
        <w:numPr>
          <w:ilvl w:val="0"/>
          <w:numId w:val="17"/>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Score</w:t>
      </w:r>
      <w:r w:rsidRPr="63874D20" w:rsidR="63874D20">
        <w:rPr>
          <w:rFonts w:ascii="Calibri" w:hAnsi="Calibri" w:eastAsia="Calibri" w:cs="Calibri"/>
          <w:noProof w:val="0"/>
          <w:sz w:val="22"/>
          <w:szCs w:val="22"/>
          <w:lang w:val="en-GB"/>
        </w:rPr>
        <w:t>: 2.42308 (on a scale from 1 to 5, with 1 being the most bullish)</w:t>
      </w:r>
    </w:p>
    <w:p w:rsidR="00B62206" w:rsidP="63874D20" w:rsidRDefault="00B62206" w14:paraId="487D8F9B" w14:textId="620355C6">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 xml:space="preserve"> </w:t>
      </w:r>
    </w:p>
    <w:p w:rsidR="00B62206" w:rsidP="63874D20" w:rsidRDefault="00B62206" w14:paraId="1BDB0595" w14:textId="47E676B5">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Analysis</w:t>
      </w:r>
    </w:p>
    <w:p w:rsidR="00B62206" w:rsidP="63874D20" w:rsidRDefault="00B62206" w14:paraId="23C483FE" w14:textId="27A34BCF">
      <w:pPr>
        <w:pStyle w:val="Lijstalinea"/>
        <w:numPr>
          <w:ilvl w:val="0"/>
          <w:numId w:val="18"/>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The mean price target for EA is $142.80, with a range from $125.00 to $179.00, indicating a moderate level of confidence among analysts.</w:t>
      </w:r>
    </w:p>
    <w:p w:rsidR="00B62206" w:rsidP="63874D20" w:rsidRDefault="00B62206" w14:paraId="759B7CB2" w14:textId="4188C220">
      <w:pPr>
        <w:pStyle w:val="Lijstalinea"/>
        <w:numPr>
          <w:ilvl w:val="0"/>
          <w:numId w:val="18"/>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The majority of analysts have a "Hold" recommendation, suggesting a neutral outlook on the stock.</w:t>
      </w:r>
    </w:p>
    <w:p w:rsidR="00B62206" w:rsidP="63874D20" w:rsidRDefault="00B62206" w14:paraId="52C6C45F" w14:textId="168AD87E">
      <w:pPr>
        <w:pStyle w:val="Lijstalinea"/>
        <w:numPr>
          <w:ilvl w:val="0"/>
          <w:numId w:val="18"/>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The consensus recommendation score of 2.42308 reflects a slightly positive sentiment, leaning towards a "Buy" recommendation.</w:t>
      </w:r>
    </w:p>
    <w:p w:rsidR="00B62206" w:rsidP="63874D20" w:rsidRDefault="00B62206" w14:paraId="516C10CA" w14:textId="3C5F732A">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3E2E785C" w14:textId="576777BA">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65E6A219" w14:textId="159413F9">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0181D570" w14:textId="0E81CF79">
      <w:pPr>
        <w:spacing w:before="0" w:beforeAutospacing="off" w:after="160" w:afterAutospacing="off" w:line="276" w:lineRule="auto"/>
      </w:pPr>
      <w:r w:rsidRPr="63874D20" w:rsidR="63874D20">
        <w:rPr>
          <w:rFonts w:ascii="Calibri" w:hAnsi="Calibri" w:eastAsia="Calibri" w:cs="Calibri"/>
          <w:noProof w:val="0"/>
          <w:sz w:val="22"/>
          <w:szCs w:val="22"/>
          <w:lang w:val="en-GB"/>
        </w:rPr>
        <w:t xml:space="preserve"> </w:t>
      </w:r>
    </w:p>
    <w:p w:rsidR="00B62206" w:rsidP="63874D20" w:rsidRDefault="00B62206" w14:paraId="2AC9FD36" w14:textId="28498E5B">
      <w:pPr>
        <w:spacing w:before="0" w:beforeAutospacing="off" w:after="160" w:afterAutospacing="off" w:line="276" w:lineRule="auto"/>
        <w:rPr>
          <w:rFonts w:ascii="Calibri" w:hAnsi="Calibri" w:eastAsia="Calibri" w:cs="Calibri"/>
          <w:b w:val="1"/>
          <w:bCs w:val="1"/>
          <w:noProof w:val="0"/>
          <w:sz w:val="22"/>
          <w:szCs w:val="22"/>
          <w:lang w:val="en-GB"/>
        </w:rPr>
      </w:pPr>
    </w:p>
    <w:p w:rsidR="00B62206" w:rsidP="63874D20" w:rsidRDefault="00B62206" w14:paraId="3428F131" w14:textId="69C92638">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Investment Analysis for Electronic Arts (EA)</w:t>
      </w:r>
    </w:p>
    <w:p w:rsidR="00B62206" w:rsidP="63874D20" w:rsidRDefault="00B62206" w14:paraId="238ACB9F" w14:textId="0829383D">
      <w:pPr>
        <w:spacing w:before="0" w:beforeAutospacing="off" w:after="160" w:afterAutospacing="off" w:line="276" w:lineRule="auto"/>
      </w:pPr>
      <w:r w:rsidRPr="63874D20" w:rsidR="63874D20">
        <w:rPr>
          <w:rFonts w:ascii="Calibri" w:hAnsi="Calibri" w:eastAsia="Calibri" w:cs="Calibri"/>
          <w:noProof w:val="0"/>
          <w:sz w:val="22"/>
          <w:szCs w:val="22"/>
          <w:lang w:val="en-GB"/>
        </w:rPr>
        <w:t>Based on the provided analysis, here are the key takeaways regarding a potential investment in EA:</w:t>
      </w:r>
    </w:p>
    <w:p w:rsidR="00B62206" w:rsidP="63874D20" w:rsidRDefault="00B62206" w14:paraId="005FEB31" w14:textId="6D016CF9">
      <w:pPr>
        <w:spacing w:before="0" w:beforeAutospacing="off" w:after="160" w:afterAutospacing="off" w:line="276" w:lineRule="auto"/>
      </w:pPr>
      <w:r w:rsidRPr="63874D20" w:rsidR="63874D20">
        <w:rPr>
          <w:rFonts w:ascii="Segoe UI Emoji" w:hAnsi="Segoe UI Emoji" w:eastAsia="Segoe UI Emoji" w:cs="Segoe UI Emoji"/>
          <w:b w:val="1"/>
          <w:bCs w:val="1"/>
          <w:noProof w:val="0"/>
          <w:sz w:val="22"/>
          <w:szCs w:val="22"/>
          <w:lang w:val="en-GB"/>
        </w:rPr>
        <w:t>✅</w:t>
      </w:r>
      <w:r w:rsidRPr="63874D20" w:rsidR="63874D20">
        <w:rPr>
          <w:rFonts w:ascii="Calibri" w:hAnsi="Calibri" w:eastAsia="Calibri" w:cs="Calibri"/>
          <w:b w:val="1"/>
          <w:bCs w:val="1"/>
          <w:noProof w:val="0"/>
          <w:sz w:val="22"/>
          <w:szCs w:val="22"/>
          <w:lang w:val="en-GB"/>
        </w:rPr>
        <w:t xml:space="preserve"> Strengths &amp; Opportunities</w:t>
      </w:r>
    </w:p>
    <w:p w:rsidR="00B62206" w:rsidP="63874D20" w:rsidRDefault="00B62206" w14:paraId="63D6B86F" w14:textId="6F21A67D">
      <w:pPr>
        <w:pStyle w:val="Lijstalinea"/>
        <w:numPr>
          <w:ilvl w:val="0"/>
          <w:numId w:val="19"/>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Strong Brand &amp; Licensing Agreements</w:t>
      </w:r>
    </w:p>
    <w:p w:rsidR="00B62206" w:rsidP="63874D20" w:rsidRDefault="00B62206" w14:paraId="5B7EA989" w14:textId="2189272A">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EA holds exclusive licenses for major franchises like FIFA (now EA Sports FC), Madden NFL, and Star Wars, giving it a competitive edge.</w:t>
      </w:r>
    </w:p>
    <w:p w:rsidR="00B62206" w:rsidP="63874D20" w:rsidRDefault="00B62206" w14:paraId="7AA30B41" w14:textId="4F02479B">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Its diverse game portfolio includes blockbuster franchises like Battlefield, The Sims, and Apex Legends.</w:t>
      </w:r>
    </w:p>
    <w:p w:rsidR="00B62206" w:rsidP="63874D20" w:rsidRDefault="00B62206" w14:paraId="6F4178A4" w14:textId="1E774886">
      <w:pPr>
        <w:pStyle w:val="Lijstalinea"/>
        <w:numPr>
          <w:ilvl w:val="0"/>
          <w:numId w:val="19"/>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High-Profit Margins &amp; Digital Revenue Focus</w:t>
      </w:r>
    </w:p>
    <w:p w:rsidR="00B62206" w:rsidP="63874D20" w:rsidRDefault="00B62206" w14:paraId="206CDFD9" w14:textId="5ED6019A">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Gross profit margin of </w:t>
      </w:r>
      <w:r w:rsidRPr="63874D20" w:rsidR="63874D20">
        <w:rPr>
          <w:rFonts w:ascii="Calibri" w:hAnsi="Calibri" w:eastAsia="Calibri" w:cs="Calibri"/>
          <w:b w:val="1"/>
          <w:bCs w:val="1"/>
          <w:noProof w:val="0"/>
          <w:sz w:val="22"/>
          <w:szCs w:val="22"/>
          <w:lang w:val="en-GB"/>
        </w:rPr>
        <w:t>79.4%</w:t>
      </w:r>
      <w:r w:rsidRPr="63874D20" w:rsidR="63874D20">
        <w:rPr>
          <w:rFonts w:ascii="Calibri" w:hAnsi="Calibri" w:eastAsia="Calibri" w:cs="Calibri"/>
          <w:noProof w:val="0"/>
          <w:sz w:val="22"/>
          <w:szCs w:val="22"/>
          <w:lang w:val="en-GB"/>
        </w:rPr>
        <w:t xml:space="preserve"> and an operating margin of </w:t>
      </w:r>
      <w:r w:rsidRPr="63874D20" w:rsidR="63874D20">
        <w:rPr>
          <w:rFonts w:ascii="Calibri" w:hAnsi="Calibri" w:eastAsia="Calibri" w:cs="Calibri"/>
          <w:b w:val="1"/>
          <w:bCs w:val="1"/>
          <w:noProof w:val="0"/>
          <w:sz w:val="22"/>
          <w:szCs w:val="22"/>
          <w:lang w:val="en-GB"/>
        </w:rPr>
        <w:t>21.0%</w:t>
      </w:r>
      <w:r w:rsidRPr="63874D20" w:rsidR="63874D20">
        <w:rPr>
          <w:rFonts w:ascii="Calibri" w:hAnsi="Calibri" w:eastAsia="Calibri" w:cs="Calibri"/>
          <w:noProof w:val="0"/>
          <w:sz w:val="22"/>
          <w:szCs w:val="22"/>
          <w:lang w:val="en-GB"/>
        </w:rPr>
        <w:t xml:space="preserve"> indicate strong profitability.</w:t>
      </w:r>
    </w:p>
    <w:p w:rsidR="00B62206" w:rsidP="63874D20" w:rsidRDefault="00B62206" w14:paraId="689E74F4" w14:textId="0CFA991C">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73.4% of revenue comes from live services</w:t>
      </w:r>
      <w:r w:rsidRPr="63874D20" w:rsidR="63874D20">
        <w:rPr>
          <w:rFonts w:ascii="Calibri" w:hAnsi="Calibri" w:eastAsia="Calibri" w:cs="Calibri"/>
          <w:noProof w:val="0"/>
          <w:sz w:val="22"/>
          <w:szCs w:val="22"/>
          <w:lang w:val="en-GB"/>
        </w:rPr>
        <w:t>, reducing dependence on one-time game sales.</w:t>
      </w:r>
    </w:p>
    <w:p w:rsidR="00B62206" w:rsidP="63874D20" w:rsidRDefault="00B62206" w14:paraId="2EEC77BF" w14:textId="57CE38C4">
      <w:pPr>
        <w:pStyle w:val="Lijstalinea"/>
        <w:numPr>
          <w:ilvl w:val="0"/>
          <w:numId w:val="19"/>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Stable Financial Position &amp; Shareholder Support</w:t>
      </w:r>
    </w:p>
    <w:p w:rsidR="00B62206" w:rsidP="63874D20" w:rsidRDefault="00B62206" w14:paraId="6FF179CA" w14:textId="48C9376E">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Backed by major institutional investors like </w:t>
      </w:r>
      <w:r w:rsidRPr="63874D20" w:rsidR="63874D20">
        <w:rPr>
          <w:rFonts w:ascii="Calibri" w:hAnsi="Calibri" w:eastAsia="Calibri" w:cs="Calibri"/>
          <w:b w:val="1"/>
          <w:bCs w:val="1"/>
          <w:noProof w:val="0"/>
          <w:sz w:val="22"/>
          <w:szCs w:val="22"/>
          <w:lang w:val="en-GB"/>
        </w:rPr>
        <w:t>BlackRock (11.4%)</w:t>
      </w:r>
      <w:r w:rsidRPr="63874D20" w:rsidR="63874D20">
        <w:rPr>
          <w:rFonts w:ascii="Calibri" w:hAnsi="Calibri" w:eastAsia="Calibri" w:cs="Calibri"/>
          <w:noProof w:val="0"/>
          <w:sz w:val="22"/>
          <w:szCs w:val="22"/>
          <w:lang w:val="en-GB"/>
        </w:rPr>
        <w:t xml:space="preserve"> and </w:t>
      </w:r>
      <w:r w:rsidRPr="63874D20" w:rsidR="63874D20">
        <w:rPr>
          <w:rFonts w:ascii="Calibri" w:hAnsi="Calibri" w:eastAsia="Calibri" w:cs="Calibri"/>
          <w:b w:val="1"/>
          <w:bCs w:val="1"/>
          <w:noProof w:val="0"/>
          <w:sz w:val="22"/>
          <w:szCs w:val="22"/>
          <w:lang w:val="en-GB"/>
        </w:rPr>
        <w:t>The Vanguard Group (11.1%)</w:t>
      </w:r>
      <w:r w:rsidRPr="63874D20" w:rsidR="63874D20">
        <w:rPr>
          <w:rFonts w:ascii="Calibri" w:hAnsi="Calibri" w:eastAsia="Calibri" w:cs="Calibri"/>
          <w:noProof w:val="0"/>
          <w:sz w:val="22"/>
          <w:szCs w:val="22"/>
          <w:lang w:val="en-GB"/>
        </w:rPr>
        <w:t>.</w:t>
      </w:r>
    </w:p>
    <w:p w:rsidR="00B62206" w:rsidP="63874D20" w:rsidRDefault="00B62206" w14:paraId="4DD55CF8" w14:textId="0D59899D">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Strong balance sheet with a digital-first business model that limits physical inventory costs.</w:t>
      </w:r>
    </w:p>
    <w:p w:rsidR="00B62206" w:rsidP="63874D20" w:rsidRDefault="00B62206" w14:paraId="64DE9631" w14:textId="560D5F00">
      <w:pPr>
        <w:pStyle w:val="Lijstalinea"/>
        <w:numPr>
          <w:ilvl w:val="0"/>
          <w:numId w:val="19"/>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Expansion Potential</w:t>
      </w:r>
    </w:p>
    <w:p w:rsidR="00B62206" w:rsidP="63874D20" w:rsidRDefault="00B62206" w14:paraId="35130523" w14:textId="2E36BC8D">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Growth opportunities in mobile gaming and live services.</w:t>
      </w:r>
    </w:p>
    <w:p w:rsidR="00B62206" w:rsidP="63874D20" w:rsidRDefault="00B62206" w14:paraId="2A4CA279" w14:textId="706B345B">
      <w:pPr>
        <w:pStyle w:val="Lijstalinea"/>
        <w:numPr>
          <w:ilvl w:val="1"/>
          <w:numId w:val="19"/>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Potential for further penetration into esports and gaming-as-a-service models.</w:t>
      </w:r>
    </w:p>
    <w:p w:rsidR="00B62206" w:rsidP="63874D20" w:rsidRDefault="00B62206" w14:paraId="70FD5E9C" w14:textId="3E960ABB">
      <w:pPr>
        <w:spacing w:before="0" w:beforeAutospacing="off" w:after="160" w:afterAutospacing="off" w:line="276" w:lineRule="auto"/>
      </w:pPr>
      <w:r w:rsidRPr="63874D20" w:rsidR="63874D20">
        <w:rPr>
          <w:rFonts w:ascii="Segoe UI Emoji" w:hAnsi="Segoe UI Emoji" w:eastAsia="Segoe UI Emoji" w:cs="Segoe UI Emoji"/>
          <w:b w:val="1"/>
          <w:bCs w:val="1"/>
          <w:noProof w:val="0"/>
          <w:sz w:val="22"/>
          <w:szCs w:val="22"/>
          <w:lang w:val="en-GB"/>
        </w:rPr>
        <w:t>⚠️</w:t>
      </w:r>
      <w:r w:rsidRPr="63874D20" w:rsidR="63874D20">
        <w:rPr>
          <w:rFonts w:ascii="Calibri" w:hAnsi="Calibri" w:eastAsia="Calibri" w:cs="Calibri"/>
          <w:b w:val="1"/>
          <w:bCs w:val="1"/>
          <w:noProof w:val="0"/>
          <w:sz w:val="22"/>
          <w:szCs w:val="22"/>
          <w:lang w:val="en-GB"/>
        </w:rPr>
        <w:t xml:space="preserve"> Weaknesses &amp; Risks</w:t>
      </w:r>
    </w:p>
    <w:p w:rsidR="00B62206" w:rsidP="63874D20" w:rsidRDefault="00B62206" w14:paraId="5931FD2F" w14:textId="0BB2783F">
      <w:pPr>
        <w:pStyle w:val="Lijstalinea"/>
        <w:numPr>
          <w:ilvl w:val="0"/>
          <w:numId w:val="20"/>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Slower Growth Compared to Competitors</w:t>
      </w:r>
    </w:p>
    <w:p w:rsidR="00B62206" w:rsidP="63874D20" w:rsidRDefault="00B62206" w14:paraId="28E98D4F" w14:textId="71246C49">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EA’s </w:t>
      </w:r>
      <w:r w:rsidRPr="63874D20" w:rsidR="63874D20">
        <w:rPr>
          <w:rFonts w:ascii="Calibri" w:hAnsi="Calibri" w:eastAsia="Calibri" w:cs="Calibri"/>
          <w:b w:val="1"/>
          <w:bCs w:val="1"/>
          <w:noProof w:val="0"/>
          <w:sz w:val="22"/>
          <w:szCs w:val="22"/>
          <w:lang w:val="en-GB"/>
        </w:rPr>
        <w:t>3-year CAGR (4.1%)</w:t>
      </w:r>
      <w:r w:rsidRPr="63874D20" w:rsidR="63874D20">
        <w:rPr>
          <w:rFonts w:ascii="Calibri" w:hAnsi="Calibri" w:eastAsia="Calibri" w:cs="Calibri"/>
          <w:noProof w:val="0"/>
          <w:sz w:val="22"/>
          <w:szCs w:val="22"/>
          <w:lang w:val="en-GB"/>
        </w:rPr>
        <w:t xml:space="preserve"> and </w:t>
      </w:r>
      <w:r w:rsidRPr="63874D20" w:rsidR="63874D20">
        <w:rPr>
          <w:rFonts w:ascii="Calibri" w:hAnsi="Calibri" w:eastAsia="Calibri" w:cs="Calibri"/>
          <w:b w:val="1"/>
          <w:bCs w:val="1"/>
          <w:noProof w:val="0"/>
          <w:sz w:val="22"/>
          <w:szCs w:val="22"/>
          <w:lang w:val="en-GB"/>
        </w:rPr>
        <w:t>5-year CAGR (6.4%)</w:t>
      </w:r>
      <w:r w:rsidRPr="63874D20" w:rsidR="63874D20">
        <w:rPr>
          <w:rFonts w:ascii="Calibri" w:hAnsi="Calibri" w:eastAsia="Calibri" w:cs="Calibri"/>
          <w:noProof w:val="0"/>
          <w:sz w:val="22"/>
          <w:szCs w:val="22"/>
          <w:lang w:val="en-GB"/>
        </w:rPr>
        <w:t xml:space="preserve"> are lower than competitors like </w:t>
      </w:r>
      <w:r w:rsidRPr="63874D20" w:rsidR="63874D20">
        <w:rPr>
          <w:rFonts w:ascii="Calibri" w:hAnsi="Calibri" w:eastAsia="Calibri" w:cs="Calibri"/>
          <w:b w:val="1"/>
          <w:bCs w:val="1"/>
          <w:noProof w:val="0"/>
          <w:sz w:val="22"/>
          <w:szCs w:val="22"/>
          <w:lang w:val="en-GB"/>
        </w:rPr>
        <w:t>Roblox and Take-Two Interactive</w:t>
      </w:r>
      <w:r w:rsidRPr="63874D20" w:rsidR="63874D20">
        <w:rPr>
          <w:rFonts w:ascii="Calibri" w:hAnsi="Calibri" w:eastAsia="Calibri" w:cs="Calibri"/>
          <w:noProof w:val="0"/>
          <w:sz w:val="22"/>
          <w:szCs w:val="22"/>
          <w:lang w:val="en-GB"/>
        </w:rPr>
        <w:t>.</w:t>
      </w:r>
    </w:p>
    <w:p w:rsidR="00B62206" w:rsidP="63874D20" w:rsidRDefault="00B62206" w14:paraId="024BA208" w14:textId="74DB6ADA">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Negative </w:t>
      </w:r>
      <w:r w:rsidRPr="63874D20" w:rsidR="63874D20">
        <w:rPr>
          <w:rFonts w:ascii="Calibri" w:hAnsi="Calibri" w:eastAsia="Calibri" w:cs="Calibri"/>
          <w:b w:val="1"/>
          <w:bCs w:val="1"/>
          <w:noProof w:val="0"/>
          <w:sz w:val="22"/>
          <w:szCs w:val="22"/>
          <w:lang w:val="en-GB"/>
        </w:rPr>
        <w:t>5-year CAGR for diluted EPS</w:t>
      </w:r>
      <w:r w:rsidRPr="63874D20" w:rsidR="63874D20">
        <w:rPr>
          <w:rFonts w:ascii="Calibri" w:hAnsi="Calibri" w:eastAsia="Calibri" w:cs="Calibri"/>
          <w:noProof w:val="0"/>
          <w:sz w:val="22"/>
          <w:szCs w:val="22"/>
          <w:lang w:val="en-GB"/>
        </w:rPr>
        <w:t>, indicating potential struggles in maintaining long-term earnings growth.</w:t>
      </w:r>
    </w:p>
    <w:p w:rsidR="00B62206" w:rsidP="63874D20" w:rsidRDefault="00B62206" w14:paraId="30788D8B" w14:textId="3CEE022B">
      <w:pPr>
        <w:pStyle w:val="Lijstalinea"/>
        <w:numPr>
          <w:ilvl w:val="0"/>
          <w:numId w:val="20"/>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Dependence on Key Franchises</w:t>
      </w:r>
    </w:p>
    <w:p w:rsidR="00B62206" w:rsidP="63874D20" w:rsidRDefault="00B62206" w14:paraId="09BCF012" w14:textId="3FC7A5E9">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FIFA/EA Sports FC and Madden NFL account for a significant portion of revenue.</w:t>
      </w:r>
    </w:p>
    <w:p w:rsidR="00B62206" w:rsidP="63874D20" w:rsidRDefault="00B62206" w14:paraId="18E224FF" w14:textId="79D9ABA9">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Any failure to renew or optimize these franchises could impact financials.</w:t>
      </w:r>
    </w:p>
    <w:p w:rsidR="00B62206" w:rsidP="63874D20" w:rsidRDefault="00B62206" w14:paraId="294688AC" w14:textId="7F8D25A5">
      <w:pPr>
        <w:pStyle w:val="Lijstalinea"/>
        <w:numPr>
          <w:ilvl w:val="0"/>
          <w:numId w:val="20"/>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Regulatory &amp; Competitive Risks</w:t>
      </w:r>
    </w:p>
    <w:p w:rsidR="00B62206" w:rsidP="63874D20" w:rsidRDefault="00B62206" w14:paraId="0FB6FCDF" w14:textId="219D699F">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Potential legal challenges regarding </w:t>
      </w:r>
      <w:r w:rsidRPr="63874D20" w:rsidR="63874D20">
        <w:rPr>
          <w:rFonts w:ascii="Calibri" w:hAnsi="Calibri" w:eastAsia="Calibri" w:cs="Calibri"/>
          <w:b w:val="1"/>
          <w:bCs w:val="1"/>
          <w:noProof w:val="0"/>
          <w:sz w:val="22"/>
          <w:szCs w:val="22"/>
          <w:lang w:val="en-GB"/>
        </w:rPr>
        <w:t>loot boxes and microtransactions</w:t>
      </w:r>
      <w:r w:rsidRPr="63874D20" w:rsidR="63874D20">
        <w:rPr>
          <w:rFonts w:ascii="Calibri" w:hAnsi="Calibri" w:eastAsia="Calibri" w:cs="Calibri"/>
          <w:noProof w:val="0"/>
          <w:sz w:val="22"/>
          <w:szCs w:val="22"/>
          <w:lang w:val="en-GB"/>
        </w:rPr>
        <w:t xml:space="preserve"> in key markets.</w:t>
      </w:r>
    </w:p>
    <w:p w:rsidR="00B62206" w:rsidP="63874D20" w:rsidRDefault="00B62206" w14:paraId="0095E738" w14:textId="4B1D4CFB">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Intense competition from </w:t>
      </w:r>
      <w:r w:rsidRPr="63874D20" w:rsidR="63874D20">
        <w:rPr>
          <w:rFonts w:ascii="Calibri" w:hAnsi="Calibri" w:eastAsia="Calibri" w:cs="Calibri"/>
          <w:b w:val="1"/>
          <w:bCs w:val="1"/>
          <w:noProof w:val="0"/>
          <w:sz w:val="22"/>
          <w:szCs w:val="22"/>
          <w:lang w:val="en-GB"/>
        </w:rPr>
        <w:t>Netflix, Disney, and other entertainment giants</w:t>
      </w:r>
      <w:r w:rsidRPr="63874D20" w:rsidR="63874D20">
        <w:rPr>
          <w:rFonts w:ascii="Calibri" w:hAnsi="Calibri" w:eastAsia="Calibri" w:cs="Calibri"/>
          <w:noProof w:val="0"/>
          <w:sz w:val="22"/>
          <w:szCs w:val="22"/>
          <w:lang w:val="en-GB"/>
        </w:rPr>
        <w:t xml:space="preserve"> expanding into gaming.</w:t>
      </w:r>
    </w:p>
    <w:p w:rsidR="00B62206" w:rsidP="63874D20" w:rsidRDefault="00B62206" w14:paraId="4D9F82E0" w14:textId="00FE0AF8">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12AE6E18" w14:textId="5313F47D">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2782E165" w14:textId="753311EF">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0DD7DE34" w14:textId="5903D251">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55A1B32B" w14:textId="6B54DE21">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17FDD27B" w14:textId="48A602F9">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39B8E22A" w14:textId="6BDD77B8">
      <w:pPr>
        <w:pStyle w:val="Standaard"/>
        <w:spacing w:before="0" w:beforeAutospacing="off" w:after="0" w:afterAutospacing="off" w:line="276" w:lineRule="auto"/>
        <w:rPr>
          <w:rFonts w:ascii="Calibri" w:hAnsi="Calibri" w:eastAsia="Calibri" w:cs="Calibri"/>
          <w:noProof w:val="0"/>
          <w:sz w:val="22"/>
          <w:szCs w:val="22"/>
          <w:lang w:val="en-GB"/>
        </w:rPr>
      </w:pPr>
    </w:p>
    <w:p w:rsidR="00B62206" w:rsidP="63874D20" w:rsidRDefault="00B62206" w14:paraId="3823F9C3" w14:textId="7C7050F3">
      <w:pPr>
        <w:pStyle w:val="Lijstalinea"/>
        <w:numPr>
          <w:ilvl w:val="0"/>
          <w:numId w:val="20"/>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Calibri" w:hAnsi="Calibri" w:eastAsia="Calibri" w:cs="Calibri"/>
          <w:b w:val="1"/>
          <w:bCs w:val="1"/>
          <w:noProof w:val="0"/>
          <w:sz w:val="22"/>
          <w:szCs w:val="22"/>
          <w:lang w:val="en-GB"/>
        </w:rPr>
        <w:t>Valuation Risks</w:t>
      </w:r>
    </w:p>
    <w:p w:rsidR="00B62206" w:rsidP="63874D20" w:rsidRDefault="00B62206" w14:paraId="174E8182" w14:textId="75549127">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P/E Ratio of 32.9</w:t>
      </w:r>
      <w:r w:rsidRPr="63874D20" w:rsidR="63874D20">
        <w:rPr>
          <w:rFonts w:ascii="Calibri" w:hAnsi="Calibri" w:eastAsia="Calibri" w:cs="Calibri"/>
          <w:noProof w:val="0"/>
          <w:sz w:val="22"/>
          <w:szCs w:val="22"/>
          <w:lang w:val="en-GB"/>
        </w:rPr>
        <w:t xml:space="preserve"> and </w:t>
      </w:r>
      <w:r w:rsidRPr="63874D20" w:rsidR="63874D20">
        <w:rPr>
          <w:rFonts w:ascii="Calibri" w:hAnsi="Calibri" w:eastAsia="Calibri" w:cs="Calibri"/>
          <w:b w:val="1"/>
          <w:bCs w:val="1"/>
          <w:noProof w:val="0"/>
          <w:sz w:val="22"/>
          <w:szCs w:val="22"/>
          <w:lang w:val="en-GB"/>
        </w:rPr>
        <w:t>EV/EBITDA of 17.3</w:t>
      </w:r>
      <w:r w:rsidRPr="63874D20" w:rsidR="63874D20">
        <w:rPr>
          <w:rFonts w:ascii="Calibri" w:hAnsi="Calibri" w:eastAsia="Calibri" w:cs="Calibri"/>
          <w:noProof w:val="0"/>
          <w:sz w:val="22"/>
          <w:szCs w:val="22"/>
          <w:lang w:val="en-GB"/>
        </w:rPr>
        <w:t xml:space="preserve"> suggest EA is </w:t>
      </w:r>
      <w:r w:rsidRPr="63874D20" w:rsidR="63874D20">
        <w:rPr>
          <w:rFonts w:ascii="Calibri" w:hAnsi="Calibri" w:eastAsia="Calibri" w:cs="Calibri"/>
          <w:b w:val="1"/>
          <w:bCs w:val="1"/>
          <w:noProof w:val="0"/>
          <w:sz w:val="22"/>
          <w:szCs w:val="22"/>
          <w:lang w:val="en-GB"/>
        </w:rPr>
        <w:t>not cheap</w:t>
      </w:r>
      <w:r w:rsidRPr="63874D20" w:rsidR="63874D20">
        <w:rPr>
          <w:rFonts w:ascii="Calibri" w:hAnsi="Calibri" w:eastAsia="Calibri" w:cs="Calibri"/>
          <w:noProof w:val="0"/>
          <w:sz w:val="22"/>
          <w:szCs w:val="22"/>
          <w:lang w:val="en-GB"/>
        </w:rPr>
        <w:t xml:space="preserve"> but is fairly valued within the entertainment sector.</w:t>
      </w:r>
    </w:p>
    <w:p w:rsidR="00B62206" w:rsidP="63874D20" w:rsidRDefault="00B62206" w14:paraId="79571A97" w14:textId="74C86DCC">
      <w:pPr>
        <w:pStyle w:val="Lijstalinea"/>
        <w:numPr>
          <w:ilvl w:val="1"/>
          <w:numId w:val="20"/>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Forward P/E of 18.6</w:t>
      </w:r>
      <w:r w:rsidRPr="63874D20" w:rsidR="63874D20">
        <w:rPr>
          <w:rFonts w:ascii="Calibri" w:hAnsi="Calibri" w:eastAsia="Calibri" w:cs="Calibri"/>
          <w:noProof w:val="0"/>
          <w:sz w:val="22"/>
          <w:szCs w:val="22"/>
          <w:lang w:val="en-GB"/>
        </w:rPr>
        <w:t xml:space="preserve"> makes it relatively attractive compared to Netflix but less so than traditional gaming companies.</w:t>
      </w:r>
    </w:p>
    <w:p w:rsidR="00B62206" w:rsidP="63874D20" w:rsidRDefault="00B62206" w14:paraId="4A3CB929" w14:textId="02D85B79">
      <w:pPr>
        <w:spacing w:before="0" w:beforeAutospacing="off" w:after="160" w:afterAutospacing="off" w:line="276" w:lineRule="auto"/>
        <w:jc w:val="center"/>
      </w:pPr>
    </w:p>
    <w:p w:rsidR="00B62206" w:rsidP="63874D20" w:rsidRDefault="00B62206" w14:paraId="3900DF13" w14:textId="7861BE72">
      <w:pPr>
        <w:spacing w:before="0" w:beforeAutospacing="off" w:after="160" w:afterAutospacing="off" w:line="276" w:lineRule="auto"/>
      </w:pPr>
      <w:r w:rsidRPr="63874D20" w:rsidR="63874D20">
        <w:rPr>
          <w:rFonts w:ascii="Calibri" w:hAnsi="Calibri" w:eastAsia="Calibri" w:cs="Calibri"/>
          <w:b w:val="1"/>
          <w:bCs w:val="1"/>
          <w:noProof w:val="0"/>
          <w:sz w:val="22"/>
          <w:szCs w:val="22"/>
          <w:lang w:val="en-GB"/>
        </w:rPr>
        <w:t>Investment Verdict: Buy, Hold, or Avoid?</w:t>
      </w:r>
    </w:p>
    <w:p w:rsidR="00B62206" w:rsidP="63874D20" w:rsidRDefault="00B62206" w14:paraId="30B12F77" w14:textId="73338F32">
      <w:pPr>
        <w:pStyle w:val="Lijstalinea"/>
        <w:numPr>
          <w:ilvl w:val="0"/>
          <w:numId w:val="2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Segoe UI Emoji" w:hAnsi="Segoe UI Emoji" w:eastAsia="Segoe UI Emoji" w:cs="Segoe UI Emoji"/>
          <w:b w:val="1"/>
          <w:bCs w:val="1"/>
          <w:noProof w:val="0"/>
          <w:sz w:val="22"/>
          <w:szCs w:val="22"/>
          <w:lang w:val="en-GB"/>
        </w:rPr>
        <w:t>✅</w:t>
      </w:r>
      <w:r w:rsidRPr="63874D20" w:rsidR="63874D20">
        <w:rPr>
          <w:rFonts w:ascii="Calibri" w:hAnsi="Calibri" w:eastAsia="Calibri" w:cs="Calibri"/>
          <w:b w:val="1"/>
          <w:bCs w:val="1"/>
          <w:noProof w:val="0"/>
          <w:sz w:val="22"/>
          <w:szCs w:val="22"/>
          <w:lang w:val="en-GB"/>
        </w:rPr>
        <w:t xml:space="preserve"> Attractive for long-term investors</w:t>
      </w:r>
      <w:r w:rsidRPr="63874D20" w:rsidR="63874D20">
        <w:rPr>
          <w:rFonts w:ascii="Calibri" w:hAnsi="Calibri" w:eastAsia="Calibri" w:cs="Calibri"/>
          <w:noProof w:val="0"/>
          <w:sz w:val="22"/>
          <w:szCs w:val="22"/>
          <w:lang w:val="en-GB"/>
        </w:rPr>
        <w:t xml:space="preserve"> who believe in the continued growth of digital gaming and EA’s shift toward live services.</w:t>
      </w:r>
    </w:p>
    <w:p w:rsidR="00B62206" w:rsidP="63874D20" w:rsidRDefault="00B62206" w14:paraId="04BE7D98" w14:textId="33C83865">
      <w:pPr>
        <w:pStyle w:val="Lijstalinea"/>
        <w:numPr>
          <w:ilvl w:val="0"/>
          <w:numId w:val="2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Segoe UI Emoji" w:hAnsi="Segoe UI Emoji" w:eastAsia="Segoe UI Emoji" w:cs="Segoe UI Emoji"/>
          <w:b w:val="1"/>
          <w:bCs w:val="1"/>
          <w:noProof w:val="0"/>
          <w:sz w:val="22"/>
          <w:szCs w:val="22"/>
          <w:lang w:val="en-GB"/>
        </w:rPr>
        <w:t>⚠️</w:t>
      </w:r>
      <w:r w:rsidRPr="63874D20" w:rsidR="63874D20">
        <w:rPr>
          <w:rFonts w:ascii="Calibri" w:hAnsi="Calibri" w:eastAsia="Calibri" w:cs="Calibri"/>
          <w:b w:val="1"/>
          <w:bCs w:val="1"/>
          <w:noProof w:val="0"/>
          <w:sz w:val="22"/>
          <w:szCs w:val="22"/>
          <w:lang w:val="en-GB"/>
        </w:rPr>
        <w:t xml:space="preserve"> Fair valuation but not a deep-value stock</w:t>
      </w:r>
      <w:r w:rsidRPr="63874D20" w:rsidR="63874D20">
        <w:rPr>
          <w:rFonts w:ascii="Calibri" w:hAnsi="Calibri" w:eastAsia="Calibri" w:cs="Calibri"/>
          <w:noProof w:val="0"/>
          <w:sz w:val="22"/>
          <w:szCs w:val="22"/>
          <w:lang w:val="en-GB"/>
        </w:rPr>
        <w:t>, meaning significant upside will depend on continued revenue growth and profitability improvements.</w:t>
      </w:r>
    </w:p>
    <w:p w:rsidR="00B62206" w:rsidP="63874D20" w:rsidRDefault="00B62206" w14:paraId="68B64345" w14:textId="2CEDCBB6">
      <w:pPr>
        <w:pStyle w:val="Lijstalinea"/>
        <w:numPr>
          <w:ilvl w:val="0"/>
          <w:numId w:val="21"/>
        </w:numPr>
        <w:spacing w:before="0" w:beforeAutospacing="off" w:after="0" w:afterAutospacing="off" w:line="276" w:lineRule="auto"/>
        <w:rPr>
          <w:rFonts w:ascii="Calibri" w:hAnsi="Calibri" w:eastAsia="Calibri" w:cs="Calibri"/>
          <w:b w:val="1"/>
          <w:bCs w:val="1"/>
          <w:noProof w:val="0"/>
          <w:sz w:val="22"/>
          <w:szCs w:val="22"/>
          <w:lang w:val="en-GB"/>
        </w:rPr>
      </w:pPr>
      <w:r w:rsidRPr="63874D20" w:rsidR="63874D20">
        <w:rPr>
          <w:rFonts w:ascii="Segoe UI Emoji" w:hAnsi="Segoe UI Emoji" w:eastAsia="Segoe UI Emoji" w:cs="Segoe UI Emoji"/>
          <w:b w:val="1"/>
          <w:bCs w:val="1"/>
          <w:noProof w:val="0"/>
          <w:sz w:val="22"/>
          <w:szCs w:val="22"/>
          <w:lang w:val="en-GB"/>
        </w:rPr>
        <w:t>🔎</w:t>
      </w:r>
      <w:r w:rsidRPr="63874D20" w:rsidR="63874D20">
        <w:rPr>
          <w:rFonts w:ascii="Calibri" w:hAnsi="Calibri" w:eastAsia="Calibri" w:cs="Calibri"/>
          <w:b w:val="1"/>
          <w:bCs w:val="1"/>
          <w:noProof w:val="0"/>
          <w:sz w:val="22"/>
          <w:szCs w:val="22"/>
          <w:lang w:val="en-GB"/>
        </w:rPr>
        <w:t xml:space="preserve"> Key Watchpoints:</w:t>
      </w:r>
    </w:p>
    <w:p w:rsidR="00B62206" w:rsidP="63874D20" w:rsidRDefault="00B62206" w14:paraId="025A6745" w14:textId="670226D8">
      <w:pPr>
        <w:pStyle w:val="Lijstalinea"/>
        <w:numPr>
          <w:ilvl w:val="1"/>
          <w:numId w:val="2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noProof w:val="0"/>
          <w:sz w:val="22"/>
          <w:szCs w:val="22"/>
          <w:lang w:val="en-GB"/>
        </w:rPr>
        <w:t xml:space="preserve">EA’s ability to </w:t>
      </w:r>
      <w:r w:rsidRPr="63874D20" w:rsidR="63874D20">
        <w:rPr>
          <w:rFonts w:ascii="Calibri" w:hAnsi="Calibri" w:eastAsia="Calibri" w:cs="Calibri"/>
          <w:b w:val="1"/>
          <w:bCs w:val="1"/>
          <w:noProof w:val="0"/>
          <w:sz w:val="22"/>
          <w:szCs w:val="22"/>
          <w:lang w:val="en-GB"/>
        </w:rPr>
        <w:t>innovate and expand beyond core franchises</w:t>
      </w:r>
      <w:r w:rsidRPr="63874D20" w:rsidR="63874D20">
        <w:rPr>
          <w:rFonts w:ascii="Calibri" w:hAnsi="Calibri" w:eastAsia="Calibri" w:cs="Calibri"/>
          <w:noProof w:val="0"/>
          <w:sz w:val="22"/>
          <w:szCs w:val="22"/>
          <w:lang w:val="en-GB"/>
        </w:rPr>
        <w:t>.</w:t>
      </w:r>
    </w:p>
    <w:p w:rsidR="00B62206" w:rsidP="63874D20" w:rsidRDefault="00B62206" w14:paraId="7C0B8A13" w14:textId="2012ADDE">
      <w:pPr>
        <w:pStyle w:val="Lijstalinea"/>
        <w:numPr>
          <w:ilvl w:val="1"/>
          <w:numId w:val="2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Regulatory changes impacting microtransactions</w:t>
      </w:r>
      <w:r w:rsidRPr="63874D20" w:rsidR="63874D20">
        <w:rPr>
          <w:rFonts w:ascii="Calibri" w:hAnsi="Calibri" w:eastAsia="Calibri" w:cs="Calibri"/>
          <w:noProof w:val="0"/>
          <w:sz w:val="22"/>
          <w:szCs w:val="22"/>
          <w:lang w:val="en-GB"/>
        </w:rPr>
        <w:t>.</w:t>
      </w:r>
    </w:p>
    <w:p w:rsidR="00B62206" w:rsidP="63874D20" w:rsidRDefault="00B62206" w14:paraId="5CF71BDA" w14:textId="27AF6CBD">
      <w:pPr>
        <w:pStyle w:val="Lijstalinea"/>
        <w:numPr>
          <w:ilvl w:val="1"/>
          <w:numId w:val="21"/>
        </w:numPr>
        <w:spacing w:before="0" w:beforeAutospacing="off" w:after="0" w:afterAutospacing="off" w:line="276" w:lineRule="auto"/>
        <w:rPr>
          <w:rFonts w:ascii="Calibri" w:hAnsi="Calibri" w:eastAsia="Calibri" w:cs="Calibri"/>
          <w:noProof w:val="0"/>
          <w:sz w:val="22"/>
          <w:szCs w:val="22"/>
          <w:lang w:val="en-GB"/>
        </w:rPr>
      </w:pPr>
      <w:r w:rsidRPr="63874D20" w:rsidR="63874D20">
        <w:rPr>
          <w:rFonts w:ascii="Calibri" w:hAnsi="Calibri" w:eastAsia="Calibri" w:cs="Calibri"/>
          <w:b w:val="1"/>
          <w:bCs w:val="1"/>
          <w:noProof w:val="0"/>
          <w:sz w:val="22"/>
          <w:szCs w:val="22"/>
          <w:lang w:val="en-GB"/>
        </w:rPr>
        <w:t>Competitor moves (e.g., Netflix’s gaming strategy)</w:t>
      </w:r>
      <w:r w:rsidRPr="63874D20" w:rsidR="63874D20">
        <w:rPr>
          <w:rFonts w:ascii="Calibri" w:hAnsi="Calibri" w:eastAsia="Calibri" w:cs="Calibri"/>
          <w:noProof w:val="0"/>
          <w:sz w:val="22"/>
          <w:szCs w:val="22"/>
          <w:lang w:val="en-GB"/>
        </w:rPr>
        <w:t xml:space="preserve"> and potential M&amp;A opportunities.</w:t>
      </w:r>
    </w:p>
    <w:p w:rsidR="00B62206" w:rsidP="63874D20" w:rsidRDefault="00B62206" w14:paraId="56752322" w14:textId="7720D9A4">
      <w:pPr>
        <w:spacing w:before="0" w:beforeAutospacing="off" w:after="160" w:afterAutospacing="off" w:line="276" w:lineRule="auto"/>
        <w:rPr>
          <w:rFonts w:ascii="Segoe UI Emoji" w:hAnsi="Segoe UI Emoji" w:eastAsia="Segoe UI Emoji" w:cs="Segoe UI Emoji"/>
          <w:noProof w:val="0"/>
          <w:sz w:val="22"/>
          <w:szCs w:val="22"/>
          <w:lang w:val="en-GB"/>
        </w:rPr>
      </w:pPr>
      <w:r w:rsidRPr="63874D20" w:rsidR="63874D20">
        <w:rPr>
          <w:rFonts w:ascii="Segoe UI Emoji" w:hAnsi="Segoe UI Emoji" w:eastAsia="Segoe UI Emoji" w:cs="Segoe UI Emoji"/>
          <w:noProof w:val="0"/>
          <w:sz w:val="22"/>
          <w:szCs w:val="22"/>
          <w:lang w:val="en-GB"/>
        </w:rPr>
        <w:t>👉</w:t>
      </w:r>
      <w:r w:rsidRPr="63874D20" w:rsidR="63874D20">
        <w:rPr>
          <w:rFonts w:ascii="Calibri" w:hAnsi="Calibri" w:eastAsia="Calibri" w:cs="Calibri"/>
          <w:noProof w:val="0"/>
          <w:sz w:val="22"/>
          <w:szCs w:val="22"/>
          <w:lang w:val="en-GB"/>
        </w:rPr>
        <w:t xml:space="preserve"> </w:t>
      </w:r>
      <w:r w:rsidRPr="63874D20" w:rsidR="63874D20">
        <w:rPr>
          <w:rFonts w:ascii="Calibri" w:hAnsi="Calibri" w:eastAsia="Calibri" w:cs="Calibri"/>
          <w:b w:val="1"/>
          <w:bCs w:val="1"/>
          <w:noProof w:val="0"/>
          <w:sz w:val="22"/>
          <w:szCs w:val="22"/>
          <w:lang w:val="en-GB"/>
        </w:rPr>
        <w:t>Final Rating:</w:t>
      </w:r>
      <w:r w:rsidRPr="63874D20" w:rsidR="63874D20">
        <w:rPr>
          <w:rFonts w:ascii="Calibri" w:hAnsi="Calibri" w:eastAsia="Calibri" w:cs="Calibri"/>
          <w:noProof w:val="0"/>
          <w:sz w:val="22"/>
          <w:szCs w:val="22"/>
          <w:lang w:val="en-GB"/>
        </w:rPr>
        <w:t xml:space="preserve"> </w:t>
      </w:r>
      <w:r w:rsidRPr="63874D20" w:rsidR="63874D20">
        <w:rPr>
          <w:rFonts w:ascii="Calibri" w:hAnsi="Calibri" w:eastAsia="Calibri" w:cs="Calibri"/>
          <w:b w:val="1"/>
          <w:bCs w:val="1"/>
          <w:noProof w:val="0"/>
          <w:sz w:val="22"/>
          <w:szCs w:val="22"/>
          <w:lang w:val="en-GB"/>
        </w:rPr>
        <w:t>Hold / Moderate Buy</w:t>
      </w:r>
      <w:r w:rsidRPr="63874D20" w:rsidR="63874D20">
        <w:rPr>
          <w:rFonts w:ascii="Calibri" w:hAnsi="Calibri" w:eastAsia="Calibri" w:cs="Calibri"/>
          <w:noProof w:val="0"/>
          <w:sz w:val="22"/>
          <w:szCs w:val="22"/>
          <w:lang w:val="en-GB"/>
        </w:rPr>
        <w:t xml:space="preserve"> (for long-term investors seeking stable exposure to digital gaming with solid profitability but moderate growth). </w:t>
      </w:r>
    </w:p>
    <w:p w:rsidR="00B62206" w:rsidP="63874D20" w:rsidRDefault="00B62206" w14:paraId="5ADF53B7" w14:textId="4A0E489D">
      <w:pPr>
        <w:pStyle w:val="Standaard"/>
        <w:rPr>
          <w:kern w:val="0"/>
          <w:lang w:val="nl-NL"/>
          <w14:ligatures w14:val="none"/>
        </w:rPr>
      </w:pPr>
    </w:p>
    <w:p w:rsidRPr="00E7706D" w:rsidR="006F04CB" w:rsidP="63874D20" w:rsidRDefault="006F04CB" w14:paraId="234408CE" w14:textId="4E4F416A">
      <w:pPr>
        <w:pStyle w:val="Standaard"/>
        <w:rPr>
          <w:rFonts w:ascii="Calibri" w:hAnsi="Calibri" w:eastAsia="Calibri" w:cs="Calibri"/>
          <w:lang w:val="nl-BE" w:eastAsia="en-GB"/>
        </w:rPr>
      </w:pPr>
    </w:p>
    <w:sectPr w:rsidRPr="00E7706D" w:rsidR="006F04CB" w:rsidSect="00446456">
      <w:headerReference w:type="default" r:id="rId16"/>
      <w:footerReference w:type="default" r:id="rId1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46456" w:rsidP="00965B24" w:rsidRDefault="00446456" w14:paraId="16855367" w14:textId="77777777">
      <w:pPr>
        <w:spacing w:after="0" w:line="240" w:lineRule="auto"/>
      </w:pPr>
      <w:r>
        <w:separator/>
      </w:r>
    </w:p>
  </w:endnote>
  <w:endnote w:type="continuationSeparator" w:id="0">
    <w:p w:rsidR="00446456" w:rsidP="00965B24" w:rsidRDefault="00446456" w14:paraId="2DB30D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7706D" w:rsidR="00E7706D" w:rsidP="00E7706D" w:rsidRDefault="00E7706D" w14:paraId="6ECF0E4B" w14:textId="43824740">
    <w:pPr>
      <w:pStyle w:val="Voettekst"/>
      <w:jc w:val="center"/>
      <w:rPr>
        <w:lang w:val="nl-NL"/>
      </w:rPr>
    </w:pPr>
    <w:r>
      <w:rPr>
        <w:lang w:val="nl-NL"/>
      </w:rPr>
      <w:t xml:space="preserve">[Namen van de personen die hebben </w:t>
    </w:r>
    <w:proofErr w:type="spellStart"/>
    <w:r>
      <w:rPr>
        <w:lang w:val="nl-NL"/>
      </w:rPr>
      <w:t>meegeweerkt</w:t>
    </w:r>
    <w:proofErr w:type="spellEnd"/>
    <w:r>
      <w:rPr>
        <w:lang w:val="nl-NL"/>
      </w:rPr>
      <w:t xml:space="preserve"> aan het voorstel]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46456" w:rsidP="00965B24" w:rsidRDefault="00446456" w14:paraId="02D9E9A9" w14:textId="77777777">
      <w:pPr>
        <w:spacing w:after="0" w:line="240" w:lineRule="auto"/>
      </w:pPr>
      <w:r>
        <w:separator/>
      </w:r>
    </w:p>
  </w:footnote>
  <w:footnote w:type="continuationSeparator" w:id="0">
    <w:p w:rsidR="00446456" w:rsidP="00965B24" w:rsidRDefault="00446456" w14:paraId="11C8BE2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BD690A" w:rsidR="002E46B5" w:rsidP="002E46B5" w:rsidRDefault="002E46B5" w14:paraId="1C5938D1" w14:textId="316F7FB4">
    <w:pPr>
      <w:pStyle w:val="Koptekst"/>
      <w:rPr>
        <w:b/>
        <w:bCs/>
        <w:color w:val="FFFFFF" w:themeColor="background1"/>
        <w:lang w:val="nl-BE"/>
      </w:rPr>
    </w:pPr>
    <w:r w:rsidRPr="00BD690A">
      <w:rPr>
        <w:b/>
        <w:bCs/>
        <w:color w:val="FFFFFF" w:themeColor="background1"/>
      </w:rPr>
      <w:ptab w:alignment="center" w:relativeTo="margin" w:leader="none"/>
    </w:r>
    <w:r w:rsidRPr="002E46B5">
      <w:rPr>
        <w:b/>
        <w:bCs/>
        <w:color w:val="FFFFFF" w:themeColor="background1"/>
        <w:sz w:val="28"/>
        <w:szCs w:val="28"/>
        <w:lang w:val="nl-BE"/>
      </w:rPr>
      <w:t>[Naam Bedrijf]</w:t>
    </w:r>
    <w:r w:rsidRPr="002E46B5">
      <w:rPr>
        <w:b/>
        <w:bCs/>
        <w:color w:val="FFFFFF" w:themeColor="background1"/>
        <w:sz w:val="28"/>
        <w:szCs w:val="28"/>
      </w:rPr>
      <w:ptab w:alignment="right" w:relativeTo="margin" w:leader="none"/>
    </w:r>
    <w:r w:rsidRPr="002E46B5">
      <w:rPr>
        <w:b/>
        <w:bCs/>
        <w:color w:val="FFFFFF" w:themeColor="background1"/>
        <w:sz w:val="28"/>
        <w:szCs w:val="28"/>
        <w:lang w:val="nl-BE"/>
      </w:rPr>
      <w:t>xx/xx/</w:t>
    </w:r>
    <w:proofErr w:type="spellStart"/>
    <w:r w:rsidRPr="002E46B5">
      <w:rPr>
        <w:b/>
        <w:bCs/>
        <w:color w:val="FFFFFF" w:themeColor="background1"/>
        <w:sz w:val="28"/>
        <w:szCs w:val="28"/>
        <w:lang w:val="nl-BE"/>
      </w:rPr>
      <w:t>xxxxx</w:t>
    </w:r>
    <w:proofErr w:type="spellEnd"/>
  </w:p>
  <w:p w:rsidRPr="002E46B5" w:rsidR="00965B24" w:rsidP="002E46B5" w:rsidRDefault="00965B24" w14:paraId="2115347D" w14:textId="12748D30">
    <w:pPr>
      <w:pStyle w:val="Koptekst"/>
      <w:rPr>
        <w:b/>
        <w:bCs/>
      </w:rPr>
    </w:pPr>
    <w:r w:rsidRPr="00965B24">
      <w:rPr>
        <w:noProof/>
      </w:rPr>
      <w:drawing>
        <wp:anchor distT="0" distB="0" distL="114300" distR="114300" simplePos="0" relativeHeight="251660288" behindDoc="1" locked="0" layoutInCell="1" allowOverlap="1" wp14:anchorId="51A18456" wp14:editId="3B30ECC9">
          <wp:simplePos x="0" y="0"/>
          <wp:positionH relativeFrom="column">
            <wp:posOffset>0</wp:posOffset>
          </wp:positionH>
          <wp:positionV relativeFrom="topMargin">
            <wp:posOffset>51377</wp:posOffset>
          </wp:positionV>
          <wp:extent cx="792000" cy="792000"/>
          <wp:effectExtent l="0" t="0" r="8255" b="8255"/>
          <wp:wrapNone/>
          <wp:docPr id="1030" name="Picture 6" descr="No description available.">
            <a:extLst xmlns:a="http://schemas.openxmlformats.org/drawingml/2006/main">
              <a:ext uri="{FF2B5EF4-FFF2-40B4-BE49-F238E27FC236}">
                <a16:creationId xmlns:a16="http://schemas.microsoft.com/office/drawing/2014/main" id="{14D26D7C-AB3B-A26F-E572-C0D8AD1AA0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No description available.">
                    <a:extLst>
                      <a:ext uri="{FF2B5EF4-FFF2-40B4-BE49-F238E27FC236}">
                        <a16:creationId xmlns:a16="http://schemas.microsoft.com/office/drawing/2014/main" id="{14D26D7C-AB3B-A26F-E572-C0D8AD1AA01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000" cy="792000"/>
                  </a:xfrm>
                  <a:prstGeom prst="rect">
                    <a:avLst/>
                  </a:prstGeom>
                  <a:noFill/>
                </pic:spPr>
              </pic:pic>
            </a:graphicData>
          </a:graphic>
          <wp14:sizeRelH relativeFrom="margin">
            <wp14:pctWidth>0</wp14:pctWidth>
          </wp14:sizeRelH>
          <wp14:sizeRelV relativeFrom="margin">
            <wp14:pctHeight>0</wp14:pctHeight>
          </wp14:sizeRelV>
        </wp:anchor>
      </w:drawing>
    </w:r>
    <w:r w:rsidRPr="002E46B5">
      <w:rPr>
        <w:b/>
        <w:bCs/>
        <w:noProof/>
        <w:color w:val="FFFFFF" w:themeColor="background1"/>
      </w:rPr>
      <mc:AlternateContent>
        <mc:Choice Requires="wps">
          <w:drawing>
            <wp:anchor distT="0" distB="0" distL="114300" distR="114300" simplePos="0" relativeHeight="251659264" behindDoc="1" locked="0" layoutInCell="1" allowOverlap="1" wp14:anchorId="3DCD95DE" wp14:editId="31A2524D">
              <wp:simplePos x="0" y="0"/>
              <wp:positionH relativeFrom="page">
                <wp:posOffset>0</wp:posOffset>
              </wp:positionH>
              <wp:positionV relativeFrom="page">
                <wp:posOffset>0</wp:posOffset>
              </wp:positionV>
              <wp:extent cx="7560000" cy="896400"/>
              <wp:effectExtent l="0" t="0" r="3175" b="0"/>
              <wp:wrapNone/>
              <wp:docPr id="4" name="Rectangle 3">
                <a:extLst xmlns:a="http://schemas.openxmlformats.org/drawingml/2006/main">
                  <a:ext uri="{FF2B5EF4-FFF2-40B4-BE49-F238E27FC236}">
                    <a16:creationId xmlns:a16="http://schemas.microsoft.com/office/drawing/2014/main" id="{A54DCC24-2EFC-E9C2-9005-DA861BBD84F6}"/>
                  </a:ext>
                </a:extLst>
              </wp:docPr>
              <wp:cNvGraphicFramePr/>
              <a:graphic xmlns:a="http://schemas.openxmlformats.org/drawingml/2006/main">
                <a:graphicData uri="http://schemas.microsoft.com/office/word/2010/wordprocessingShape">
                  <wps:wsp>
                    <wps:cNvSpPr/>
                    <wps:spPr>
                      <a:xfrm>
                        <a:off x="0" y="0"/>
                        <a:ext cx="7560000" cy="896400"/>
                      </a:xfrm>
                      <a:prstGeom prst="rect">
                        <a:avLst/>
                      </a:prstGeom>
                      <a:solidFill>
                        <a:srgbClr val="00271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965B24" w:rsidR="00965B24" w:rsidP="002E46B5" w:rsidRDefault="00965B24" w14:paraId="2363D0E7" w14:textId="14C4306F">
                          <w:pPr>
                            <w:spacing w:after="0" w:line="240" w:lineRule="auto"/>
                            <w:jc w:val="right"/>
                            <w:rPr>
                              <w:rFonts w:ascii="Aptos" w:hAnsi="Aptos"/>
                              <w:sz w:val="52"/>
                              <w:szCs w:val="52"/>
                              <w:lang w:val="nl-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margin-left:0;margin-top:0;width:595.3pt;height:70.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00271c" stroked="f" strokeweight="1pt" w14:anchorId="3DCD9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">
              <v:textbox>
                <w:txbxContent>
                  <w:p w:rsidRPr="00965B24" w:rsidR="00965B24" w:rsidP="002E46B5" w:rsidRDefault="00965B24" w14:paraId="2363D0E7" w14:textId="14C4306F">
                    <w:pPr>
                      <w:spacing w:after="0" w:line="240" w:lineRule="auto"/>
                      <w:jc w:val="right"/>
                      <w:rPr>
                        <w:rFonts w:ascii="Aptos" w:hAnsi="Aptos"/>
                        <w:sz w:val="52"/>
                        <w:szCs w:val="52"/>
                        <w:lang w:val="nl-NL"/>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0">
    <w:nsid w:val="55d04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72e8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0011a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b7c4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fe6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49f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aa9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448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094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5ce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39d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885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f3d4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c2a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a60d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8b9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E105A1"/>
    <w:multiLevelType w:val="hybridMultilevel"/>
    <w:tmpl w:val="FFFFFFFF"/>
    <w:lvl w:ilvl="0" w:tplc="40EE5382">
      <w:start w:val="1"/>
      <w:numFmt w:val="bullet"/>
      <w:lvlText w:val="-"/>
      <w:lvlJc w:val="left"/>
      <w:pPr>
        <w:ind w:left="720" w:hanging="360"/>
      </w:pPr>
      <w:rPr>
        <w:rFonts w:hint="default" w:ascii="Calibri" w:hAnsi="Calibri"/>
      </w:rPr>
    </w:lvl>
    <w:lvl w:ilvl="1" w:tplc="3954DED8">
      <w:start w:val="1"/>
      <w:numFmt w:val="bullet"/>
      <w:lvlText w:val="o"/>
      <w:lvlJc w:val="left"/>
      <w:pPr>
        <w:ind w:left="1440" w:hanging="360"/>
      </w:pPr>
      <w:rPr>
        <w:rFonts w:hint="default" w:ascii="Courier New" w:hAnsi="Courier New"/>
      </w:rPr>
    </w:lvl>
    <w:lvl w:ilvl="2" w:tplc="954E55A8">
      <w:start w:val="1"/>
      <w:numFmt w:val="bullet"/>
      <w:lvlText w:val=""/>
      <w:lvlJc w:val="left"/>
      <w:pPr>
        <w:ind w:left="2160" w:hanging="360"/>
      </w:pPr>
      <w:rPr>
        <w:rFonts w:hint="default" w:ascii="Wingdings" w:hAnsi="Wingdings"/>
      </w:rPr>
    </w:lvl>
    <w:lvl w:ilvl="3" w:tplc="6BEC9D3A">
      <w:start w:val="1"/>
      <w:numFmt w:val="bullet"/>
      <w:lvlText w:val=""/>
      <w:lvlJc w:val="left"/>
      <w:pPr>
        <w:ind w:left="2880" w:hanging="360"/>
      </w:pPr>
      <w:rPr>
        <w:rFonts w:hint="default" w:ascii="Symbol" w:hAnsi="Symbol"/>
      </w:rPr>
    </w:lvl>
    <w:lvl w:ilvl="4" w:tplc="5324DFC8">
      <w:start w:val="1"/>
      <w:numFmt w:val="bullet"/>
      <w:lvlText w:val="o"/>
      <w:lvlJc w:val="left"/>
      <w:pPr>
        <w:ind w:left="3600" w:hanging="360"/>
      </w:pPr>
      <w:rPr>
        <w:rFonts w:hint="default" w:ascii="Courier New" w:hAnsi="Courier New"/>
      </w:rPr>
    </w:lvl>
    <w:lvl w:ilvl="5" w:tplc="77D0FBD6">
      <w:start w:val="1"/>
      <w:numFmt w:val="bullet"/>
      <w:lvlText w:val=""/>
      <w:lvlJc w:val="left"/>
      <w:pPr>
        <w:ind w:left="4320" w:hanging="360"/>
      </w:pPr>
      <w:rPr>
        <w:rFonts w:hint="default" w:ascii="Wingdings" w:hAnsi="Wingdings"/>
      </w:rPr>
    </w:lvl>
    <w:lvl w:ilvl="6" w:tplc="CB087FC4">
      <w:start w:val="1"/>
      <w:numFmt w:val="bullet"/>
      <w:lvlText w:val=""/>
      <w:lvlJc w:val="left"/>
      <w:pPr>
        <w:ind w:left="5040" w:hanging="360"/>
      </w:pPr>
      <w:rPr>
        <w:rFonts w:hint="default" w:ascii="Symbol" w:hAnsi="Symbol"/>
      </w:rPr>
    </w:lvl>
    <w:lvl w:ilvl="7" w:tplc="26AC1932">
      <w:start w:val="1"/>
      <w:numFmt w:val="bullet"/>
      <w:lvlText w:val="o"/>
      <w:lvlJc w:val="left"/>
      <w:pPr>
        <w:ind w:left="5760" w:hanging="360"/>
      </w:pPr>
      <w:rPr>
        <w:rFonts w:hint="default" w:ascii="Courier New" w:hAnsi="Courier New"/>
      </w:rPr>
    </w:lvl>
    <w:lvl w:ilvl="8" w:tplc="E2DA8718">
      <w:start w:val="1"/>
      <w:numFmt w:val="bullet"/>
      <w:lvlText w:val=""/>
      <w:lvlJc w:val="left"/>
      <w:pPr>
        <w:ind w:left="6480" w:hanging="360"/>
      </w:pPr>
      <w:rPr>
        <w:rFonts w:hint="default" w:ascii="Wingdings" w:hAnsi="Wingdings"/>
      </w:rPr>
    </w:lvl>
  </w:abstractNum>
  <w:abstractNum w:abstractNumId="1" w15:restartNumberingAfterBreak="0">
    <w:nsid w:val="199AEFF0"/>
    <w:multiLevelType w:val="hybridMultilevel"/>
    <w:tmpl w:val="01B49332"/>
    <w:lvl w:ilvl="0" w:tplc="9398BAC6">
      <w:start w:val="1"/>
      <w:numFmt w:val="bullet"/>
      <w:lvlText w:val="-"/>
      <w:lvlJc w:val="left"/>
      <w:pPr>
        <w:ind w:left="720" w:hanging="360"/>
      </w:pPr>
      <w:rPr>
        <w:rFonts w:hint="default" w:ascii="Calibri" w:hAnsi="Calibri"/>
      </w:rPr>
    </w:lvl>
    <w:lvl w:ilvl="1" w:tplc="CEC627D4">
      <w:start w:val="1"/>
      <w:numFmt w:val="bullet"/>
      <w:lvlText w:val="o"/>
      <w:lvlJc w:val="left"/>
      <w:pPr>
        <w:ind w:left="1440" w:hanging="360"/>
      </w:pPr>
      <w:rPr>
        <w:rFonts w:hint="default" w:ascii="Courier New" w:hAnsi="Courier New"/>
      </w:rPr>
    </w:lvl>
    <w:lvl w:ilvl="2" w:tplc="75B07D0E">
      <w:start w:val="1"/>
      <w:numFmt w:val="bullet"/>
      <w:lvlText w:val=""/>
      <w:lvlJc w:val="left"/>
      <w:pPr>
        <w:ind w:left="2160" w:hanging="360"/>
      </w:pPr>
      <w:rPr>
        <w:rFonts w:hint="default" w:ascii="Wingdings" w:hAnsi="Wingdings"/>
      </w:rPr>
    </w:lvl>
    <w:lvl w:ilvl="3" w:tplc="12C20E4E">
      <w:start w:val="1"/>
      <w:numFmt w:val="bullet"/>
      <w:lvlText w:val=""/>
      <w:lvlJc w:val="left"/>
      <w:pPr>
        <w:ind w:left="2880" w:hanging="360"/>
      </w:pPr>
      <w:rPr>
        <w:rFonts w:hint="default" w:ascii="Symbol" w:hAnsi="Symbol"/>
      </w:rPr>
    </w:lvl>
    <w:lvl w:ilvl="4" w:tplc="30A69610">
      <w:start w:val="1"/>
      <w:numFmt w:val="bullet"/>
      <w:lvlText w:val="o"/>
      <w:lvlJc w:val="left"/>
      <w:pPr>
        <w:ind w:left="3600" w:hanging="360"/>
      </w:pPr>
      <w:rPr>
        <w:rFonts w:hint="default" w:ascii="Courier New" w:hAnsi="Courier New"/>
      </w:rPr>
    </w:lvl>
    <w:lvl w:ilvl="5" w:tplc="6B26F810">
      <w:start w:val="1"/>
      <w:numFmt w:val="bullet"/>
      <w:lvlText w:val=""/>
      <w:lvlJc w:val="left"/>
      <w:pPr>
        <w:ind w:left="4320" w:hanging="360"/>
      </w:pPr>
      <w:rPr>
        <w:rFonts w:hint="default" w:ascii="Wingdings" w:hAnsi="Wingdings"/>
      </w:rPr>
    </w:lvl>
    <w:lvl w:ilvl="6" w:tplc="FF4CAC4A">
      <w:start w:val="1"/>
      <w:numFmt w:val="bullet"/>
      <w:lvlText w:val=""/>
      <w:lvlJc w:val="left"/>
      <w:pPr>
        <w:ind w:left="5040" w:hanging="360"/>
      </w:pPr>
      <w:rPr>
        <w:rFonts w:hint="default" w:ascii="Symbol" w:hAnsi="Symbol"/>
      </w:rPr>
    </w:lvl>
    <w:lvl w:ilvl="7" w:tplc="1D56F2EC">
      <w:start w:val="1"/>
      <w:numFmt w:val="bullet"/>
      <w:lvlText w:val="o"/>
      <w:lvlJc w:val="left"/>
      <w:pPr>
        <w:ind w:left="5760" w:hanging="360"/>
      </w:pPr>
      <w:rPr>
        <w:rFonts w:hint="default" w:ascii="Courier New" w:hAnsi="Courier New"/>
      </w:rPr>
    </w:lvl>
    <w:lvl w:ilvl="8" w:tplc="02749298">
      <w:start w:val="1"/>
      <w:numFmt w:val="bullet"/>
      <w:lvlText w:val=""/>
      <w:lvlJc w:val="left"/>
      <w:pPr>
        <w:ind w:left="6480" w:hanging="360"/>
      </w:pPr>
      <w:rPr>
        <w:rFonts w:hint="default" w:ascii="Wingdings" w:hAnsi="Wingdings"/>
      </w:rPr>
    </w:lvl>
  </w:abstractNum>
  <w:abstractNum w:abstractNumId="2" w15:restartNumberingAfterBreak="0">
    <w:nsid w:val="2806DFB8"/>
    <w:multiLevelType w:val="hybridMultilevel"/>
    <w:tmpl w:val="FFFFFFFF"/>
    <w:lvl w:ilvl="0" w:tplc="D28038D4">
      <w:start w:val="1"/>
      <w:numFmt w:val="bullet"/>
      <w:lvlText w:val="-"/>
      <w:lvlJc w:val="left"/>
      <w:pPr>
        <w:ind w:left="720" w:hanging="360"/>
      </w:pPr>
      <w:rPr>
        <w:rFonts w:hint="default" w:ascii="Calibri" w:hAnsi="Calibri"/>
      </w:rPr>
    </w:lvl>
    <w:lvl w:ilvl="1" w:tplc="A7E0DF7C">
      <w:start w:val="1"/>
      <w:numFmt w:val="bullet"/>
      <w:lvlText w:val="o"/>
      <w:lvlJc w:val="left"/>
      <w:pPr>
        <w:ind w:left="1440" w:hanging="360"/>
      </w:pPr>
      <w:rPr>
        <w:rFonts w:hint="default" w:ascii="Courier New" w:hAnsi="Courier New"/>
      </w:rPr>
    </w:lvl>
    <w:lvl w:ilvl="2" w:tplc="2B2A304C">
      <w:start w:val="1"/>
      <w:numFmt w:val="bullet"/>
      <w:lvlText w:val=""/>
      <w:lvlJc w:val="left"/>
      <w:pPr>
        <w:ind w:left="2160" w:hanging="360"/>
      </w:pPr>
      <w:rPr>
        <w:rFonts w:hint="default" w:ascii="Wingdings" w:hAnsi="Wingdings"/>
      </w:rPr>
    </w:lvl>
    <w:lvl w:ilvl="3" w:tplc="3DDA29B6">
      <w:start w:val="1"/>
      <w:numFmt w:val="bullet"/>
      <w:lvlText w:val=""/>
      <w:lvlJc w:val="left"/>
      <w:pPr>
        <w:ind w:left="2880" w:hanging="360"/>
      </w:pPr>
      <w:rPr>
        <w:rFonts w:hint="default" w:ascii="Symbol" w:hAnsi="Symbol"/>
      </w:rPr>
    </w:lvl>
    <w:lvl w:ilvl="4" w:tplc="7382AFE2">
      <w:start w:val="1"/>
      <w:numFmt w:val="bullet"/>
      <w:lvlText w:val="o"/>
      <w:lvlJc w:val="left"/>
      <w:pPr>
        <w:ind w:left="3600" w:hanging="360"/>
      </w:pPr>
      <w:rPr>
        <w:rFonts w:hint="default" w:ascii="Courier New" w:hAnsi="Courier New"/>
      </w:rPr>
    </w:lvl>
    <w:lvl w:ilvl="5" w:tplc="01F6983E">
      <w:start w:val="1"/>
      <w:numFmt w:val="bullet"/>
      <w:lvlText w:val=""/>
      <w:lvlJc w:val="left"/>
      <w:pPr>
        <w:ind w:left="4320" w:hanging="360"/>
      </w:pPr>
      <w:rPr>
        <w:rFonts w:hint="default" w:ascii="Wingdings" w:hAnsi="Wingdings"/>
      </w:rPr>
    </w:lvl>
    <w:lvl w:ilvl="6" w:tplc="01EE4ABA">
      <w:start w:val="1"/>
      <w:numFmt w:val="bullet"/>
      <w:lvlText w:val=""/>
      <w:lvlJc w:val="left"/>
      <w:pPr>
        <w:ind w:left="5040" w:hanging="360"/>
      </w:pPr>
      <w:rPr>
        <w:rFonts w:hint="default" w:ascii="Symbol" w:hAnsi="Symbol"/>
      </w:rPr>
    </w:lvl>
    <w:lvl w:ilvl="7" w:tplc="55727F14">
      <w:start w:val="1"/>
      <w:numFmt w:val="bullet"/>
      <w:lvlText w:val="o"/>
      <w:lvlJc w:val="left"/>
      <w:pPr>
        <w:ind w:left="5760" w:hanging="360"/>
      </w:pPr>
      <w:rPr>
        <w:rFonts w:hint="default" w:ascii="Courier New" w:hAnsi="Courier New"/>
      </w:rPr>
    </w:lvl>
    <w:lvl w:ilvl="8" w:tplc="8C6EDF6C">
      <w:start w:val="1"/>
      <w:numFmt w:val="bullet"/>
      <w:lvlText w:val=""/>
      <w:lvlJc w:val="left"/>
      <w:pPr>
        <w:ind w:left="6480" w:hanging="360"/>
      </w:pPr>
      <w:rPr>
        <w:rFonts w:hint="default" w:ascii="Wingdings" w:hAnsi="Wingdings"/>
      </w:rPr>
    </w:lvl>
  </w:abstractNum>
  <w:abstractNum w:abstractNumId="3" w15:restartNumberingAfterBreak="0">
    <w:nsid w:val="37413284"/>
    <w:multiLevelType w:val="hybridMultilevel"/>
    <w:tmpl w:val="FFFFFFFF"/>
    <w:lvl w:ilvl="0" w:tplc="9F2E394C">
      <w:start w:val="1"/>
      <w:numFmt w:val="bullet"/>
      <w:lvlText w:val="-"/>
      <w:lvlJc w:val="left"/>
      <w:pPr>
        <w:ind w:left="720" w:hanging="360"/>
      </w:pPr>
      <w:rPr>
        <w:rFonts w:hint="default" w:ascii="Calibri" w:hAnsi="Calibri"/>
      </w:rPr>
    </w:lvl>
    <w:lvl w:ilvl="1" w:tplc="9B6E4C62">
      <w:start w:val="1"/>
      <w:numFmt w:val="bullet"/>
      <w:lvlText w:val="o"/>
      <w:lvlJc w:val="left"/>
      <w:pPr>
        <w:ind w:left="1440" w:hanging="360"/>
      </w:pPr>
      <w:rPr>
        <w:rFonts w:hint="default" w:ascii="Courier New" w:hAnsi="Courier New"/>
      </w:rPr>
    </w:lvl>
    <w:lvl w:ilvl="2" w:tplc="BCBABED0">
      <w:start w:val="1"/>
      <w:numFmt w:val="bullet"/>
      <w:lvlText w:val=""/>
      <w:lvlJc w:val="left"/>
      <w:pPr>
        <w:ind w:left="2160" w:hanging="360"/>
      </w:pPr>
      <w:rPr>
        <w:rFonts w:hint="default" w:ascii="Wingdings" w:hAnsi="Wingdings"/>
      </w:rPr>
    </w:lvl>
    <w:lvl w:ilvl="3" w:tplc="DA92CC74">
      <w:start w:val="1"/>
      <w:numFmt w:val="bullet"/>
      <w:lvlText w:val=""/>
      <w:lvlJc w:val="left"/>
      <w:pPr>
        <w:ind w:left="2880" w:hanging="360"/>
      </w:pPr>
      <w:rPr>
        <w:rFonts w:hint="default" w:ascii="Symbol" w:hAnsi="Symbol"/>
      </w:rPr>
    </w:lvl>
    <w:lvl w:ilvl="4" w:tplc="1B68C23E">
      <w:start w:val="1"/>
      <w:numFmt w:val="bullet"/>
      <w:lvlText w:val="o"/>
      <w:lvlJc w:val="left"/>
      <w:pPr>
        <w:ind w:left="3600" w:hanging="360"/>
      </w:pPr>
      <w:rPr>
        <w:rFonts w:hint="default" w:ascii="Courier New" w:hAnsi="Courier New"/>
      </w:rPr>
    </w:lvl>
    <w:lvl w:ilvl="5" w:tplc="57640D9C">
      <w:start w:val="1"/>
      <w:numFmt w:val="bullet"/>
      <w:lvlText w:val=""/>
      <w:lvlJc w:val="left"/>
      <w:pPr>
        <w:ind w:left="4320" w:hanging="360"/>
      </w:pPr>
      <w:rPr>
        <w:rFonts w:hint="default" w:ascii="Wingdings" w:hAnsi="Wingdings"/>
      </w:rPr>
    </w:lvl>
    <w:lvl w:ilvl="6" w:tplc="8586E6BC">
      <w:start w:val="1"/>
      <w:numFmt w:val="bullet"/>
      <w:lvlText w:val=""/>
      <w:lvlJc w:val="left"/>
      <w:pPr>
        <w:ind w:left="5040" w:hanging="360"/>
      </w:pPr>
      <w:rPr>
        <w:rFonts w:hint="default" w:ascii="Symbol" w:hAnsi="Symbol"/>
      </w:rPr>
    </w:lvl>
    <w:lvl w:ilvl="7" w:tplc="7CB46C04">
      <w:start w:val="1"/>
      <w:numFmt w:val="bullet"/>
      <w:lvlText w:val="o"/>
      <w:lvlJc w:val="left"/>
      <w:pPr>
        <w:ind w:left="5760" w:hanging="360"/>
      </w:pPr>
      <w:rPr>
        <w:rFonts w:hint="default" w:ascii="Courier New" w:hAnsi="Courier New"/>
      </w:rPr>
    </w:lvl>
    <w:lvl w:ilvl="8" w:tplc="4E6C0458">
      <w:start w:val="1"/>
      <w:numFmt w:val="bullet"/>
      <w:lvlText w:val=""/>
      <w:lvlJc w:val="left"/>
      <w:pPr>
        <w:ind w:left="6480" w:hanging="360"/>
      </w:pPr>
      <w:rPr>
        <w:rFonts w:hint="default" w:ascii="Wingdings" w:hAnsi="Wingdings"/>
      </w:rPr>
    </w:lvl>
  </w:abstractNum>
  <w:abstractNum w:abstractNumId="4" w15:restartNumberingAfterBreak="0">
    <w:nsid w:val="4277B443"/>
    <w:multiLevelType w:val="hybridMultilevel"/>
    <w:tmpl w:val="6E1ED184"/>
    <w:lvl w:ilvl="0" w:tplc="5EF8D0DC">
      <w:start w:val="1"/>
      <w:numFmt w:val="bullet"/>
      <w:lvlText w:val="-"/>
      <w:lvlJc w:val="left"/>
      <w:pPr>
        <w:ind w:left="720" w:hanging="360"/>
      </w:pPr>
      <w:rPr>
        <w:rFonts w:hint="default" w:ascii="Calibri" w:hAnsi="Calibri"/>
      </w:rPr>
    </w:lvl>
    <w:lvl w:ilvl="1" w:tplc="380EC64A">
      <w:start w:val="1"/>
      <w:numFmt w:val="bullet"/>
      <w:lvlText w:val="o"/>
      <w:lvlJc w:val="left"/>
      <w:pPr>
        <w:ind w:left="1440" w:hanging="360"/>
      </w:pPr>
      <w:rPr>
        <w:rFonts w:hint="default" w:ascii="Courier New" w:hAnsi="Courier New"/>
      </w:rPr>
    </w:lvl>
    <w:lvl w:ilvl="2" w:tplc="7D72DF1E">
      <w:start w:val="1"/>
      <w:numFmt w:val="bullet"/>
      <w:lvlText w:val=""/>
      <w:lvlJc w:val="left"/>
      <w:pPr>
        <w:ind w:left="2160" w:hanging="360"/>
      </w:pPr>
      <w:rPr>
        <w:rFonts w:hint="default" w:ascii="Wingdings" w:hAnsi="Wingdings"/>
      </w:rPr>
    </w:lvl>
    <w:lvl w:ilvl="3" w:tplc="20828D80">
      <w:start w:val="1"/>
      <w:numFmt w:val="bullet"/>
      <w:lvlText w:val=""/>
      <w:lvlJc w:val="left"/>
      <w:pPr>
        <w:ind w:left="2880" w:hanging="360"/>
      </w:pPr>
      <w:rPr>
        <w:rFonts w:hint="default" w:ascii="Symbol" w:hAnsi="Symbol"/>
      </w:rPr>
    </w:lvl>
    <w:lvl w:ilvl="4" w:tplc="F388301E">
      <w:start w:val="1"/>
      <w:numFmt w:val="bullet"/>
      <w:lvlText w:val="o"/>
      <w:lvlJc w:val="left"/>
      <w:pPr>
        <w:ind w:left="3600" w:hanging="360"/>
      </w:pPr>
      <w:rPr>
        <w:rFonts w:hint="default" w:ascii="Courier New" w:hAnsi="Courier New"/>
      </w:rPr>
    </w:lvl>
    <w:lvl w:ilvl="5" w:tplc="7F7C1AB0">
      <w:start w:val="1"/>
      <w:numFmt w:val="bullet"/>
      <w:lvlText w:val=""/>
      <w:lvlJc w:val="left"/>
      <w:pPr>
        <w:ind w:left="4320" w:hanging="360"/>
      </w:pPr>
      <w:rPr>
        <w:rFonts w:hint="default" w:ascii="Wingdings" w:hAnsi="Wingdings"/>
      </w:rPr>
    </w:lvl>
    <w:lvl w:ilvl="6" w:tplc="256E6A34">
      <w:start w:val="1"/>
      <w:numFmt w:val="bullet"/>
      <w:lvlText w:val=""/>
      <w:lvlJc w:val="left"/>
      <w:pPr>
        <w:ind w:left="5040" w:hanging="360"/>
      </w:pPr>
      <w:rPr>
        <w:rFonts w:hint="default" w:ascii="Symbol" w:hAnsi="Symbol"/>
      </w:rPr>
    </w:lvl>
    <w:lvl w:ilvl="7" w:tplc="C1C05EDE">
      <w:start w:val="1"/>
      <w:numFmt w:val="bullet"/>
      <w:lvlText w:val="o"/>
      <w:lvlJc w:val="left"/>
      <w:pPr>
        <w:ind w:left="5760" w:hanging="360"/>
      </w:pPr>
      <w:rPr>
        <w:rFonts w:hint="default" w:ascii="Courier New" w:hAnsi="Courier New"/>
      </w:rPr>
    </w:lvl>
    <w:lvl w:ilvl="8" w:tplc="E34A19FA">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2127263948">
    <w:abstractNumId w:val="1"/>
  </w:num>
  <w:num w:numId="2" w16cid:durableId="118493176">
    <w:abstractNumId w:val="4"/>
  </w:num>
  <w:num w:numId="3" w16cid:durableId="205992617">
    <w:abstractNumId w:val="3"/>
  </w:num>
  <w:num w:numId="4" w16cid:durableId="1033191955">
    <w:abstractNumId w:val="0"/>
  </w:num>
  <w:num w:numId="5" w16cid:durableId="810438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B24"/>
    <w:rsid w:val="00103EC7"/>
    <w:rsid w:val="001E3559"/>
    <w:rsid w:val="00295DF6"/>
    <w:rsid w:val="002B6FE4"/>
    <w:rsid w:val="002E46B5"/>
    <w:rsid w:val="00437F78"/>
    <w:rsid w:val="00446456"/>
    <w:rsid w:val="004F18A4"/>
    <w:rsid w:val="005F0038"/>
    <w:rsid w:val="006C68F5"/>
    <w:rsid w:val="006F04CB"/>
    <w:rsid w:val="007A14B0"/>
    <w:rsid w:val="00965B24"/>
    <w:rsid w:val="00A327FF"/>
    <w:rsid w:val="00AE283A"/>
    <w:rsid w:val="00B62206"/>
    <w:rsid w:val="00BB24DF"/>
    <w:rsid w:val="00E7706D"/>
    <w:rsid w:val="00F81280"/>
    <w:rsid w:val="00FD1635"/>
    <w:rsid w:val="45AC00C9"/>
    <w:rsid w:val="63874D20"/>
    <w:rsid w:val="7C294747"/>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CF057"/>
  <w15:chartTrackingRefBased/>
  <w15:docId w15:val="{8BAA99D3-98A7-406B-A287-1E2ECEC4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965B2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Kop2">
    <w:name w:val="heading 2"/>
    <w:basedOn w:val="Standaard"/>
    <w:next w:val="Standaard"/>
    <w:link w:val="Kop2Char"/>
    <w:uiPriority w:val="9"/>
    <w:unhideWhenUsed/>
    <w:qFormat/>
    <w:rsid w:val="00965B2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65B24"/>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65B24"/>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65B24"/>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65B2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65B2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65B2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65B24"/>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965B24"/>
    <w:rPr>
      <w:rFonts w:asciiTheme="majorHAnsi" w:hAnsiTheme="majorHAnsi" w:eastAsiaTheme="majorEastAsia" w:cstheme="majorBidi"/>
      <w:color w:val="2F5496" w:themeColor="accent1" w:themeShade="BF"/>
      <w:sz w:val="40"/>
      <w:szCs w:val="40"/>
    </w:rPr>
  </w:style>
  <w:style w:type="character" w:styleId="Kop2Char" w:customStyle="1">
    <w:name w:val="Kop 2 Char"/>
    <w:basedOn w:val="Standaardalinea-lettertype"/>
    <w:link w:val="Kop2"/>
    <w:uiPriority w:val="9"/>
    <w:rsid w:val="00965B24"/>
    <w:rPr>
      <w:rFonts w:asciiTheme="majorHAnsi" w:hAnsiTheme="majorHAnsi" w:eastAsiaTheme="majorEastAsia" w:cstheme="majorBidi"/>
      <w:color w:val="2F5496" w:themeColor="accent1" w:themeShade="BF"/>
      <w:sz w:val="32"/>
      <w:szCs w:val="32"/>
    </w:rPr>
  </w:style>
  <w:style w:type="character" w:styleId="Kop3Char" w:customStyle="1">
    <w:name w:val="Kop 3 Char"/>
    <w:basedOn w:val="Standaardalinea-lettertype"/>
    <w:link w:val="Kop3"/>
    <w:uiPriority w:val="9"/>
    <w:semiHidden/>
    <w:rsid w:val="00965B24"/>
    <w:rPr>
      <w:rFonts w:eastAsiaTheme="majorEastAsia" w:cstheme="majorBidi"/>
      <w:color w:val="2F5496" w:themeColor="accent1" w:themeShade="BF"/>
      <w:sz w:val="28"/>
      <w:szCs w:val="28"/>
    </w:rPr>
  </w:style>
  <w:style w:type="character" w:styleId="Kop4Char" w:customStyle="1">
    <w:name w:val="Kop 4 Char"/>
    <w:basedOn w:val="Standaardalinea-lettertype"/>
    <w:link w:val="Kop4"/>
    <w:uiPriority w:val="9"/>
    <w:semiHidden/>
    <w:rsid w:val="00965B24"/>
    <w:rPr>
      <w:rFonts w:eastAsiaTheme="majorEastAsia" w:cstheme="majorBidi"/>
      <w:i/>
      <w:iCs/>
      <w:color w:val="2F5496" w:themeColor="accent1" w:themeShade="BF"/>
    </w:rPr>
  </w:style>
  <w:style w:type="character" w:styleId="Kop5Char" w:customStyle="1">
    <w:name w:val="Kop 5 Char"/>
    <w:basedOn w:val="Standaardalinea-lettertype"/>
    <w:link w:val="Kop5"/>
    <w:uiPriority w:val="9"/>
    <w:semiHidden/>
    <w:rsid w:val="00965B24"/>
    <w:rPr>
      <w:rFonts w:eastAsiaTheme="majorEastAsia" w:cstheme="majorBidi"/>
      <w:color w:val="2F5496" w:themeColor="accent1" w:themeShade="BF"/>
    </w:rPr>
  </w:style>
  <w:style w:type="character" w:styleId="Kop6Char" w:customStyle="1">
    <w:name w:val="Kop 6 Char"/>
    <w:basedOn w:val="Standaardalinea-lettertype"/>
    <w:link w:val="Kop6"/>
    <w:uiPriority w:val="9"/>
    <w:semiHidden/>
    <w:rsid w:val="00965B24"/>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965B24"/>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965B24"/>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965B24"/>
    <w:rPr>
      <w:rFonts w:eastAsiaTheme="majorEastAsia" w:cstheme="majorBidi"/>
      <w:color w:val="272727" w:themeColor="text1" w:themeTint="D8"/>
    </w:rPr>
  </w:style>
  <w:style w:type="paragraph" w:styleId="Titel">
    <w:name w:val="Title"/>
    <w:basedOn w:val="Standaard"/>
    <w:next w:val="Standaard"/>
    <w:link w:val="TitelChar"/>
    <w:uiPriority w:val="10"/>
    <w:qFormat/>
    <w:rsid w:val="00965B24"/>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965B24"/>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965B24"/>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965B2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65B24"/>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965B24"/>
    <w:rPr>
      <w:i/>
      <w:iCs/>
      <w:color w:val="404040" w:themeColor="text1" w:themeTint="BF"/>
    </w:rPr>
  </w:style>
  <w:style w:type="paragraph" w:styleId="Lijstalinea">
    <w:name w:val="List Paragraph"/>
    <w:basedOn w:val="Standaard"/>
    <w:uiPriority w:val="34"/>
    <w:qFormat/>
    <w:rsid w:val="00965B24"/>
    <w:pPr>
      <w:ind w:left="720"/>
      <w:contextualSpacing/>
    </w:pPr>
  </w:style>
  <w:style w:type="character" w:styleId="Intensievebenadrukking">
    <w:name w:val="Intense Emphasis"/>
    <w:basedOn w:val="Standaardalinea-lettertype"/>
    <w:uiPriority w:val="21"/>
    <w:qFormat/>
    <w:rsid w:val="00965B24"/>
    <w:rPr>
      <w:i/>
      <w:iCs/>
      <w:color w:val="2F5496" w:themeColor="accent1" w:themeShade="BF"/>
    </w:rPr>
  </w:style>
  <w:style w:type="paragraph" w:styleId="Duidelijkcitaat">
    <w:name w:val="Intense Quote"/>
    <w:basedOn w:val="Standaard"/>
    <w:next w:val="Standaard"/>
    <w:link w:val="DuidelijkcitaatChar"/>
    <w:uiPriority w:val="30"/>
    <w:qFormat/>
    <w:rsid w:val="00965B2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DuidelijkcitaatChar" w:customStyle="1">
    <w:name w:val="Duidelijk citaat Char"/>
    <w:basedOn w:val="Standaardalinea-lettertype"/>
    <w:link w:val="Duidelijkcitaat"/>
    <w:uiPriority w:val="30"/>
    <w:rsid w:val="00965B24"/>
    <w:rPr>
      <w:i/>
      <w:iCs/>
      <w:color w:val="2F5496" w:themeColor="accent1" w:themeShade="BF"/>
    </w:rPr>
  </w:style>
  <w:style w:type="character" w:styleId="Intensieveverwijzing">
    <w:name w:val="Intense Reference"/>
    <w:basedOn w:val="Standaardalinea-lettertype"/>
    <w:uiPriority w:val="32"/>
    <w:qFormat/>
    <w:rsid w:val="00965B24"/>
    <w:rPr>
      <w:b/>
      <w:bCs/>
      <w:smallCaps/>
      <w:color w:val="2F5496" w:themeColor="accent1" w:themeShade="BF"/>
      <w:spacing w:val="5"/>
    </w:rPr>
  </w:style>
  <w:style w:type="paragraph" w:styleId="Koptekst">
    <w:name w:val="header"/>
    <w:basedOn w:val="Standaard"/>
    <w:link w:val="KoptekstChar"/>
    <w:uiPriority w:val="99"/>
    <w:unhideWhenUsed/>
    <w:rsid w:val="00965B24"/>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965B24"/>
  </w:style>
  <w:style w:type="paragraph" w:styleId="Voettekst">
    <w:name w:val="footer"/>
    <w:basedOn w:val="Standaard"/>
    <w:link w:val="VoettekstChar"/>
    <w:uiPriority w:val="99"/>
    <w:unhideWhenUsed/>
    <w:rsid w:val="00965B24"/>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965B24"/>
  </w:style>
  <w:style xmlns:w="http://schemas.openxmlformats.org/wordprocessingml/2006/main" w:type="table" w:styleId="TableGrid">
    <w:name xmlns:w="http://schemas.openxmlformats.org/wordprocessingml/2006/main" w:val="Table Grid"/>
    <w:basedOn xmlns:w="http://schemas.openxmlformats.org/wordprocessingml/2006/main" w:val="Standaardtabe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9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6.png" Id="R30d6eb8a72094ed7" /><Relationship Type="http://schemas.openxmlformats.org/officeDocument/2006/relationships/image" Target="/media/image7.png" Id="R97fada06379b40aa"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645f338-6b19-47dd-a9cd-521166d8a9c7" xsi:nil="true"/>
    <lcf76f155ced4ddcb4097134ff3c332f xmlns="bc1159ad-d26f-4422-9cd3-507dd7bb304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FD744ABC62A64EB73EBDE161BAFFAF" ma:contentTypeVersion="13" ma:contentTypeDescription="Een nieuw document maken." ma:contentTypeScope="" ma:versionID="4951167e122b31e5ded957a5580b48da">
  <xsd:schema xmlns:xsd="http://www.w3.org/2001/XMLSchema" xmlns:xs="http://www.w3.org/2001/XMLSchema" xmlns:p="http://schemas.microsoft.com/office/2006/metadata/properties" xmlns:ns2="bc1159ad-d26f-4422-9cd3-507dd7bb304b" xmlns:ns3="8645f338-6b19-47dd-a9cd-521166d8a9c7" targetNamespace="http://schemas.microsoft.com/office/2006/metadata/properties" ma:root="true" ma:fieldsID="283887a6431aabf65d426566ab0d1d71" ns2:_="" ns3:_="">
    <xsd:import namespace="bc1159ad-d26f-4422-9cd3-507dd7bb304b"/>
    <xsd:import namespace="8645f338-6b19-47dd-a9cd-521166d8a9c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59ad-d26f-4422-9cd3-507dd7bb304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da829b53-f82c-4818-ba9e-f50c3edd119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45f338-6b19-47dd-a9cd-521166d8a9c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a6b2853-0cf4-4253-bc2b-fe296ed0741f}" ma:internalName="TaxCatchAll" ma:showField="CatchAllData" ma:web="8645f338-6b19-47dd-a9cd-521166d8a9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2CF41-4B62-4A1A-85B7-08617151C435}">
  <ds:schemaRefs>
    <ds:schemaRef ds:uri="http://schemas.microsoft.com/office/2006/metadata/properties"/>
    <ds:schemaRef ds:uri="http://schemas.microsoft.com/office/infopath/2007/PartnerControls"/>
    <ds:schemaRef ds:uri="8645f338-6b19-47dd-a9cd-521166d8a9c7"/>
    <ds:schemaRef ds:uri="bc1159ad-d26f-4422-9cd3-507dd7bb304b"/>
  </ds:schemaRefs>
</ds:datastoreItem>
</file>

<file path=customXml/itemProps2.xml><?xml version="1.0" encoding="utf-8"?>
<ds:datastoreItem xmlns:ds="http://schemas.openxmlformats.org/officeDocument/2006/customXml" ds:itemID="{F543AEFF-C558-4CDD-8126-EF57CAAC251F}">
  <ds:schemaRefs>
    <ds:schemaRef ds:uri="http://schemas.microsoft.com/sharepoint/v3/contenttype/forms"/>
  </ds:schemaRefs>
</ds:datastoreItem>
</file>

<file path=customXml/itemProps3.xml><?xml version="1.0" encoding="utf-8"?>
<ds:datastoreItem xmlns:ds="http://schemas.openxmlformats.org/officeDocument/2006/customXml" ds:itemID="{9548EC10-474A-4272-B49D-FCDF44B97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59ad-d26f-4422-9cd3-507dd7bb304b"/>
    <ds:schemaRef ds:uri="8645f338-6b19-47dd-a9cd-521166d8a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 Nuyttens</dc:creator>
  <keywords/>
  <dc:description/>
  <lastModifiedBy>Guest User</lastModifiedBy>
  <revision>7</revision>
  <dcterms:created xsi:type="dcterms:W3CDTF">2024-04-05T16:36:00.0000000Z</dcterms:created>
  <dcterms:modified xsi:type="dcterms:W3CDTF">2025-03-05T01:10:33.7965628Z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0x01010004FD744ABC62A64EB73EBDE161BAFFAF</vt:lpwstr>
  </property>
  <property fmtid="{D5CDD505-2E9C-101B-9397-08002B2CF9AE}" pid="3" name="Order">
    <vt:r8>228300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