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Menú inicial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  <w:t xml:space="preserve">Para crear un menú en el apartado principal, nos dirigimos a los ajustes y en el apartado de “Técnico”, seleccionamos “Elementos de menú”.</w:t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9215" cy="2170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574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69215" cy="2170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1.3pt;height:170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Le damos a crear.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4542" cy="8128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367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304541" cy="81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2.7pt;height:6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left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E introducimos el nombre de nuestro menú. Como va a estar en el apartado principal, no le ponemos menú padre. Tenemos que cambiar la secuencia, ya </w:t>
      </w:r>
      <w:r>
        <w:rPr>
          <w:rFonts w:ascii="Verdana" w:hAnsi="Verdana" w:cs="Verdana"/>
          <w:highlight w:val="none"/>
        </w:rPr>
        <w:t xml:space="preserve">que el resto de elementos del menú ya tienen una asignada y son prioritarios. También tenemos que asignarle una acción, ya que no aparecerá si no la tiene. Le asignamos los grupos correspondientes en los que debería aparecer el menú y le damos a “Guardar”.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9665" cy="253449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990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59664" cy="253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4.8pt;height:199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Comprobamos que en los usuarios del grupo aparece el menú y que nos redirige correctamente.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7979" cy="13775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52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07978" cy="1377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8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21370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717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31114" cy="2137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88.3pt;height:168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Accesos a formularios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los accesos, nos dirigimos al menú que hemos creado y en el apartado de “Submenús” agregamos los necesarios. Le damos a “Guardar” y deberían aparecer en la navegación superior.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5299" cy="36189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349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25298" cy="3618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7.0pt;height:285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290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897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02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44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34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652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6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Cuando creamos estos submenús, no hace falta indicarles los grupos que va a tener acceso a ellos, ya que los heredan del menú padre.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Crear modelos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un modelo, en los ajustes, en el apartado “Técnico” seleccionamos “Modelos”, y le damos al botón de “Crear”.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1362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001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05124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8.8pt;height:107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shd w:val="nil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br w:type="page" w:clear="all"/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Introducimos los datos de nuestro modelo, los permisos correctos y le damos a “Guardar”.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8290" cy="356798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83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188289" cy="3567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8.5pt;height:280.9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2752" cy="426097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385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32752" cy="4260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9.9pt;height:335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shd w:val="nil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br w:type="page" w:clear="all"/>
      </w:r>
      <w:r>
        <w:rPr>
          <w:rFonts w:ascii="Verdana" w:hAnsi="Verdana" w:cs="Verdana"/>
          <w:highlight w:val="none"/>
        </w:rPr>
      </w:r>
    </w:p>
    <w:p>
      <w:pPr>
        <w:pStyle w:val="81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Crear vista de lista y de formulario para el modelo.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una vista, en “Técnico” nos vamos a “Vistas” y le damos a “Crear”.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898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418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198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94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7716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749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71800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34.0pt;height:139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  <w:t xml:space="preserve">Creamos la vista con los datos necesarios y le damos a “Guardar”.</w:t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que la vista pueda añadirse como menú, tenemos que añadirle una acción de ventana. Para esto, nos vamos a “Técnico” y seleccionamos “Acciones de ventana” y “Crear”.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Introducimos los datos necesarios para añadirle una acción a las vistas que hemos creado</w:t>
      </w:r>
      <w:r>
        <w:rPr>
          <w:rFonts w:ascii="Verdana" w:hAnsi="Verdana" w:cs="Verdana"/>
          <w:highlight w:val="none"/>
        </w:rPr>
        <w:t xml:space="preserve">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Tras esto, añadimos la acción al menú que ya tenemos y comprobamos que están ahí.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16954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14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29225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11.8pt;height:133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21717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7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628900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07.0pt;height:171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272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509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372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108.1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Añadir un campo para relacionar el objeto con otro objeto y actualiza la vista.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relacionarlo con otro modelo, añadimos un nuevo atributo que será el que tenga esta relación y elegimos el campo relacional correspondiente, entre los distintos que hay (many2one, many2many, one2many). Una vez seleccionada, le indicamos el modelo con el que esté relacionado y guardamos.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3620" cy="364753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104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713620" cy="364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71.2pt;height:287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br/>
        <w:t xml:space="preserve">En mi caso, como guardo personas, he relacionado la tabla consigo misma y he dado la posibilidad de asignar un padre a la persona.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8477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758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705349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70.5pt;height:66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Añadimos el nuevo campo a las vistas.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398" cy="471909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995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588397" cy="4719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82.6pt;height:371.6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60102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111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324349" cy="6010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40.5pt;height:473.2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Se ha añadido un “Group” a cada elemento en el formulario para que se vean los campo de forma clara cuando se editan las personas.</w:t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500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76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138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7.8pt;height:109.1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4059" cy="451180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698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2894059" cy="4511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27.9pt;height:355.3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6558" cy="408568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881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3036557" cy="4085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39.1pt;height:321.7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2022-10-28T07:01:40Z</dcterms:modified>
</cp:coreProperties>
</file>