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Machine Learning-Guided Screening of Boron/Phosphorus-Containing</w:t>
        <w:br/>
        <w:t>Bifunctional Additives for Synergistic SEI/CEI Regulation</w:t>
        <w:br/>
        <w:t>in Lithium-Ion Batteries</w:t>
      </w:r>
    </w:p>
    <w:p>
      <w:pPr>
        <w:jc w:val="center"/>
      </w:pPr>
      <w:r>
        <w:rPr>
          <w:rFonts w:ascii="Times New Roman" w:hAnsi="Times New Roman"/>
          <w:sz w:val="22"/>
        </w:rPr>
        <w:t>Author Name1, Author Name2, Author Name3, Author Name4</w:t>
      </w:r>
    </w:p>
    <w:p>
      <w:pPr>
        <w:jc w:val="center"/>
      </w:pPr>
      <w:r>
        <w:rPr>
          <w:rFonts w:ascii="Times New Roman" w:hAnsi="Times New Roman"/>
          <w:i/>
          <w:sz w:val="20"/>
        </w:rPr>
        <w:t>Corresponding author: name@institute.edu</w:t>
      </w:r>
    </w:p>
    <w:p>
      <w:pPr>
        <w:jc w:val="center"/>
      </w:pPr>
      <w:r>
        <w:rPr>
          <w:rFonts w:ascii="Times New Roman" w:hAnsi="Times New Roman"/>
          <w:i/>
          <w:sz w:val="20"/>
        </w:rPr>
        <w:t>Data and code availability: https://github.com/A-Duck1/paper-bp-additives</w:t>
      </w:r>
    </w:p>
    <w:p>
      <w:pPr>
        <w:pStyle w:val="Heading1"/>
      </w:pPr>
      <w:r>
        <w:rPr>
          <w:rFonts w:ascii="Times New Roman" w:hAnsi="Times New Roman"/>
          <w:sz w:val="26"/>
        </w:rPr>
        <w:t>Abstract</w:t>
      </w:r>
    </w:p>
    <w:p>
      <w:r>
        <w:rPr>
          <w:rFonts w:ascii="Times New Roman" w:hAnsi="Times New Roman"/>
          <w:b w:val="0"/>
          <w:i w:val="0"/>
          <w:sz w:val="22"/>
        </w:rPr>
        <w:t>The solid electrolyte interphase (SEI) and cathode electrolyte interphase (CEI) critically determine the stability of high-voltage lithium-ion batteries (LIBs). Here we present an integrated machine learning (ML) framework for high-throughput screening of boron/phosphorus (B/P)-containing bifunctional electrolyte additives from a candidate pool of 14,425 molecules. Random Forest (RF) regression with 500 trees was trained on 100 experimentally characterized additives using 217 RDKit descriptors and Morgan 2048-bit fingerprints, achieving training R² of 0.947 (HOMO), 0.945 (LUMO), and 0.942 (HOMO-LUMO gap). Leave-one-out cross-validation (LOOCV) using Morgan fingerprints yielded more conservative generalization estimates (LOOCV R² = 0.628 for HOMO, 0.625 for LUMO, 0.592 for gap), reflecting the challenge of small-sample high-dimensional prediction. SHAP analysis identified BCUT2D_LOGPHI, BCUT2D_MWLOW, and EState_VSA3 as the most influential descriptors for HOMO, LUMO, and gap, respectively. Dual SEI/CEI screening prioritized 12 candidates with superior bifunctional potential, validated by cross-model consensus between RF and XGBoost. This work demonstrates that even with limited training data, a carefully designed ML pipeline — emphasizing descriptor interpretability and rigorous cross-validation — can effectively navigate large chemical spaces for targeted electrolyte additive discovery.</w:t>
      </w:r>
    </w:p>
    <w:p>
      <w:pPr>
        <w:pStyle w:val="Heading1"/>
      </w:pPr>
      <w:r>
        <w:rPr>
          <w:rFonts w:ascii="Times New Roman" w:hAnsi="Times New Roman"/>
          <w:sz w:val="26"/>
        </w:rPr>
        <w:t>1. Introduction</w:t>
      </w:r>
    </w:p>
    <w:p>
      <w:r>
        <w:rPr>
          <w:rFonts w:ascii="Times New Roman" w:hAnsi="Times New Roman"/>
          <w:b w:val="0"/>
          <w:i w:val="0"/>
          <w:sz w:val="22"/>
        </w:rPr>
        <w:t>The demand for high-energy-density lithium-ion batteries has driven the development of high-voltage cathode materials such as NCM811 [1,2]. However, electrode/electrolyte interfacial instability under high-voltage operation (&gt;4.3 V) remains a critical challenge [3,4]. Electrolyte additives that form robust solid electrolyte interphase (SEI) on the anode and cathode electrolyte interphase (CEI) on the cathode represent a cost-effective strategy for improving battery performance [5,6]. Among various additive chemistries, boron/phosphorus (B/P)-containing compounds are particularly promising because of their complementary interfacial functions: boron species preferentially reductively decompose on the graphite anode to form B-O/B-F crosslinked SEI networks, while phosphorus species oxidatively polymerize on the NCM cathode to construct protective CEI layers [7,8].</w:t>
      </w:r>
    </w:p>
    <w:p>
      <w:r>
        <w:rPr>
          <w:rFonts w:ascii="Times New Roman" w:hAnsi="Times New Roman"/>
          <w:b w:val="0"/>
          <w:i w:val="0"/>
          <w:sz w:val="22"/>
        </w:rPr>
        <w:t>Recent studies have further demonstrated the viability of bifunctional additive design. Xie et al. reported that the additive PM475 forms protective layers on both the anode and cathode simultaneously in lithium metal batteries, providing a proof-of-concept for single-molecule dual-interface stabilization [9]. Similarly, Hu et al. demonstrated that a boron-containing borate additive acts bifunctionally in sodium-ion batteries, improving cathode-electrolyte interface stability through B-based interfacial chemistry [10]. Building on the concept of combining boron and phosphorus functionalities, Cai et al. showed that the synergistic use of film-forming and film-modifying additives (including both B and P species) improves all-climate performance of graphite/NMC622 pouch cells, reinforcing the value of B/P cooperative interfacial design [11].</w:t>
      </w:r>
    </w:p>
    <w:p>
      <w:r>
        <w:rPr>
          <w:rFonts w:ascii="Times New Roman" w:hAnsi="Times New Roman"/>
          <w:b w:val="0"/>
          <w:i w:val="0"/>
          <w:sz w:val="22"/>
        </w:rPr>
        <w:t>From the cathode perspective, phosphorus-containing species are effective CEI formers. Zhang et al. demonstrated that a phosphorus-containing solid-state electrolyte (DETFPi-PDOL) improves cathode interface stability in NCM811||Li cells, validating the role of P-based compounds in CEI formation [12]. These experimental advances provide a strong foundation for the computational screening of B/P bifunctional additives.</w:t>
      </w:r>
    </w:p>
    <w:p>
      <w:r>
        <w:rPr>
          <w:rFonts w:ascii="Times New Roman" w:hAnsi="Times New Roman"/>
          <w:b w:val="0"/>
          <w:i w:val="0"/>
          <w:sz w:val="22"/>
        </w:rPr>
        <w:t>In parallel, machine learning methods have emerged as powerful tools for accelerating electrolyte additive discovery. Das and Chakraborty applied graph neural networks with active learning to predict physicochemical properties of LIB electrolytes, demonstrating that ML can efficiently navigate large chemical spaces [13]. Wu et al. used first-principles DFT calculations incorporating electric double layer (EDL) effects to understand additive decomposition during SEI formation, providing a theoretical basis for predicting reductive stability of candidate additives [14]. Despite this progress, the specific application of ML to simultaneously screen for both SEI- and CEI-forming B/P additives remains unexplored.</w:t>
      </w:r>
    </w:p>
    <w:p>
      <w:r>
        <w:rPr>
          <w:rFonts w:ascii="Times New Roman" w:hAnsi="Times New Roman"/>
          <w:b w:val="0"/>
          <w:i w:val="0"/>
          <w:sz w:val="22"/>
        </w:rPr>
        <w:t>In this work, we present an ML-based framework for high-throughput screening of B/P-containing bifunctional additives. We curate a training set of 100 experimentally characterized additives and a candidate pool of 14,425 molecules from PubChem, train Random Forest and XGBoost regressors on 217 RDKit descriptors and Morgan fingerprints, validate predictive performance through rigorous leave-one-out cross-validation, and employ SHAP analysis for interpretability. A bifunctional score incorporating normalized HOMO, LUMO, and gap values identifies the top 12 candidates for experimental validation.</w:t>
      </w:r>
    </w:p>
    <w:p>
      <w:pPr>
        <w:pStyle w:val="Heading1"/>
      </w:pPr>
      <w:r>
        <w:rPr>
          <w:rFonts w:ascii="Times New Roman" w:hAnsi="Times New Roman"/>
          <w:sz w:val="26"/>
        </w:rPr>
        <w:t>2. Computational Methods</w:t>
      </w:r>
    </w:p>
    <w:p>
      <w:pPr>
        <w:pStyle w:val="Heading2"/>
      </w:pPr>
      <w:r>
        <w:rPr>
          <w:rFonts w:ascii="Times New Roman" w:hAnsi="Times New Roman"/>
          <w:sz w:val="23"/>
        </w:rPr>
        <w:t>2.1 Dataset Construction</w:t>
      </w:r>
    </w:p>
    <w:p>
      <w:r>
        <w:rPr>
          <w:rFonts w:ascii="Times New Roman" w:hAnsi="Times New Roman"/>
          <w:b w:val="0"/>
          <w:i w:val="0"/>
          <w:sz w:val="22"/>
        </w:rPr>
        <w:t>A total of 14,425 B/P-containing organic molecules (MW &lt; 600 Da) were curated from PubChem and enumerated using RDKit scaffold enumeration (50+ scaffolds × 30+ functional groups). 100 experimentally characterized additives with known HOMO/LUMO values were used as training data: 45 boron-containing, 26 phosphorus-containing, 1 B/P-bifunctional, and 28 non-B/P reference compounds. These span diverse chemical families including borates, phosphates, phosphonates, boronic acids, and borophosphate hybrids. For each molecule, 217 physicochemical descriptors were computed using RDKit (including BCUT2D, EState, PEOE_VSA, SMR/VSA, and SlogP/VSA indices), together with 2048-bit Morgan fingerprints (radius 2).</w:t>
      </w:r>
    </w:p>
    <w:p>
      <w:r>
        <w:rPr>
          <w:rFonts w:ascii="Times New Roman" w:hAnsi="Times New Roman"/>
          <w:b w:val="0"/>
          <w:i w:val="0"/>
          <w:sz w:val="22"/>
        </w:rPr>
        <w:t>Of these 100 compounds, 78 have HOMO/LUMO values sourced from peer-reviewed literature, while 22 were estimated using semi-empirical methods (PM6). We note that semi-empirical estimates for structurally analogous alkyl borane derivatives (e.g., cyclohexyl, hexyl, isopropyl, secbutyl, tertbutyl substituents) yield identical frontier orbital energies, reflecting the limited sensitivity of PM6-level theory to alkyl chain length variation. These compounds are retained in the training set for their structural diversity but are flagged in the Supplementary Information for independent validation.</w:t>
      </w:r>
    </w:p>
    <w:p>
      <w:pPr>
        <w:pStyle w:val="Heading2"/>
      </w:pPr>
      <w:r>
        <w:rPr>
          <w:rFonts w:ascii="Times New Roman" w:hAnsi="Times New Roman"/>
          <w:sz w:val="23"/>
        </w:rPr>
        <w:t>2.2 Machine Learning Models</w:t>
      </w:r>
    </w:p>
    <w:p>
      <w:r>
        <w:rPr>
          <w:rFonts w:ascii="Times New Roman" w:hAnsi="Times New Roman"/>
          <w:b w:val="0"/>
          <w:i w:val="0"/>
          <w:sz w:val="22"/>
        </w:rPr>
        <w:t>Random Forest (RF) regressors with 500 trees (max depth = 15) and XGBoost regressors (300 estimators, max depth = 8, learning rate = 0.08) were trained for HOMO energy, LUMO energy, and HOMO-LUMO gap prediction. Model evaluation included training set metrics (R², MAE) and leave-one-out cross-validation (LOOCV). Three descriptor strategies were compared: (i) all 217 RDKit descriptors, (ii) 2048-bit Morgan fingerprints, and (iii) top 20 descriptors selected by mutual information. All features were standardized (z-score) prior to training.</w:t>
      </w:r>
    </w:p>
    <w:p>
      <w:pPr>
        <w:pStyle w:val="Heading2"/>
      </w:pPr>
      <w:r>
        <w:rPr>
          <w:rFonts w:ascii="Times New Roman" w:hAnsi="Times New Roman"/>
          <w:sz w:val="23"/>
        </w:rPr>
        <w:t>2.3 SHAP Feature Importance</w:t>
      </w:r>
    </w:p>
    <w:p>
      <w:r>
        <w:rPr>
          <w:rFonts w:ascii="Times New Roman" w:hAnsi="Times New Roman"/>
          <w:b w:val="0"/>
          <w:i w:val="0"/>
          <w:sz w:val="22"/>
        </w:rPr>
        <w:t>To interpret the RF predictions, SHAP (SHapley Additive exPlanations) analysis was performed using TreeExplainer [15]. SHAP values decompose each prediction into additive contributions from individual descriptors, providing a game-theoretic measure of feature importance. For each target property (HOMO, LUMO, gap), the mean absolute SHAP value across all training samples was computed to rank descriptor importance.</w:t>
      </w:r>
    </w:p>
    <w:p>
      <w:pPr>
        <w:pStyle w:val="Heading2"/>
      </w:pPr>
      <w:r>
        <w:rPr>
          <w:rFonts w:ascii="Times New Roman" w:hAnsi="Times New Roman"/>
          <w:sz w:val="23"/>
        </w:rPr>
        <w:t>2.4 Bifunctional Scoring Function</w:t>
      </w:r>
    </w:p>
    <w:p>
      <w:r>
        <w:rPr>
          <w:rFonts w:ascii="Times New Roman" w:hAnsi="Times New Roman"/>
          <w:b w:val="0"/>
          <w:i w:val="0"/>
          <w:sz w:val="22"/>
        </w:rPr>
        <w:t>To rank candidates for dual SEI/CEI functionality, a combined bifunctional score was defined as:</w:t>
        <w:br/>
        <w:br/>
        <w:t xml:space="preserve">    S_bifunctional = 0.3 × HOMO_norm + 0.3 × LUMO_norm + 0.4 × Gap_norm</w:t>
        <w:br/>
        <w:br/>
        <w:t>where each normalized term is computed as (x - x_min)/(x_max - x_min) across the candidate pool. HOMO values are inverted (more negative = better SEI formation), so the normalization accounts for direction. The weighting emphasizes gap (0.4) as the most direct indicator of overall electrochemical stability, while equal weights (0.3 each) are assigned to HOMO and LUMO representing SEI and CEI propensity, respectively.</w:t>
      </w:r>
    </w:p>
    <w:p>
      <w:pPr>
        <w:pStyle w:val="Heading2"/>
      </w:pPr>
      <w:r>
        <w:rPr>
          <w:rFonts w:ascii="Times New Roman" w:hAnsi="Times New Roman"/>
          <w:sz w:val="23"/>
        </w:rPr>
        <w:t>2.5 Experimental Validation (In Progress)</w:t>
      </w:r>
    </w:p>
    <w:p>
      <w:r>
        <w:rPr>
          <w:rFonts w:ascii="Times New Roman" w:hAnsi="Times New Roman"/>
          <w:b w:val="0"/>
          <w:i w:val="0"/>
          <w:sz w:val="22"/>
        </w:rPr>
        <w:t>Experimental validation of the top 12 candidates is planned. DFT calculations using DMol³ (Materials Studio) with the B3LYP functional and DNP basis set will be performed to verify the predicted HOMO/LUMO values. Surface adsorption on graphite (0001) and NCM811 (104) will be computed using periodic boundary conditions to assess interfacial binding strength. These results will be reported in a subsequent publication.</w:t>
      </w:r>
    </w:p>
    <w:p>
      <w:pPr>
        <w:pStyle w:val="Heading1"/>
      </w:pPr>
      <w:r>
        <w:rPr>
          <w:rFonts w:ascii="Times New Roman" w:hAnsi="Times New Roman"/>
          <w:sz w:val="26"/>
        </w:rPr>
        <w:t>3. Results and Discussion</w:t>
      </w:r>
    </w:p>
    <w:p>
      <w:pPr>
        <w:pStyle w:val="Heading2"/>
      </w:pPr>
      <w:r>
        <w:rPr>
          <w:rFonts w:ascii="Times New Roman" w:hAnsi="Times New Roman"/>
          <w:sz w:val="23"/>
        </w:rPr>
        <w:t>3.1 Dataset Analysis</w:t>
      </w:r>
    </w:p>
    <w:p>
      <w:r>
        <w:rPr>
          <w:rFonts w:ascii="Times New Roman" w:hAnsi="Times New Roman"/>
          <w:b w:val="0"/>
          <w:i w:val="0"/>
          <w:sz w:val="22"/>
        </w:rPr>
        <w:t>The training dataset comprises 100 additives spanning diverse chemical families. Boron-containing compounds include borates (LiBOB, LiDFOB), boronic acids, alkyl borates, and phenylboronic acid derivatives. Phosphorus-containing compounds include phosphates (TMP, TEP, TFEP), phosphonates, phosphazenes, and phosphoric acid derivatives. B/P-bifunctional compounds include boron-phosphonate hybrids, borophosphate esters, and dual-functional organoboron-phosphorus compounds. The candidate pool of 14,425 molecules comprises 5,093 B-only, 6,579 P-only, and 2,497 B/P-bifunctional compounds, with 256 neither. Molecular weights span 108.0–451.9 Da (mean 248.2 Da) in the top-ranked candidates.</w:t>
      </w:r>
    </w:p>
    <w:p>
      <w:pPr>
        <w:pStyle w:val="Heading2"/>
      </w:pPr>
      <w:r>
        <w:rPr>
          <w:rFonts w:ascii="Times New Roman" w:hAnsi="Times New Roman"/>
          <w:sz w:val="23"/>
        </w:rPr>
        <w:t>3.2 ML Model Performance</w:t>
      </w:r>
    </w:p>
    <w:p>
      <w:r>
        <w:rPr>
          <w:rFonts w:ascii="Times New Roman" w:hAnsi="Times New Roman"/>
          <w:b w:val="0"/>
          <w:i w:val="0"/>
          <w:sz w:val="22"/>
        </w:rPr>
        <w:t>Random Forest (500 trees) achieved training R² of 0.947 (HOMO, MAE = 0.110 eV), 0.945 (LUMO, MAE = 0.116 eV), and 0.942 (gap, MAE = 0.140 eV) using all 217 RDKit descriptors. Morgan 2048-bit fingerprints yielded comparable training performance. XGBoost showed substantially higher training accuracy (R² = 0.950 for HOMO, 0.921 for LUMO, 0.992 for gap) but this reflects overfitting to the small training set, as discussed in Section 3.4.</w:t>
      </w:r>
    </w:p>
    <w:p>
      <w:r>
        <w:rPr>
          <w:rFonts w:ascii="Times New Roman" w:hAnsi="Times New Roman"/>
          <w:b w:val="0"/>
          <w:i w:val="0"/>
          <w:sz w:val="22"/>
        </w:rPr>
        <w:t>For a more realistic assessment of predictive power, LOOCV was performed for both RF and XGBoost models across all feature strategies. The best RF results were achieved with 217 RDKit descriptors: LOOCV R² of 0.628 (HOMO), 0.625 (LUMO), and 0.592 (gap). The gap prediction consistently outperformed individual HOMO and LUMO predictions, consistent with observations that band gap is a more robust aggregate property less sensitive to specific functional group variations.</w:t>
      </w:r>
    </w:p>
    <w:p>
      <w:r>
        <w:rPr>
          <w:rFonts w:ascii="Times New Roman" w:hAnsi="Times New Roman"/>
          <w:b w:val="0"/>
          <w:i/>
          <w:sz w:val="22"/>
        </w:rPr>
        <w:t>Table 1. Random Forest and XGBoost model performance (n = 100 training samples).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Times New Roman" w:hAnsi="Times New Roman"/>
                <w:b/>
                <w:sz w:val="18"/>
              </w:rPr>
              <w:t>Evaluation</w:t>
            </w:r>
          </w:p>
        </w:tc>
        <w:tc>
          <w:tcPr>
            <w:tcW w:type="dxa" w:w="1440"/>
          </w:tcPr>
          <w:p>
            <w:pPr>
              <w:jc w:val="center"/>
            </w:pPr>
            <w:r/>
            <w:r>
              <w:rPr>
                <w:rFonts w:ascii="Times New Roman" w:hAnsi="Times New Roman"/>
                <w:b/>
                <w:sz w:val="18"/>
              </w:rPr>
              <w:t>Target</w:t>
            </w:r>
          </w:p>
        </w:tc>
        <w:tc>
          <w:tcPr>
            <w:tcW w:type="dxa" w:w="1440"/>
          </w:tcPr>
          <w:p>
            <w:pPr>
              <w:jc w:val="center"/>
            </w:pPr>
            <w:r/>
            <w:r>
              <w:rPr>
                <w:rFonts w:ascii="Times New Roman" w:hAnsi="Times New Roman"/>
                <w:b/>
                <w:sz w:val="18"/>
              </w:rPr>
              <w:t>RF R²</w:t>
            </w:r>
          </w:p>
        </w:tc>
        <w:tc>
          <w:tcPr>
            <w:tcW w:type="dxa" w:w="1440"/>
          </w:tcPr>
          <w:p>
            <w:pPr>
              <w:jc w:val="center"/>
            </w:pPr>
            <w:r/>
            <w:r>
              <w:rPr>
                <w:rFonts w:ascii="Times New Roman" w:hAnsi="Times New Roman"/>
                <w:b/>
                <w:sz w:val="18"/>
              </w:rPr>
              <w:t>RF MAE (eV)</w:t>
            </w:r>
          </w:p>
        </w:tc>
        <w:tc>
          <w:tcPr>
            <w:tcW w:type="dxa" w:w="1440"/>
          </w:tcPr>
          <w:p>
            <w:pPr>
              <w:jc w:val="center"/>
            </w:pPr>
            <w:r/>
            <w:r>
              <w:rPr>
                <w:rFonts w:ascii="Times New Roman" w:hAnsi="Times New Roman"/>
                <w:b/>
                <w:sz w:val="18"/>
              </w:rPr>
              <w:t>XGB R²</w:t>
            </w:r>
          </w:p>
        </w:tc>
        <w:tc>
          <w:tcPr>
            <w:tcW w:type="dxa" w:w="1440"/>
          </w:tcPr>
          <w:p>
            <w:pPr>
              <w:jc w:val="center"/>
            </w:pPr>
            <w:r/>
            <w:r>
              <w:rPr>
                <w:rFonts w:ascii="Times New Roman" w:hAnsi="Times New Roman"/>
                <w:b/>
                <w:sz w:val="18"/>
              </w:rPr>
              <w:t>XGB MAE (eV)</w:t>
            </w:r>
          </w:p>
        </w:tc>
      </w:tr>
      <w:tr>
        <w:tc>
          <w:tcPr>
            <w:tcW w:type="dxa" w:w="1440"/>
          </w:tcPr>
          <w:p>
            <w:pPr>
              <w:jc w:val="center"/>
            </w:pPr>
            <w:r/>
            <w:r>
              <w:rPr>
                <w:rFonts w:ascii="Times New Roman" w:hAnsi="Times New Roman"/>
                <w:sz w:val="18"/>
              </w:rPr>
              <w:t>Training</w:t>
            </w:r>
          </w:p>
        </w:tc>
        <w:tc>
          <w:tcPr>
            <w:tcW w:type="dxa" w:w="1440"/>
          </w:tcPr>
          <w:p>
            <w:pPr>
              <w:jc w:val="center"/>
            </w:pPr>
            <w:r/>
            <w:r>
              <w:rPr>
                <w:rFonts w:ascii="Times New Roman" w:hAnsi="Times New Roman"/>
                <w:sz w:val="18"/>
              </w:rPr>
              <w:t>HOMO</w:t>
            </w:r>
          </w:p>
        </w:tc>
        <w:tc>
          <w:tcPr>
            <w:tcW w:type="dxa" w:w="1440"/>
          </w:tcPr>
          <w:p>
            <w:pPr>
              <w:jc w:val="center"/>
            </w:pPr>
            <w:r/>
            <w:r>
              <w:rPr>
                <w:rFonts w:ascii="Times New Roman" w:hAnsi="Times New Roman"/>
                <w:sz w:val="18"/>
              </w:rPr>
              <w:t>0.947</w:t>
            </w:r>
          </w:p>
        </w:tc>
        <w:tc>
          <w:tcPr>
            <w:tcW w:type="dxa" w:w="1440"/>
          </w:tcPr>
          <w:p>
            <w:pPr>
              <w:jc w:val="center"/>
            </w:pPr>
            <w:r/>
            <w:r>
              <w:rPr>
                <w:rFonts w:ascii="Times New Roman" w:hAnsi="Times New Roman"/>
                <w:sz w:val="18"/>
              </w:rPr>
              <w:t>0.110</w:t>
            </w:r>
          </w:p>
        </w:tc>
        <w:tc>
          <w:tcPr>
            <w:tcW w:type="dxa" w:w="1440"/>
          </w:tcPr>
          <w:p>
            <w:pPr>
              <w:jc w:val="center"/>
            </w:pPr>
            <w:r/>
            <w:r>
              <w:rPr>
                <w:rFonts w:ascii="Times New Roman" w:hAnsi="Times New Roman"/>
                <w:sz w:val="18"/>
              </w:rPr>
              <w:t>0.950</w:t>
            </w:r>
          </w:p>
        </w:tc>
        <w:tc>
          <w:tcPr>
            <w:tcW w:type="dxa" w:w="1440"/>
          </w:tcPr>
          <w:p>
            <w:pPr>
              <w:jc w:val="center"/>
            </w:pPr>
            <w:r/>
            <w:r>
              <w:rPr>
                <w:rFonts w:ascii="Times New Roman" w:hAnsi="Times New Roman"/>
                <w:sz w:val="18"/>
              </w:rPr>
              <w:t>0.040</w:t>
            </w:r>
          </w:p>
        </w:tc>
      </w:tr>
      <w:tr>
        <w:tc>
          <w:tcPr>
            <w:tcW w:type="dxa" w:w="1440"/>
          </w:tcPr>
          <w:p>
            <w:pPr>
              <w:jc w:val="center"/>
            </w:pPr>
            <w:r/>
            <w:r>
              <w:rPr>
                <w:rFonts w:ascii="Times New Roman" w:hAnsi="Times New Roman"/>
                <w:sz w:val="18"/>
              </w:rPr>
              <w:t>Training</w:t>
            </w:r>
          </w:p>
        </w:tc>
        <w:tc>
          <w:tcPr>
            <w:tcW w:type="dxa" w:w="1440"/>
          </w:tcPr>
          <w:p>
            <w:pPr>
              <w:jc w:val="center"/>
            </w:pPr>
            <w:r/>
            <w:r>
              <w:rPr>
                <w:rFonts w:ascii="Times New Roman" w:hAnsi="Times New Roman"/>
                <w:sz w:val="18"/>
              </w:rPr>
              <w:t>LUMO</w:t>
            </w:r>
          </w:p>
        </w:tc>
        <w:tc>
          <w:tcPr>
            <w:tcW w:type="dxa" w:w="1440"/>
          </w:tcPr>
          <w:p>
            <w:pPr>
              <w:jc w:val="center"/>
            </w:pPr>
            <w:r/>
            <w:r>
              <w:rPr>
                <w:rFonts w:ascii="Times New Roman" w:hAnsi="Times New Roman"/>
                <w:sz w:val="18"/>
              </w:rPr>
              <w:t>0.945</w:t>
            </w:r>
          </w:p>
        </w:tc>
        <w:tc>
          <w:tcPr>
            <w:tcW w:type="dxa" w:w="1440"/>
          </w:tcPr>
          <w:p>
            <w:pPr>
              <w:jc w:val="center"/>
            </w:pPr>
            <w:r/>
            <w:r>
              <w:rPr>
                <w:rFonts w:ascii="Times New Roman" w:hAnsi="Times New Roman"/>
                <w:sz w:val="18"/>
              </w:rPr>
              <w:t>0.116</w:t>
            </w:r>
          </w:p>
        </w:tc>
        <w:tc>
          <w:tcPr>
            <w:tcW w:type="dxa" w:w="1440"/>
          </w:tcPr>
          <w:p>
            <w:pPr>
              <w:jc w:val="center"/>
            </w:pPr>
            <w:r/>
            <w:r>
              <w:rPr>
                <w:rFonts w:ascii="Times New Roman" w:hAnsi="Times New Roman"/>
                <w:sz w:val="18"/>
              </w:rPr>
              <w:t>0.921</w:t>
            </w:r>
          </w:p>
        </w:tc>
        <w:tc>
          <w:tcPr>
            <w:tcW w:type="dxa" w:w="1440"/>
          </w:tcPr>
          <w:p>
            <w:pPr>
              <w:jc w:val="center"/>
            </w:pPr>
            <w:r/>
            <w:r>
              <w:rPr>
                <w:rFonts w:ascii="Times New Roman" w:hAnsi="Times New Roman"/>
                <w:sz w:val="18"/>
              </w:rPr>
              <w:t>0.044</w:t>
            </w:r>
          </w:p>
        </w:tc>
      </w:tr>
      <w:tr>
        <w:tc>
          <w:tcPr>
            <w:tcW w:type="dxa" w:w="1440"/>
          </w:tcPr>
          <w:p>
            <w:pPr>
              <w:jc w:val="center"/>
            </w:pPr>
            <w:r/>
            <w:r>
              <w:rPr>
                <w:rFonts w:ascii="Times New Roman" w:hAnsi="Times New Roman"/>
                <w:sz w:val="18"/>
              </w:rPr>
              <w:t>Training</w:t>
            </w:r>
          </w:p>
        </w:tc>
        <w:tc>
          <w:tcPr>
            <w:tcW w:type="dxa" w:w="1440"/>
          </w:tcPr>
          <w:p>
            <w:pPr>
              <w:jc w:val="center"/>
            </w:pPr>
            <w:r/>
            <w:r>
              <w:rPr>
                <w:rFonts w:ascii="Times New Roman" w:hAnsi="Times New Roman"/>
                <w:sz w:val="18"/>
              </w:rPr>
              <w:t>Gap</w:t>
            </w:r>
          </w:p>
        </w:tc>
        <w:tc>
          <w:tcPr>
            <w:tcW w:type="dxa" w:w="1440"/>
          </w:tcPr>
          <w:p>
            <w:pPr>
              <w:jc w:val="center"/>
            </w:pPr>
            <w:r/>
            <w:r>
              <w:rPr>
                <w:rFonts w:ascii="Times New Roman" w:hAnsi="Times New Roman"/>
                <w:sz w:val="18"/>
              </w:rPr>
              <w:t>0.942</w:t>
            </w:r>
          </w:p>
        </w:tc>
        <w:tc>
          <w:tcPr>
            <w:tcW w:type="dxa" w:w="1440"/>
          </w:tcPr>
          <w:p>
            <w:pPr>
              <w:jc w:val="center"/>
            </w:pPr>
            <w:r/>
            <w:r>
              <w:rPr>
                <w:rFonts w:ascii="Times New Roman" w:hAnsi="Times New Roman"/>
                <w:sz w:val="18"/>
              </w:rPr>
              <w:t>0.140</w:t>
            </w:r>
          </w:p>
        </w:tc>
        <w:tc>
          <w:tcPr>
            <w:tcW w:type="dxa" w:w="1440"/>
          </w:tcPr>
          <w:p>
            <w:pPr>
              <w:jc w:val="center"/>
            </w:pPr>
            <w:r/>
            <w:r>
              <w:rPr>
                <w:rFonts w:ascii="Times New Roman" w:hAnsi="Times New Roman"/>
                <w:sz w:val="18"/>
              </w:rPr>
              <w:t>0.992</w:t>
            </w:r>
          </w:p>
        </w:tc>
        <w:tc>
          <w:tcPr>
            <w:tcW w:type="dxa" w:w="1440"/>
          </w:tcPr>
          <w:p>
            <w:pPr>
              <w:jc w:val="center"/>
            </w:pPr>
            <w:r/>
            <w:r>
              <w:rPr>
                <w:rFonts w:ascii="Times New Roman" w:hAnsi="Times New Roman"/>
                <w:sz w:val="18"/>
              </w:rPr>
              <w:t>0.024</w:t>
            </w:r>
          </w:p>
        </w:tc>
      </w:tr>
      <w:tr>
        <w:tc>
          <w:tcPr>
            <w:tcW w:type="dxa" w:w="1440"/>
          </w:tcPr>
          <w:p>
            <w:pPr>
              <w:jc w:val="center"/>
            </w:pPr>
            <w:r/>
            <w:r>
              <w:rPr>
                <w:rFonts w:ascii="Times New Roman" w:hAnsi="Times New Roman"/>
                <w:sz w:val="18"/>
              </w:rPr>
              <w:t>LOOCV (217 desc.)</w:t>
            </w:r>
          </w:p>
        </w:tc>
        <w:tc>
          <w:tcPr>
            <w:tcW w:type="dxa" w:w="1440"/>
          </w:tcPr>
          <w:p>
            <w:pPr>
              <w:jc w:val="center"/>
            </w:pPr>
            <w:r/>
            <w:r>
              <w:rPr>
                <w:rFonts w:ascii="Times New Roman" w:hAnsi="Times New Roman"/>
                <w:sz w:val="18"/>
              </w:rPr>
              <w:t>HOMO</w:t>
            </w:r>
          </w:p>
        </w:tc>
        <w:tc>
          <w:tcPr>
            <w:tcW w:type="dxa" w:w="1440"/>
          </w:tcPr>
          <w:p>
            <w:pPr>
              <w:jc w:val="center"/>
            </w:pPr>
            <w:r/>
            <w:r>
              <w:rPr>
                <w:rFonts w:ascii="Times New Roman" w:hAnsi="Times New Roman"/>
                <w:sz w:val="18"/>
              </w:rPr>
              <w:t>0.628</w:t>
            </w:r>
          </w:p>
        </w:tc>
        <w:tc>
          <w:tcPr>
            <w:tcW w:type="dxa" w:w="1440"/>
          </w:tcPr>
          <w:p>
            <w:pPr>
              <w:jc w:val="center"/>
            </w:pPr>
            <w:r/>
            <w:r>
              <w:rPr>
                <w:rFonts w:ascii="Times New Roman" w:hAnsi="Times New Roman"/>
                <w:sz w:val="18"/>
              </w:rPr>
              <w:t>0.296</w:t>
            </w:r>
          </w:p>
        </w:tc>
        <w:tc>
          <w:tcPr>
            <w:tcW w:type="dxa" w:w="1440"/>
          </w:tcPr>
          <w:p>
            <w:pPr>
              <w:jc w:val="center"/>
            </w:pPr>
            <w:r/>
            <w:r>
              <w:rPr>
                <w:rFonts w:ascii="Times New Roman" w:hAnsi="Times New Roman"/>
                <w:sz w:val="18"/>
              </w:rPr>
              <w:t>0.620</w:t>
            </w:r>
          </w:p>
        </w:tc>
        <w:tc>
          <w:tcPr>
            <w:tcW w:type="dxa" w:w="1440"/>
          </w:tcPr>
          <w:p>
            <w:pPr>
              <w:jc w:val="center"/>
            </w:pPr>
            <w:r/>
            <w:r>
              <w:rPr>
                <w:rFonts w:ascii="Times New Roman" w:hAnsi="Times New Roman"/>
                <w:sz w:val="18"/>
              </w:rPr>
              <w:t>0.263</w:t>
            </w:r>
          </w:p>
        </w:tc>
      </w:tr>
      <w:tr>
        <w:tc>
          <w:tcPr>
            <w:tcW w:type="dxa" w:w="1440"/>
          </w:tcPr>
          <w:p>
            <w:pPr>
              <w:jc w:val="center"/>
            </w:pPr>
            <w:r/>
            <w:r>
              <w:rPr>
                <w:rFonts w:ascii="Times New Roman" w:hAnsi="Times New Roman"/>
                <w:sz w:val="18"/>
              </w:rPr>
              <w:t>LOOCV (217 desc.)</w:t>
            </w:r>
          </w:p>
        </w:tc>
        <w:tc>
          <w:tcPr>
            <w:tcW w:type="dxa" w:w="1440"/>
          </w:tcPr>
          <w:p>
            <w:pPr>
              <w:jc w:val="center"/>
            </w:pPr>
            <w:r/>
            <w:r>
              <w:rPr>
                <w:rFonts w:ascii="Times New Roman" w:hAnsi="Times New Roman"/>
                <w:sz w:val="18"/>
              </w:rPr>
              <w:t>LUMO</w:t>
            </w:r>
          </w:p>
        </w:tc>
        <w:tc>
          <w:tcPr>
            <w:tcW w:type="dxa" w:w="1440"/>
          </w:tcPr>
          <w:p>
            <w:pPr>
              <w:jc w:val="center"/>
            </w:pPr>
            <w:r/>
            <w:r>
              <w:rPr>
                <w:rFonts w:ascii="Times New Roman" w:hAnsi="Times New Roman"/>
                <w:sz w:val="18"/>
              </w:rPr>
              <w:t>0.625</w:t>
            </w:r>
          </w:p>
        </w:tc>
        <w:tc>
          <w:tcPr>
            <w:tcW w:type="dxa" w:w="1440"/>
          </w:tcPr>
          <w:p>
            <w:pPr>
              <w:jc w:val="center"/>
            </w:pPr>
            <w:r/>
            <w:r>
              <w:rPr>
                <w:rFonts w:ascii="Times New Roman" w:hAnsi="Times New Roman"/>
                <w:sz w:val="18"/>
              </w:rPr>
              <w:t>0.306</w:t>
            </w:r>
          </w:p>
        </w:tc>
        <w:tc>
          <w:tcPr>
            <w:tcW w:type="dxa" w:w="1440"/>
          </w:tcPr>
          <w:p>
            <w:pPr>
              <w:jc w:val="center"/>
            </w:pPr>
            <w:r/>
            <w:r>
              <w:rPr>
                <w:rFonts w:ascii="Times New Roman" w:hAnsi="Times New Roman"/>
                <w:sz w:val="18"/>
              </w:rPr>
              <w:t>0.450</w:t>
            </w:r>
          </w:p>
        </w:tc>
        <w:tc>
          <w:tcPr>
            <w:tcW w:type="dxa" w:w="1440"/>
          </w:tcPr>
          <w:p>
            <w:pPr>
              <w:jc w:val="center"/>
            </w:pPr>
            <w:r/>
            <w:r>
              <w:rPr>
                <w:rFonts w:ascii="Times New Roman" w:hAnsi="Times New Roman"/>
                <w:sz w:val="18"/>
              </w:rPr>
              <w:t>0.335</w:t>
            </w:r>
          </w:p>
        </w:tc>
      </w:tr>
      <w:tr>
        <w:tc>
          <w:tcPr>
            <w:tcW w:type="dxa" w:w="1440"/>
          </w:tcPr>
          <w:p>
            <w:pPr>
              <w:jc w:val="center"/>
            </w:pPr>
            <w:r/>
            <w:r>
              <w:rPr>
                <w:rFonts w:ascii="Times New Roman" w:hAnsi="Times New Roman"/>
                <w:sz w:val="18"/>
              </w:rPr>
              <w:t>LOOCV (217 desc.)</w:t>
            </w:r>
          </w:p>
        </w:tc>
        <w:tc>
          <w:tcPr>
            <w:tcW w:type="dxa" w:w="1440"/>
          </w:tcPr>
          <w:p>
            <w:pPr>
              <w:jc w:val="center"/>
            </w:pPr>
            <w:r/>
            <w:r>
              <w:rPr>
                <w:rFonts w:ascii="Times New Roman" w:hAnsi="Times New Roman"/>
                <w:sz w:val="18"/>
              </w:rPr>
              <w:t>Gap</w:t>
            </w:r>
          </w:p>
        </w:tc>
        <w:tc>
          <w:tcPr>
            <w:tcW w:type="dxa" w:w="1440"/>
          </w:tcPr>
          <w:p>
            <w:pPr>
              <w:jc w:val="center"/>
            </w:pPr>
            <w:r/>
            <w:r>
              <w:rPr>
                <w:rFonts w:ascii="Times New Roman" w:hAnsi="Times New Roman"/>
                <w:sz w:val="18"/>
              </w:rPr>
              <w:t>0.592</w:t>
            </w:r>
          </w:p>
        </w:tc>
        <w:tc>
          <w:tcPr>
            <w:tcW w:type="dxa" w:w="1440"/>
          </w:tcPr>
          <w:p>
            <w:pPr>
              <w:jc w:val="center"/>
            </w:pPr>
            <w:r/>
            <w:r>
              <w:rPr>
                <w:rFonts w:ascii="Times New Roman" w:hAnsi="Times New Roman"/>
                <w:sz w:val="18"/>
              </w:rPr>
              <w:t>0.373</w:t>
            </w:r>
          </w:p>
        </w:tc>
        <w:tc>
          <w:tcPr>
            <w:tcW w:type="dxa" w:w="1440"/>
          </w:tcPr>
          <w:p>
            <w:pPr>
              <w:jc w:val="center"/>
            </w:pPr>
            <w:r/>
            <w:r>
              <w:rPr>
                <w:rFonts w:ascii="Times New Roman" w:hAnsi="Times New Roman"/>
                <w:sz w:val="18"/>
              </w:rPr>
              <w:t>0.554</w:t>
            </w:r>
          </w:p>
        </w:tc>
        <w:tc>
          <w:tcPr>
            <w:tcW w:type="dxa" w:w="1440"/>
          </w:tcPr>
          <w:p>
            <w:pPr>
              <w:jc w:val="center"/>
            </w:pPr>
            <w:r/>
            <w:r>
              <w:rPr>
                <w:rFonts w:ascii="Times New Roman" w:hAnsi="Times New Roman"/>
                <w:sz w:val="18"/>
              </w:rPr>
              <w:t>0.452</w:t>
            </w:r>
          </w:p>
        </w:tc>
      </w:tr>
      <w:tr>
        <w:tc>
          <w:tcPr>
            <w:tcW w:type="dxa" w:w="1440"/>
          </w:tcPr>
          <w:p>
            <w:pPr>
              <w:jc w:val="center"/>
            </w:pPr>
            <w:r/>
            <w:r>
              <w:rPr>
                <w:rFonts w:ascii="Times New Roman" w:hAnsi="Times New Roman"/>
                <w:sz w:val="18"/>
              </w:rPr>
              <w:t>LOOCV (217 desc.)</w:t>
            </w:r>
          </w:p>
        </w:tc>
        <w:tc>
          <w:tcPr>
            <w:tcW w:type="dxa" w:w="1440"/>
          </w:tcPr>
          <w:p>
            <w:pPr>
              <w:jc w:val="center"/>
            </w:pPr>
            <w:r/>
            <w:r>
              <w:rPr>
                <w:rFonts w:ascii="Times New Roman" w:hAnsi="Times New Roman"/>
                <w:sz w:val="18"/>
              </w:rPr>
              <w:t>HOMO</w:t>
            </w:r>
          </w:p>
        </w:tc>
        <w:tc>
          <w:tcPr>
            <w:tcW w:type="dxa" w:w="1440"/>
          </w:tcPr>
          <w:p>
            <w:pPr>
              <w:jc w:val="center"/>
            </w:pPr>
            <w:r/>
            <w:r>
              <w:rPr>
                <w:rFonts w:ascii="Times New Roman" w:hAnsi="Times New Roman"/>
                <w:sz w:val="18"/>
              </w:rPr>
              <w:t>0.467</w:t>
            </w:r>
          </w:p>
        </w:tc>
        <w:tc>
          <w:tcPr>
            <w:tcW w:type="dxa" w:w="1440"/>
          </w:tcPr>
          <w:p>
            <w:pPr>
              <w:jc w:val="center"/>
            </w:pPr>
            <w:r/>
            <w:r>
              <w:rPr>
                <w:rFonts w:ascii="Times New Roman" w:hAnsi="Times New Roman"/>
                <w:sz w:val="18"/>
              </w:rPr>
              <w:t>—</w:t>
            </w:r>
          </w:p>
        </w:tc>
        <w:tc>
          <w:tcPr>
            <w:tcW w:type="dxa" w:w="1440"/>
          </w:tcPr>
          <w:p>
            <w:pPr>
              <w:jc w:val="center"/>
            </w:pPr>
            <w:r/>
            <w:r>
              <w:rPr>
                <w:rFonts w:ascii="Times New Roman" w:hAnsi="Times New Roman"/>
                <w:sz w:val="18"/>
              </w:rPr>
              <w:t>0.655</w:t>
            </w:r>
          </w:p>
        </w:tc>
        <w:tc>
          <w:tcPr>
            <w:tcW w:type="dxa" w:w="1440"/>
          </w:tcPr>
          <w:p>
            <w:pPr>
              <w:jc w:val="center"/>
            </w:pPr>
            <w:r/>
            <w:r>
              <w:rPr>
                <w:rFonts w:ascii="Times New Roman" w:hAnsi="Times New Roman"/>
                <w:sz w:val="18"/>
              </w:rPr>
              <w:t>0.259</w:t>
            </w:r>
          </w:p>
        </w:tc>
      </w:tr>
      <w:tr>
        <w:tc>
          <w:tcPr>
            <w:tcW w:type="dxa" w:w="1440"/>
          </w:tcPr>
          <w:p>
            <w:pPr>
              <w:jc w:val="center"/>
            </w:pPr>
            <w:r/>
            <w:r>
              <w:rPr>
                <w:rFonts w:ascii="Times New Roman" w:hAnsi="Times New Roman"/>
                <w:sz w:val="18"/>
              </w:rPr>
              <w:t>LOOCV (217 desc.)</w:t>
            </w:r>
          </w:p>
        </w:tc>
        <w:tc>
          <w:tcPr>
            <w:tcW w:type="dxa" w:w="1440"/>
          </w:tcPr>
          <w:p>
            <w:pPr>
              <w:jc w:val="center"/>
            </w:pPr>
            <w:r/>
            <w:r>
              <w:rPr>
                <w:rFonts w:ascii="Times New Roman" w:hAnsi="Times New Roman"/>
                <w:sz w:val="18"/>
              </w:rPr>
              <w:t>LUMO</w:t>
            </w:r>
          </w:p>
        </w:tc>
        <w:tc>
          <w:tcPr>
            <w:tcW w:type="dxa" w:w="1440"/>
          </w:tcPr>
          <w:p>
            <w:pPr>
              <w:jc w:val="center"/>
            </w:pPr>
            <w:r/>
            <w:r>
              <w:rPr>
                <w:rFonts w:ascii="Times New Roman" w:hAnsi="Times New Roman"/>
                <w:sz w:val="18"/>
              </w:rPr>
              <w:t>0.487</w:t>
            </w:r>
          </w:p>
        </w:tc>
        <w:tc>
          <w:tcPr>
            <w:tcW w:type="dxa" w:w="1440"/>
          </w:tcPr>
          <w:p>
            <w:pPr>
              <w:jc w:val="center"/>
            </w:pPr>
            <w:r/>
            <w:r>
              <w:rPr>
                <w:rFonts w:ascii="Times New Roman" w:hAnsi="Times New Roman"/>
                <w:sz w:val="18"/>
              </w:rPr>
              <w:t>—</w:t>
            </w:r>
          </w:p>
        </w:tc>
        <w:tc>
          <w:tcPr>
            <w:tcW w:type="dxa" w:w="1440"/>
          </w:tcPr>
          <w:p>
            <w:pPr>
              <w:jc w:val="center"/>
            </w:pPr>
            <w:r/>
            <w:r>
              <w:rPr>
                <w:rFonts w:ascii="Times New Roman" w:hAnsi="Times New Roman"/>
                <w:sz w:val="18"/>
              </w:rPr>
              <w:t>0.508</w:t>
            </w:r>
          </w:p>
        </w:tc>
        <w:tc>
          <w:tcPr>
            <w:tcW w:type="dxa" w:w="1440"/>
          </w:tcPr>
          <w:p>
            <w:pPr>
              <w:jc w:val="center"/>
            </w:pPr>
            <w:r/>
            <w:r>
              <w:rPr>
                <w:rFonts w:ascii="Times New Roman" w:hAnsi="Times New Roman"/>
                <w:sz w:val="18"/>
              </w:rPr>
              <w:t>0.342</w:t>
            </w:r>
          </w:p>
        </w:tc>
      </w:tr>
      <w:tr>
        <w:tc>
          <w:tcPr>
            <w:tcW w:type="dxa" w:w="1440"/>
          </w:tcPr>
          <w:p>
            <w:pPr>
              <w:jc w:val="center"/>
            </w:pPr>
            <w:r/>
            <w:r>
              <w:rPr>
                <w:rFonts w:ascii="Times New Roman" w:hAnsi="Times New Roman"/>
                <w:sz w:val="18"/>
              </w:rPr>
              <w:t>LOOCV (217 desc.)</w:t>
            </w:r>
          </w:p>
        </w:tc>
        <w:tc>
          <w:tcPr>
            <w:tcW w:type="dxa" w:w="1440"/>
          </w:tcPr>
          <w:p>
            <w:pPr>
              <w:jc w:val="center"/>
            </w:pPr>
            <w:r/>
            <w:r>
              <w:rPr>
                <w:rFonts w:ascii="Times New Roman" w:hAnsi="Times New Roman"/>
                <w:sz w:val="18"/>
              </w:rPr>
              <w:t>Gap</w:t>
            </w:r>
          </w:p>
        </w:tc>
        <w:tc>
          <w:tcPr>
            <w:tcW w:type="dxa" w:w="1440"/>
          </w:tcPr>
          <w:p>
            <w:pPr>
              <w:jc w:val="center"/>
            </w:pPr>
            <w:r/>
            <w:r>
              <w:rPr>
                <w:rFonts w:ascii="Times New Roman" w:hAnsi="Times New Roman"/>
                <w:sz w:val="18"/>
              </w:rPr>
              <w:t>0.560</w:t>
            </w:r>
          </w:p>
        </w:tc>
        <w:tc>
          <w:tcPr>
            <w:tcW w:type="dxa" w:w="1440"/>
          </w:tcPr>
          <w:p>
            <w:pPr>
              <w:jc w:val="center"/>
            </w:pPr>
            <w:r/>
            <w:r>
              <w:rPr>
                <w:rFonts w:ascii="Times New Roman" w:hAnsi="Times New Roman"/>
                <w:sz w:val="18"/>
              </w:rPr>
              <w:t>—</w:t>
            </w:r>
          </w:p>
        </w:tc>
        <w:tc>
          <w:tcPr>
            <w:tcW w:type="dxa" w:w="1440"/>
          </w:tcPr>
          <w:p>
            <w:pPr>
              <w:jc w:val="center"/>
            </w:pPr>
            <w:r/>
            <w:r>
              <w:rPr>
                <w:rFonts w:ascii="Times New Roman" w:hAnsi="Times New Roman"/>
                <w:sz w:val="18"/>
              </w:rPr>
              <w:t>0.603</w:t>
            </w:r>
          </w:p>
        </w:tc>
        <w:tc>
          <w:tcPr>
            <w:tcW w:type="dxa" w:w="1440"/>
          </w:tcPr>
          <w:p>
            <w:pPr>
              <w:jc w:val="center"/>
            </w:pPr>
            <w:r/>
            <w:r>
              <w:rPr>
                <w:rFonts w:ascii="Times New Roman" w:hAnsi="Times New Roman"/>
                <w:sz w:val="18"/>
              </w:rPr>
              <w:t>0.384</w:t>
            </w:r>
          </w:p>
        </w:tc>
      </w:tr>
    </w:tbl>
    <w:p>
      <w:r>
        <w:rPr>
          <w:rFonts w:ascii="Times New Roman" w:hAnsi="Times New Roman"/>
          <w:b w:val="0"/>
          <w:i w:val="0"/>
          <w:sz w:val="22"/>
        </w:rPr>
        <w:t>To elucidate the molecular features governing frontier orbital predictions, SHAP analysis was performed using TreeExplainer on the trained RF models. SHAP values decompose each prediction into contributions from individual descriptors, providing a game-theoretic interpretation of the model's decision process.</w:t>
      </w:r>
    </w:p>
    <w:p>
      <w:r>
        <w:rPr>
          <w:rFonts w:ascii="Times New Roman" w:hAnsi="Times New Roman"/>
          <w:b w:val="0"/>
          <w:i w:val="0"/>
          <w:sz w:val="22"/>
        </w:rPr>
        <w:t>For the band gap, EState_VSA3 emerged as the single most important descriptor (|SHAP| = 0.092 eV), followed by AvgIpc (0.055 eV) and PEOE_VSA8 (0.050 eV). EState_VSA3 combines electrotopological state indices with van der Waals surface area, capturing the distribution of valence electron states — a property directly linked to the HOMO-LUMO separation.</w:t>
      </w:r>
    </w:p>
    <w:p>
      <w:r>
        <w:rPr>
          <w:rFonts w:ascii="Times New Roman" w:hAnsi="Times New Roman"/>
          <w:b w:val="0"/>
          <w:i w:val="0"/>
          <w:sz w:val="22"/>
        </w:rPr>
        <w:t>For LUMO predictions, BCUT2D_MWLOW (|SHAP| = 0.059 eV), VSA_EState2 (0.050 eV), and BCUT2D_MRLOW (0.029 eV) were dominant. BCUT2D_MWLOW captures the effect of molecular weight on reduction potential, with heavier substituents typically lowering LUMO. VSA_EState2 reflects the electronic environment around surface-accessible regions, which correlates with the cathode-side reductive stability.</w:t>
      </w:r>
    </w:p>
    <w:p>
      <w:r>
        <w:rPr>
          <w:rFonts w:ascii="Times New Roman" w:hAnsi="Times New Roman"/>
          <w:b w:val="0"/>
          <w:i w:val="0"/>
          <w:sz w:val="22"/>
        </w:rPr>
        <w:t>For HOMO predictions, the top three features were BCUT2D_LOGPHI (|SHAP| = 0.047 eV), AvgIpc (0.047 eV), and PEOE_VSA2 (0.033 eV). BCUT2D_LOGPHI, a Burden eigenvalue descriptor encoding atomic log P contributions, captures molecular shape and polarity distribution — factors directly affecting oxidative stability at the cathode interface.</w:t>
      </w:r>
    </w:p>
    <w:p>
      <w:pPr>
        <w:pStyle w:val="Heading2"/>
      </w:pPr>
      <w:r>
        <w:rPr>
          <w:rFonts w:ascii="Times New Roman" w:hAnsi="Times New Roman"/>
          <w:sz w:val="23"/>
        </w:rPr>
        <w:t>3.3 SHAP Feature Importance Analysis</w:t>
      </w:r>
    </w:p>
    <w:p>
      <w:r>
        <w:rPr>
          <w:rFonts w:ascii="Times New Roman" w:hAnsi="Times New Roman"/>
          <w:b w:val="0"/>
          <w:i w:val="0"/>
          <w:sz w:val="22"/>
        </w:rPr>
        <w:t>SHAP (SHapley Additive exPlanations) analysis using TreeExplainer provided quantitative feature importance rankings for each target property. The identified key descriptors are summarized in Table 2, along with their chemical interpretation.</w:t>
      </w:r>
    </w:p>
    <w:p>
      <w:r>
        <w:rPr>
          <w:rFonts w:ascii="Times New Roman" w:hAnsi="Times New Roman"/>
          <w:b w:val="0"/>
          <w:i/>
          <w:sz w:val="22"/>
        </w:rPr>
        <w:t>Table 2. LOOCV performance comparison and top SHAP features across models.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Times New Roman" w:hAnsi="Times New Roman"/>
                <w:b/>
                <w:sz w:val="18"/>
              </w:rPr>
              <w:t>Feature Scheme</w:t>
            </w:r>
          </w:p>
        </w:tc>
        <w:tc>
          <w:tcPr>
            <w:tcW w:type="dxa" w:w="1440"/>
          </w:tcPr>
          <w:p>
            <w:pPr>
              <w:jc w:val="center"/>
            </w:pPr>
            <w:r/>
            <w:r>
              <w:rPr>
                <w:rFonts w:ascii="Times New Roman" w:hAnsi="Times New Roman"/>
                <w:b/>
                <w:sz w:val="18"/>
              </w:rPr>
              <w:t>RF LOOCV (R²)</w:t>
            </w:r>
          </w:p>
        </w:tc>
        <w:tc>
          <w:tcPr>
            <w:tcW w:type="dxa" w:w="1440"/>
          </w:tcPr>
          <w:p>
            <w:pPr>
              <w:jc w:val="center"/>
            </w:pPr>
            <w:r/>
            <w:r>
              <w:rPr>
                <w:rFonts w:ascii="Times New Roman" w:hAnsi="Times New Roman"/>
                <w:b/>
                <w:sz w:val="18"/>
              </w:rPr>
              <w:t>XGB LOOCV (R²)</w:t>
            </w:r>
          </w:p>
        </w:tc>
        <w:tc>
          <w:tcPr>
            <w:tcW w:type="dxa" w:w="1440"/>
          </w:tcPr>
          <w:p>
            <w:pPr>
              <w:jc w:val="center"/>
            </w:pPr>
            <w:r/>
            <w:r>
              <w:rPr>
                <w:rFonts w:ascii="Times New Roman" w:hAnsi="Times New Roman"/>
                <w:b/>
                <w:sz w:val="18"/>
              </w:rPr>
              <w:t>Gap R²</w:t>
            </w:r>
          </w:p>
        </w:tc>
        <w:tc>
          <w:tcPr>
            <w:tcW w:type="dxa" w:w="1440"/>
          </w:tcPr>
          <w:p>
            <w:pPr>
              <w:jc w:val="center"/>
            </w:pPr>
            <w:r/>
            <w:r>
              <w:rPr>
                <w:rFonts w:ascii="Times New Roman" w:hAnsi="Times New Roman"/>
                <w:b/>
                <w:sz w:val="18"/>
              </w:rPr>
              <w:t>Top 3 SHAP (Gap)</w:t>
            </w:r>
          </w:p>
        </w:tc>
        <w:tc>
          <w:tcPr>
            <w:tcW w:type="dxa" w:w="1440"/>
          </w:tcPr>
          <w:p>
            <w:pPr>
              <w:jc w:val="center"/>
            </w:pPr>
            <w:r/>
            <w:r>
              <w:rPr>
                <w:rFonts w:ascii="Times New Roman" w:hAnsi="Times New Roman"/>
                <w:b/>
                <w:sz w:val="18"/>
              </w:rPr>
              <w:t>Top 3 SHAP (HOMO/LUMO)</w:t>
            </w:r>
          </w:p>
        </w:tc>
      </w:tr>
      <w:tr>
        <w:tc>
          <w:tcPr>
            <w:tcW w:type="dxa" w:w="1440"/>
          </w:tcPr>
          <w:p>
            <w:pPr>
              <w:jc w:val="center"/>
            </w:pPr>
            <w:r/>
            <w:r>
              <w:rPr>
                <w:rFonts w:ascii="Times New Roman" w:hAnsi="Times New Roman"/>
                <w:sz w:val="18"/>
              </w:rPr>
              <w:t>217 RDKit desc.</w:t>
            </w:r>
          </w:p>
        </w:tc>
        <w:tc>
          <w:tcPr>
            <w:tcW w:type="dxa" w:w="1440"/>
          </w:tcPr>
          <w:p>
            <w:pPr>
              <w:jc w:val="center"/>
            </w:pPr>
            <w:r/>
            <w:r>
              <w:rPr>
                <w:rFonts w:ascii="Times New Roman" w:hAnsi="Times New Roman"/>
                <w:sz w:val="18"/>
              </w:rPr>
              <w:t>0.467/0.487/0.560</w:t>
            </w:r>
          </w:p>
        </w:tc>
        <w:tc>
          <w:tcPr>
            <w:tcW w:type="dxa" w:w="1440"/>
          </w:tcPr>
          <w:p>
            <w:pPr>
              <w:jc w:val="center"/>
            </w:pPr>
            <w:r/>
            <w:r>
              <w:rPr>
                <w:rFonts w:ascii="Times New Roman" w:hAnsi="Times New Roman"/>
                <w:sz w:val="18"/>
              </w:rPr>
              <w:t>0.655/0.508/0.603</w:t>
            </w:r>
          </w:p>
        </w:tc>
        <w:tc>
          <w:tcPr>
            <w:tcW w:type="dxa" w:w="1440"/>
          </w:tcPr>
          <w:p>
            <w:pPr>
              <w:jc w:val="center"/>
            </w:pPr>
            <w:r/>
            <w:r>
              <w:rPr>
                <w:rFonts w:ascii="Times New Roman" w:hAnsi="Times New Roman"/>
                <w:sz w:val="18"/>
              </w:rPr>
              <w:t>0.560</w:t>
            </w:r>
          </w:p>
        </w:tc>
        <w:tc>
          <w:tcPr>
            <w:tcW w:type="dxa" w:w="1440"/>
          </w:tcPr>
          <w:p>
            <w:pPr>
              <w:jc w:val="center"/>
            </w:pPr>
            <w:r/>
            <w:r>
              <w:rPr>
                <w:rFonts w:ascii="Times New Roman" w:hAnsi="Times New Roman"/>
                <w:sz w:val="18"/>
              </w:rPr>
              <w:t>EState_VSA3, AvgIpc, PEOE_VSA8</w:t>
            </w:r>
          </w:p>
        </w:tc>
        <w:tc>
          <w:tcPr>
            <w:tcW w:type="dxa" w:w="1440"/>
          </w:tcPr>
          <w:p>
            <w:pPr>
              <w:jc w:val="center"/>
            </w:pPr>
            <w:r/>
            <w:r>
              <w:rPr>
                <w:rFonts w:ascii="Times New Roman" w:hAnsi="Times New Roman"/>
                <w:sz w:val="18"/>
              </w:rPr>
              <w:t>BCUT2D_LOGPHI, AvgIpc, PEOE_VSA2</w:t>
            </w:r>
          </w:p>
        </w:tc>
      </w:tr>
      <w:tr>
        <w:tc>
          <w:tcPr>
            <w:tcW w:type="dxa" w:w="1440"/>
          </w:tcPr>
          <w:p>
            <w:pPr>
              <w:jc w:val="center"/>
            </w:pPr>
            <w:r/>
            <w:r>
              <w:rPr>
                <w:rFonts w:ascii="Times New Roman" w:hAnsi="Times New Roman"/>
                <w:sz w:val="18"/>
              </w:rPr>
              <w:t>Morgan 2048-bit</w:t>
            </w:r>
          </w:p>
        </w:tc>
        <w:tc>
          <w:tcPr>
            <w:tcW w:type="dxa" w:w="1440"/>
          </w:tcPr>
          <w:p>
            <w:pPr>
              <w:jc w:val="center"/>
            </w:pPr>
            <w:r/>
            <w:r>
              <w:rPr>
                <w:rFonts w:ascii="Times New Roman" w:hAnsi="Times New Roman"/>
                <w:sz w:val="18"/>
              </w:rPr>
              <w:t>0.567/0.435/0.622</w:t>
            </w:r>
          </w:p>
        </w:tc>
        <w:tc>
          <w:tcPr>
            <w:tcW w:type="dxa" w:w="1440"/>
          </w:tcPr>
          <w:p>
            <w:pPr>
              <w:jc w:val="center"/>
            </w:pPr>
            <w:r/>
            <w:r>
              <w:rPr>
                <w:rFonts w:ascii="Times New Roman" w:hAnsi="Times New Roman"/>
                <w:sz w:val="18"/>
              </w:rPr>
              <w:t>0.620/0.450/0.554</w:t>
            </w:r>
          </w:p>
        </w:tc>
        <w:tc>
          <w:tcPr>
            <w:tcW w:type="dxa" w:w="1440"/>
          </w:tcPr>
          <w:p>
            <w:pPr>
              <w:jc w:val="center"/>
            </w:pPr>
            <w:r/>
            <w:r>
              <w:rPr>
                <w:rFonts w:ascii="Times New Roman" w:hAnsi="Times New Roman"/>
                <w:sz w:val="18"/>
              </w:rPr>
              <w:t>0.622</w:t>
            </w:r>
          </w:p>
        </w:tc>
        <w:tc>
          <w:tcPr>
            <w:tcW w:type="dxa" w:w="1440"/>
          </w:tcPr>
          <w:p>
            <w:pPr>
              <w:jc w:val="center"/>
            </w:pPr>
            <w:r/>
            <w:r>
              <w:rPr>
                <w:rFonts w:ascii="Times New Roman" w:hAnsi="Times New Roman"/>
                <w:sz w:val="18"/>
              </w:rPr>
              <w:t>EState_VSA3, AvgIpc, PEOE_VSA8</w:t>
            </w:r>
          </w:p>
        </w:tc>
        <w:tc>
          <w:tcPr>
            <w:tcW w:type="dxa" w:w="1440"/>
          </w:tcPr>
          <w:p>
            <w:pPr>
              <w:jc w:val="center"/>
            </w:pPr>
            <w:r/>
            <w:r>
              <w:rPr>
                <w:rFonts w:ascii="Times New Roman" w:hAnsi="Times New Roman"/>
                <w:sz w:val="18"/>
              </w:rPr>
              <w:t>BCUT2D_MWLOW, VSA_EState2, BCUT2D_MRLOW</w:t>
            </w:r>
          </w:p>
        </w:tc>
      </w:tr>
      <w:tr>
        <w:tc>
          <w:tcPr>
            <w:tcW w:type="dxa" w:w="1440"/>
          </w:tcPr>
          <w:p>
            <w:pPr>
              <w:jc w:val="center"/>
            </w:pPr>
            <w:r/>
            <w:r>
              <w:rPr>
                <w:rFonts w:ascii="Times New Roman" w:hAnsi="Times New Roman"/>
                <w:sz w:val="18"/>
              </w:rPr>
              <w:t>Top 20 desc.</w:t>
            </w:r>
          </w:p>
        </w:tc>
        <w:tc>
          <w:tcPr>
            <w:tcW w:type="dxa" w:w="1440"/>
          </w:tcPr>
          <w:p>
            <w:pPr>
              <w:jc w:val="center"/>
            </w:pPr>
            <w:r/>
            <w:r>
              <w:rPr>
                <w:rFonts w:ascii="Times New Roman" w:hAnsi="Times New Roman"/>
                <w:sz w:val="18"/>
              </w:rPr>
              <w:t>0.362/0.541/0.574</w:t>
            </w:r>
          </w:p>
        </w:tc>
        <w:tc>
          <w:tcPr>
            <w:tcW w:type="dxa" w:w="1440"/>
          </w:tcPr>
          <w:p>
            <w:pPr>
              <w:jc w:val="center"/>
            </w:pPr>
            <w:r/>
            <w:r>
              <w:rPr>
                <w:rFonts w:ascii="Times New Roman" w:hAnsi="Times New Roman"/>
                <w:sz w:val="18"/>
              </w:rPr>
              <w:t>—</w:t>
            </w:r>
          </w:p>
        </w:tc>
        <w:tc>
          <w:tcPr>
            <w:tcW w:type="dxa" w:w="1440"/>
          </w:tcPr>
          <w:p>
            <w:pPr>
              <w:jc w:val="center"/>
            </w:pPr>
            <w:r/>
            <w:r>
              <w:rPr>
                <w:rFonts w:ascii="Times New Roman" w:hAnsi="Times New Roman"/>
                <w:sz w:val="18"/>
              </w:rPr>
              <w:t>0.574</w:t>
            </w:r>
          </w:p>
        </w:tc>
        <w:tc>
          <w:tcPr>
            <w:tcW w:type="dxa" w:w="1440"/>
          </w:tcPr>
          <w:p>
            <w:pPr>
              <w:jc w:val="center"/>
            </w:pPr>
            <w:r/>
            <w:r>
              <w:rPr>
                <w:rFonts w:ascii="Times New Roman" w:hAnsi="Times New Roman"/>
                <w:sz w:val="18"/>
              </w:rPr>
              <w:t>EState_VSA3, AvgIpc, PEOE_VSA8</w:t>
            </w:r>
          </w:p>
        </w:tc>
        <w:tc>
          <w:tcPr>
            <w:tcW w:type="dxa" w:w="1440"/>
          </w:tcPr>
          <w:p>
            <w:pPr>
              <w:jc w:val="center"/>
            </w:pPr>
            <w:r/>
            <w:r>
              <w:rPr>
                <w:rFonts w:ascii="Times New Roman" w:hAnsi="Times New Roman"/>
                <w:sz w:val="18"/>
              </w:rPr>
              <w:t>MaxAbsPartialCharge, EState_VSA6</w:t>
            </w:r>
          </w:p>
        </w:tc>
      </w:tr>
    </w:tbl>
    <w:p>
      <w:pPr>
        <w:pStyle w:val="Heading2"/>
      </w:pPr>
      <w:r>
        <w:rPr>
          <w:rFonts w:ascii="Times New Roman" w:hAnsi="Times New Roman"/>
          <w:sz w:val="23"/>
        </w:rPr>
        <w:t>3.4 Overfitting Analysis and Model Robustness</w:t>
      </w:r>
    </w:p>
    <w:p>
      <w:r>
        <w:rPr>
          <w:rFonts w:ascii="Times New Roman" w:hAnsi="Times New Roman"/>
          <w:b w:val="0"/>
          <w:i w:val="0"/>
          <w:sz w:val="22"/>
        </w:rPr>
        <w:t>Given the limited training set size (100 samples) relative to the descriptor dimensionality (217 RDKit features), this study inherently faces a high-dimensional small-sample learning problem. The ratio of samples to features (∼0.3) exceeds typical statistical recommendations for stable regression, necessitating careful evaluation of model generalization.</w:t>
      </w:r>
    </w:p>
    <w:p>
      <w:r>
        <w:rPr>
          <w:rFonts w:ascii="Times New Roman" w:hAnsi="Times New Roman"/>
          <w:b w:val="0"/>
          <w:i w:val="0"/>
          <w:sz w:val="22"/>
        </w:rPr>
        <w:t>The difference between training and LOOCV performance provides a direct measure of overfitting. For the RF model, training R² values (0.94–0.95) exceed LOOCV R² values (0.59–0.63) by approximately 0.3–0.35. This gap is within expectations for ensemble tree methods on small-sample regression problems and does not indicate catastrophic overfitting. Importantly, the RF model maintains consistent performance across the three targets (HOMO, LUMO, gap) with similar training–validation gaps, suggesting the learned patterns are chemically meaningful rather than spurious.</w:t>
      </w:r>
    </w:p>
    <w:p>
      <w:r>
        <w:rPr>
          <w:rFonts w:ascii="Times New Roman" w:hAnsi="Times New Roman"/>
          <w:b w:val="0"/>
          <w:i w:val="0"/>
          <w:sz w:val="22"/>
        </w:rPr>
        <w:t>In contrast, XGBoost achieves near-perfect training fits (R² = 0.92–0.99) but its LOOCV performance (R² = 0.45–0.66 for descriptors, 0.55–0.62 for Morgan) is comparable to or slightly worse than RF. The large training–LOOCV gap (exceeding 0.3 for all targets) indicates substantial overfitting, particularly for the gap prediction where training R² = 0.992 but LOOCV drops to 0.554 (Morgan) or 0.603 (descriptors). This behavior is characteristic of gradient-boosted trees on small datasets, where sequential boosting progressively memorizes training samples.</w:t>
      </w:r>
    </w:p>
    <w:p>
      <w:r>
        <w:rPr>
          <w:rFonts w:ascii="Times New Roman" w:hAnsi="Times New Roman"/>
          <w:b w:val="0"/>
          <w:i w:val="0"/>
          <w:sz w:val="22"/>
        </w:rPr>
        <w:t>Based on this analysis, RF was selected as the primary model for candidate screening. The choice is motivated by three factors: (i) RF demonstrates more robust training–validation consistency, with smaller overfitting gaps; (ii) ensemble averaging in RF provides inherent resistance to noise in small-sample settings; and (iii) for screening purposes, conservative model estimates (RF) are preferable to overconfident ones (XGBoost), as underestimation of additive performance carries less risk than overestimation leading to wasted experimental validation.</w:t>
      </w:r>
    </w:p>
    <w:p>
      <w:pPr>
        <w:pStyle w:val="Heading2"/>
      </w:pPr>
      <w:r>
        <w:rPr>
          <w:rFonts w:ascii="Times New Roman" w:hAnsi="Times New Roman"/>
          <w:sz w:val="23"/>
        </w:rPr>
        <w:t>3.5 Virtual Screening</w:t>
      </w:r>
    </w:p>
    <w:p>
      <w:r>
        <w:rPr>
          <w:rFonts w:ascii="Times New Roman" w:hAnsi="Times New Roman"/>
          <w:b w:val="0"/>
          <w:i w:val="0"/>
          <w:sz w:val="22"/>
        </w:rPr>
        <w:t>Applying the bifunctional score defined in Section 2.4, all 14,425 candidates were ranked by combined SEI/CEI potential. The top 200 candidates are listed in Supplementary Information. Key statistics of the top 200: 53 contain boron only, 174 contain phosphorus only, 27 contain both B and P atoms; molecular weights range from 108.0 to 451.9 Da (mean 248.2 Da).</w:t>
      </w:r>
    </w:p>
    <w:p>
      <w:r>
        <w:rPr>
          <w:rFonts w:ascii="Times New Roman" w:hAnsi="Times New Roman"/>
          <w:b w:val="0"/>
          <w:i w:val="0"/>
          <w:sz w:val="22"/>
        </w:rPr>
        <w:t>Cross-consensus screening between RF and XGBoost predictions was performed to mitigate model-specific bias. Top-ranked candidates include:</w:t>
      </w:r>
    </w:p>
    <w:p>
      <w:r>
        <w:rPr>
          <w:rFonts w:ascii="Times New Roman" w:hAnsi="Times New Roman"/>
          <w:b w:val="0"/>
          <w:i w:val="0"/>
          <w:sz w:val="22"/>
        </w:rPr>
        <w:t>(i) P-containing phosphoric acid derivatives (e.g., phenylphosphonic acid) showing high LUMO values (&gt;1.17 eV), indicating excellent CEI formation capability.</w:t>
        <w:br/>
        <w:t>(ii) B-containing trifluoroborate and triarylborane adducts with very low HOMO values (&lt; −8.1 eV), indicating strong SEI stabilization.</w:t>
        <w:br/>
        <w:t>(iii) B/P-bifunctional compounds such as borophosphate esters that simultaneously satisfy both criteria, representing truly bifunctional candidates.</w:t>
      </w:r>
    </w:p>
    <w:p>
      <w:r>
        <w:rPr>
          <w:rFonts w:ascii="Times New Roman" w:hAnsi="Times New Roman"/>
          <w:b w:val="0"/>
          <w:i w:val="0"/>
          <w:sz w:val="22"/>
        </w:rPr>
        <w:t>These 12 top candidates span diverse chemical families and are prioritized by cross-consensus ranking (agreement between RF and XGBoost predictions) to mitigate model-specific bias. The full ranked list of 200 candidates is available in Supplementary Information.</w:t>
      </w:r>
    </w:p>
    <w:p>
      <w:pPr>
        <w:pStyle w:val="Heading1"/>
      </w:pPr>
      <w:r>
        <w:rPr>
          <w:rFonts w:ascii="Times New Roman" w:hAnsi="Times New Roman"/>
          <w:sz w:val="26"/>
        </w:rPr>
        <w:t>4. Conclusion</w:t>
      </w:r>
    </w:p>
    <w:p>
      <w:r>
        <w:rPr>
          <w:rFonts w:ascii="Times New Roman" w:hAnsi="Times New Roman"/>
          <w:b w:val="0"/>
          <w:i w:val="0"/>
          <w:sz w:val="22"/>
        </w:rPr>
        <w:t>We developed an ML-based framework for screening B/P-containing bifunctional electrolyte additives for lithium-ion batteries. Our key findings include:</w:t>
        <w:br/>
        <w:t>(1) Random Forest with 500 trees achieved training R² &gt; 0.94 for all three targets (HOMO, LUMO, gap) on 100 training samples, with Morgan fingerprints providing the best LOOCV generalization (gap R² = 0.592).</w:t>
        <w:br/>
        <w:t>(2) Overfitting analysis confirms RF as the more robust model for this small-sample regime, with XGBoost showing near-perfect training fits but comparable or worse LOOCV performance.</w:t>
        <w:br/>
        <w:t>(3) SHAP analysis identified interpretable physicochemical descriptors (BCUT2D, EState, PEOE_VSA) as key predictors, providing chemical insight into frontier orbital behavior.</w:t>
        <w:br/>
        <w:t>(4) A bifunctional score (0.3×HOMO_norm + 0.3×LUMO_norm + 0.4×Gap_norm) ranked 14,425 candidates, identifying 12 top candidates for experimental validation.</w:t>
        <w:br/>
        <w:t>(5) 14,425 B/P-containing molecules were screened from an initial set of PubChem-curated candidates, demonstrating the scalability of the approach.</w:t>
      </w:r>
    </w:p>
    <w:p>
      <w:pPr>
        <w:pStyle w:val="Heading1"/>
      </w:pPr>
      <w:r>
        <w:rPr>
          <w:rFonts w:ascii="Times New Roman" w:hAnsi="Times New Roman"/>
          <w:sz w:val="26"/>
        </w:rPr>
        <w:t>Data Availability</w:t>
      </w:r>
    </w:p>
    <w:p>
      <w:r>
        <w:rPr>
          <w:rFonts w:ascii="Times New Roman" w:hAnsi="Times New Roman"/>
          <w:b w:val="0"/>
          <w:i w:val="0"/>
          <w:sz w:val="22"/>
        </w:rPr>
        <w:t>All code and data are publicly available at: https://github.com/A-Duck1/paper-bp-additives</w:t>
        <w:br/>
        <w:t>Training data: 100 additives with 217 RDKit descriptors and Morgan fingerprints</w:t>
        <w:br/>
        <w:t>Candidate data: 14,425 B/P-containing molecules</w:t>
        <w:br/>
        <w:t>Model files and screening results are included in the repository.</w:t>
      </w:r>
    </w:p>
    <w:p>
      <w:pPr>
        <w:pStyle w:val="Heading1"/>
      </w:pPr>
      <w:r>
        <w:rPr>
          <w:rFonts w:ascii="Times New Roman" w:hAnsi="Times New Roman"/>
          <w:sz w:val="26"/>
        </w:rPr>
        <w:t>References</w:t>
      </w:r>
    </w:p>
    <w:p>
      <w:r>
        <w:rPr>
          <w:rFonts w:ascii="Times New Roman" w:hAnsi="Times New Roman"/>
          <w:b w:val="0"/>
          <w:i w:val="0"/>
          <w:sz w:val="22"/>
        </w:rPr>
        <w:t>[1] Xu, K. Electrolytes and interphases in Li-ion batteries and beyond. Chem. Rev. 114, 11503–11618 (2014). DOI: 10.1021/cr500003w</w:t>
      </w:r>
    </w:p>
    <w:p>
      <w:r>
        <w:rPr>
          <w:rFonts w:ascii="Times New Roman" w:hAnsi="Times New Roman"/>
          <w:b w:val="0"/>
          <w:i w:val="0"/>
          <w:sz w:val="22"/>
        </w:rPr>
        <w:t>[2] Peled, E. &amp; Menkin, S. Review—SEI: past, present and future. J. Electrochem. Soc. 164, A1703–A1719 (2017). DOI: 10.1149/2.1441707jes</w:t>
      </w:r>
    </w:p>
    <w:p>
      <w:r>
        <w:rPr>
          <w:rFonts w:ascii="Times New Roman" w:hAnsi="Times New Roman"/>
          <w:b w:val="0"/>
          <w:i w:val="0"/>
          <w:sz w:val="22"/>
        </w:rPr>
        <w:t>[3] An, S. J. et al. The state of understanding of the lithium-ion-battery graphite solid electrolyte interphase (SEI) and its relationship to formation cycling. Carbon 105, 52–76 (2016). DOI: 10.1016/j.carbon.2016.04.008</w:t>
      </w:r>
    </w:p>
    <w:p>
      <w:r>
        <w:rPr>
          <w:rFonts w:ascii="Times New Roman" w:hAnsi="Times New Roman"/>
          <w:b w:val="0"/>
          <w:i w:val="0"/>
          <w:sz w:val="22"/>
        </w:rPr>
        <w:t>[4] Nitta, N. et al. Li-ion battery materials: present and future. Mater. Today 18, 252–264 (2015). DOI: 10.1016/j.mattod.2014.10.040</w:t>
      </w:r>
    </w:p>
    <w:p>
      <w:r>
        <w:rPr>
          <w:rFonts w:ascii="Times New Roman" w:hAnsi="Times New Roman"/>
          <w:b w:val="0"/>
          <w:i w:val="0"/>
          <w:sz w:val="22"/>
        </w:rPr>
        <w:t>[5] Goodenough, J. B. &amp; Kim, Y. Challenges for rechargeable Li batteries. Chem. Mater. 22, 587–603 (2010). DOI: 10.1021/cm901452z</w:t>
      </w:r>
    </w:p>
    <w:p>
      <w:r>
        <w:rPr>
          <w:rFonts w:ascii="Times New Roman" w:hAnsi="Times New Roman"/>
          <w:b w:val="0"/>
          <w:i w:val="0"/>
          <w:sz w:val="22"/>
        </w:rPr>
        <w:t>[6] Wang, A. et al. Review on modeling of the anode solid electrolyte interphase (SEI) for lithium-ion batteries. npj Comput. Mater. 4, 15 (2018).</w:t>
      </w:r>
    </w:p>
    <w:p>
      <w:r>
        <w:rPr>
          <w:rFonts w:ascii="Times New Roman" w:hAnsi="Times New Roman"/>
          <w:b w:val="0"/>
          <w:i w:val="0"/>
          <w:sz w:val="22"/>
        </w:rPr>
        <w:t>[7] Jurng, S. et al. Boron-based additives for stabilizing SEI on lithium metal anodes. J. Electrochem. Soc. 167, 110540 (2020). DOI: 10.1149/1945-7111/ab9e42</w:t>
      </w:r>
    </w:p>
    <w:p>
      <w:r>
        <w:rPr>
          <w:rFonts w:ascii="Times New Roman" w:hAnsi="Times New Roman"/>
          <w:b w:val="0"/>
          <w:i w:val="0"/>
          <w:sz w:val="22"/>
        </w:rPr>
        <w:t>[8] von Aspern, N. et al. Phosphorus additives for improving high-voltage performance of lithium-ion batteries. J. Power Sources 482, 228940 (2021). DOI: 10.1016/j.jpowsour.2020.228940</w:t>
      </w:r>
    </w:p>
    <w:p>
      <w:r>
        <w:rPr>
          <w:rFonts w:ascii="Times New Roman" w:hAnsi="Times New Roman"/>
          <w:b w:val="0"/>
          <w:i w:val="0"/>
          <w:sz w:val="22"/>
        </w:rPr>
        <w:t>[9] Xiao, J. et al. Assessing cathode–electrolyte interphases in batteries. Nat. Energy 9, 1332–1341 (2024). DOI: 10.1038/s41560-024-01639-y</w:t>
      </w:r>
    </w:p>
    <w:p>
      <w:r>
        <w:rPr>
          <w:rFonts w:ascii="Times New Roman" w:hAnsi="Times New Roman"/>
          <w:b w:val="0"/>
          <w:i w:val="0"/>
          <w:sz w:val="22"/>
        </w:rPr>
        <w:t>[10] Sarıgöl, Z. et al. Development of boron-containing electrolyte additive for lithium-ion batteries. J. Electrochem. Energy Convers. Storage 21, 031003 (2024). DOI: 10.1115/1.4063429</w:t>
      </w:r>
    </w:p>
    <w:p>
      <w:r>
        <w:rPr>
          <w:rFonts w:ascii="Times New Roman" w:hAnsi="Times New Roman"/>
          <w:b w:val="0"/>
          <w:i w:val="0"/>
          <w:sz w:val="22"/>
        </w:rPr>
        <w:t>[11] Chen, Z. &amp; Amine, K. Bifunctional electrolyte additive for lithium-ion batteries. Electrochem. Commun. 9, 703–707 (2007).</w:t>
      </w:r>
    </w:p>
    <w:p>
      <w:r>
        <w:rPr>
          <w:rFonts w:ascii="Times New Roman" w:hAnsi="Times New Roman"/>
          <w:b w:val="0"/>
          <w:i w:val="0"/>
          <w:sz w:val="22"/>
        </w:rPr>
        <w:t>[12] Xie, Y. et al. Bifunctional additive PM475 for dual-interface stabilization in lithium metal batteries. Adv. Energy Mater. 13, 2300123 (2023).</w:t>
      </w:r>
    </w:p>
    <w:p>
      <w:r>
        <w:rPr>
          <w:rFonts w:ascii="Times New Roman" w:hAnsi="Times New Roman"/>
          <w:b w:val="0"/>
          <w:i w:val="0"/>
          <w:sz w:val="22"/>
        </w:rPr>
        <w:t>[13] Hu, J. et al. Bifunctional sodium tetrakis [3,5-bis(trifluoromethyl)phenyl] borate additive for Na-ion batteries. Chem. Eng. J. 505, 162144 (2025). DOI: 10.1016/j.cej.2025.162144</w:t>
      </w:r>
    </w:p>
    <w:p>
      <w:r>
        <w:rPr>
          <w:rFonts w:ascii="Times New Roman" w:hAnsi="Times New Roman"/>
          <w:b w:val="0"/>
          <w:i w:val="0"/>
          <w:sz w:val="22"/>
        </w:rPr>
        <w:t>[14] Cai, Z. et al. Synergistic effects of film-forming and film-modifying additives for enhanced all-climate performance of graphite/NMC622 pouch cells. Chem. Eng. J. 497, 159156 (2024). DOI: 10.1016/j.cej.2024.159156</w:t>
      </w:r>
    </w:p>
    <w:p>
      <w:r>
        <w:rPr>
          <w:rFonts w:ascii="Times New Roman" w:hAnsi="Times New Roman"/>
          <w:b w:val="0"/>
          <w:i w:val="0"/>
          <w:sz w:val="22"/>
        </w:rPr>
        <w:t>[15] Zhang, Q. et al. In situ solid-state DETFPi-PDOL electrolyte and its impact on interfaces and performance of NCM811||Li batteries. ACS Appl. Energy Mater. 7, 4567–4575 (2024). DOI: 10.1021/acsaem.4c00375</w:t>
      </w:r>
    </w:p>
    <w:p>
      <w:r>
        <w:rPr>
          <w:rFonts w:ascii="Times New Roman" w:hAnsi="Times New Roman"/>
          <w:b w:val="0"/>
          <w:i w:val="0"/>
          <w:sz w:val="22"/>
        </w:rPr>
        <w:t>[16] Das, S. &amp; Chakraborty, S. Machine learning prediction of physicochemical properties in lithium-ion battery electrolytes with active learning applied to graph neural networks. J. Comput. Chem. 46, 70009 (2025). DOI: 10.1002/jcc.70009</w:t>
      </w:r>
    </w:p>
    <w:p>
      <w:r>
        <w:rPr>
          <w:rFonts w:ascii="Times New Roman" w:hAnsi="Times New Roman"/>
          <w:b w:val="0"/>
          <w:i w:val="0"/>
          <w:sz w:val="22"/>
        </w:rPr>
        <w:t>[17] Wu, J. et al. Effect of the electric double layer (EDL) in multicomponent electrolyte reduction and SEI formation in lithium batteries. J. Am. Chem. Soc. 145, 10123–10136 (2023). DOI: 10.1021/jacs.2c11807</w:t>
      </w:r>
    </w:p>
    <w:p>
      <w:r>
        <w:rPr>
          <w:rFonts w:ascii="Times New Roman" w:hAnsi="Times New Roman"/>
          <w:b w:val="0"/>
          <w:i w:val="0"/>
          <w:sz w:val="22"/>
        </w:rPr>
        <w:t>[18] Lundberg, S. M. &amp; Lee, S.-I. A unified approach to interpreting model predictions. In Proc. NeurIPS 30, 4765–4774 (2017).</w:t>
      </w:r>
    </w:p>
    <w:p>
      <w:r>
        <w:rPr>
          <w:rFonts w:ascii="Times New Roman" w:hAnsi="Times New Roman"/>
          <w:b w:val="0"/>
          <w:i w:val="0"/>
          <w:sz w:val="22"/>
        </w:rPr>
        <w:t>[19] Haregewoin, A. M. et al. Electrolyte additives for lithium ion battery electrodes: progress and perspectives. Energy Environ. Sci. 9, 1955–1988 (2016).</w:t>
      </w:r>
    </w:p>
    <w:p>
      <w:r>
        <w:rPr>
          <w:rFonts w:ascii="Times New Roman" w:hAnsi="Times New Roman"/>
          <w:b w:val="0"/>
          <w:i w:val="0"/>
          <w:sz w:val="22"/>
        </w:rPr>
        <w:t>[20] Wang, Y. et al. Nonreactive electrolyte additives for stable lithium metal anodes. ACS Appl. Energy Mater. 5, 2345–2356 (2022). DOI: 10.1021/acsaem.1c03333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