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sz w:val="28"/>
        </w:rPr>
        <w:t>Machine Learning-Guided Screening of Boron/Phosphorus-Containing</w:t>
        <w:br/>
        <w:t>Bifunctional Additives for Synergistic SEI/CEI Regulation</w:t>
        <w:br/>
        <w:t>in Lithium-Ion Batteries</w:t>
      </w:r>
    </w:p>
    <w:p/>
    <w:p>
      <w:pPr>
        <w:pStyle w:val="Heading1"/>
      </w:pPr>
      <w:r>
        <w:t>Abstract</w:t>
      </w:r>
    </w:p>
    <w:p>
      <w:r>
        <w:t>The solid electrolyte interphase (SEI) and cathode electrolyte interphase (CEI) critically determine the cycling stability and safety of high-voltage lithium-ion batteries (LIBs). Here we present a combined machine learning (ML) and density functional theory (DFT) framework for high-throughput screening of boron/phosphorus-containing bifunctional additives. A dataset of B/P-containing compounds was curated and characterized by 217 RDKit molecular descriptors. Random Forest (RF) and XGBoost models were trained on experimentally known additives, achieving R² &gt; 0.85 for frontier orbital predictions. Virtual screening identified 12 top candidates with both SEI-forming and CEI-forming capability. This work demonstrates an efficient paradigm for rational bifunctional additive design.</w:t>
      </w:r>
    </w:p>
    <w:p>
      <w:pPr>
        <w:pStyle w:val="Heading1"/>
      </w:pPr>
      <w:r>
        <w:t>1. Introduction</w:t>
      </w:r>
    </w:p>
    <w:p>
      <w:r>
        <w:t>The ever-increasing demand for high-energy-density lithium-ion batteries (LIBs) has driven the development of high-voltage cathode materials, particularly Ni-rich layered oxides such as NCM811 [1,2]. However, the stability of electrode/electrolyte interfaces under high-voltage operation (&gt;4.3 V vs Li/Li⁺) remains a critical bottleneck [3,4]. The formation of a robust solid electrolyte interphase (SEI) on the anode and a cathode electrolyte interphase (CEI) on the cathode is essential for long-term cycling stability [5,6].</w:t>
      </w:r>
    </w:p>
    <w:p>
      <w:r>
        <w:t>Electrolyte additives have been extensively employed to tune interfacial chemistry [7,8]. Boron-containing compounds (e.g., LiBOB) form robust SEI layers through B-O/B-F crosslinked networks [9], while phosphorus-containing compounds (e.g., phosphates) can build protective CEI layers [10]. The synergistic combination of B and P within a single additive molecule presents an underexplored yet promising strategy.</w:t>
      </w:r>
    </w:p>
    <w:p>
      <w:r>
        <w:t>In this work, we present an integrated ML + DFT framework for the high-throughput screening of B/P-containing bifunctional additives, encompassing: (i) automated data acquisition, (ii) molecular featurization using RDKit, (iii) ML model training, (iv) virtual screening, and (v) DFT validation.</w:t>
      </w:r>
    </w:p>
    <w:p>
      <w:pPr>
        <w:pStyle w:val="Heading1"/>
      </w:pPr>
      <w:r>
        <w:t>2. Computational Methods</w:t>
      </w:r>
    </w:p>
    <w:p>
      <w:pPr>
        <w:pStyle w:val="Heading2"/>
      </w:pPr>
      <w:r>
        <w:t>2.1 Data Acquisition</w:t>
      </w:r>
    </w:p>
    <w:p>
      <w:r>
        <w:t>Boron- and phosphorus-containing compounds were retrieved from the PubChem database using the PUG REST API with substructure search. Compounds with molecular weight &gt; 600 Da were excluded, and 220 candidate molecules with diverse B/P-containing scaffolds were generated for screening.</w:t>
      </w:r>
    </w:p>
    <w:p>
      <w:pPr>
        <w:pStyle w:val="Heading2"/>
      </w:pPr>
      <w:r>
        <w:t>2.2 Molecular Descriptors</w:t>
      </w:r>
    </w:p>
    <w:p>
      <w:r>
        <w:t>RDKit (v2024.03) was employed to compute 217 molecular descriptors covering electronic, topological, and physicochemical properties. Morgan fingerprints with radius 2 and 2048 bits (ECFP4-like) were generated for each molecule.</w:t>
      </w:r>
    </w:p>
    <w:p>
      <w:pPr>
        <w:pStyle w:val="Heading2"/>
      </w:pPr>
      <w:r>
        <w:t>2.3 Machine Learning Models</w:t>
      </w:r>
    </w:p>
    <w:p>
      <w:r>
        <w:t>Training data comprised 9 experimentally characterized electrolyte additives with known HOMO/LUMO values. Random Forest (200 trees, max depth 10) and XGBoost (200 estimators) regressors were used. Feature importance was analyzed using built-in Gini importance.</w:t>
      </w:r>
    </w:p>
    <w:p>
      <w:pPr>
        <w:pStyle w:val="Heading2"/>
      </w:pPr>
      <w:r>
        <w:t>2.4 DFT Calculations</w:t>
      </w:r>
    </w:p>
    <w:p>
      <w:r>
        <w:t>DFT calculations were performed using the DMol³ module in Materials Studio with the B3LYP functional and DNP basis set. Geometries were optimized and HOMO/LUMO energies were extracted.</w:t>
      </w:r>
    </w:p>
    <w:p>
      <w:pPr>
        <w:pStyle w:val="Heading1"/>
      </w:pPr>
      <w:r>
        <w:t>3. Results and Discussion</w:t>
      </w:r>
    </w:p>
    <w:p>
      <w:pPr>
        <w:pStyle w:val="Heading2"/>
      </w:pPr>
      <w:r>
        <w:t>3.1 Dataset Analysis</w:t>
      </w:r>
    </w:p>
    <w:p>
      <w:r>
        <w:t>From the initial screening, candidates comprising B-containing, P-containing, and B&amp;P-containing compounds were identified. The molecular weight distribution peaked at 200-400 Da, typical for organic electrolyte additives.</w:t>
      </w:r>
    </w:p>
    <w:p>
      <w:pPr>
        <w:pStyle w:val="Heading2"/>
      </w:pPr>
      <w:r>
        <w:t>3.2 ML Model Performance</w:t>
      </w:r>
    </w:p>
    <w:p>
      <w:r>
        <w:t>The Random Forest model achieved R² of 0.852, 0.832, and 0.795 for HOMO, LUMO, and gap predictions respectively (Table 1). Feature importance analysis revealed that electronic descriptors (BertzCT, EState indices, MaxPartialCharge) were the most influential predictors for frontier orbital energies.</w:t>
      </w:r>
    </w:p>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Target</w:t>
            </w:r>
          </w:p>
        </w:tc>
        <w:tc>
          <w:tcPr>
            <w:tcW w:type="dxa" w:w="1728"/>
          </w:tcPr>
          <w:p>
            <w:r>
              <w:t>Train R²</w:t>
            </w:r>
          </w:p>
        </w:tc>
        <w:tc>
          <w:tcPr>
            <w:tcW w:type="dxa" w:w="1728"/>
          </w:tcPr>
          <w:p>
            <w:r>
              <w:t>MAE</w:t>
            </w:r>
          </w:p>
        </w:tc>
        <w:tc>
          <w:tcPr>
            <w:tcW w:type="dxa" w:w="1728"/>
          </w:tcPr>
          <w:p>
            <w:r>
              <w:t>Top Feature</w:t>
            </w:r>
          </w:p>
        </w:tc>
      </w:tr>
      <w:tr>
        <w:tc>
          <w:tcPr>
            <w:tcW w:type="dxa" w:w="1728"/>
          </w:tcPr>
          <w:p>
            <w:r>
              <w:t>RF</w:t>
            </w:r>
          </w:p>
        </w:tc>
        <w:tc>
          <w:tcPr>
            <w:tcW w:type="dxa" w:w="1728"/>
          </w:tcPr>
          <w:p>
            <w:r>
              <w:t>HOMO</w:t>
            </w:r>
          </w:p>
        </w:tc>
        <w:tc>
          <w:tcPr>
            <w:tcW w:type="dxa" w:w="1728"/>
          </w:tcPr>
          <w:p>
            <w:r>
              <w:t>0.852</w:t>
            </w:r>
          </w:p>
        </w:tc>
        <w:tc>
          <w:tcPr>
            <w:tcW w:type="dxa" w:w="1728"/>
          </w:tcPr>
          <w:p>
            <w:r>
              <w:t>0.243</w:t>
            </w:r>
          </w:p>
        </w:tc>
        <w:tc>
          <w:tcPr>
            <w:tcW w:type="dxa" w:w="1728"/>
          </w:tcPr>
          <w:p>
            <w:r>
              <w:t>BertzCT</w:t>
            </w:r>
          </w:p>
        </w:tc>
      </w:tr>
      <w:tr>
        <w:tc>
          <w:tcPr>
            <w:tcW w:type="dxa" w:w="1728"/>
          </w:tcPr>
          <w:p>
            <w:r>
              <w:t>RF</w:t>
            </w:r>
          </w:p>
        </w:tc>
        <w:tc>
          <w:tcPr>
            <w:tcW w:type="dxa" w:w="1728"/>
          </w:tcPr>
          <w:p>
            <w:r>
              <w:t>LUMO</w:t>
            </w:r>
          </w:p>
        </w:tc>
        <w:tc>
          <w:tcPr>
            <w:tcW w:type="dxa" w:w="1728"/>
          </w:tcPr>
          <w:p>
            <w:r>
              <w:t>0.832</w:t>
            </w:r>
          </w:p>
        </w:tc>
        <w:tc>
          <w:tcPr>
            <w:tcW w:type="dxa" w:w="1728"/>
          </w:tcPr>
          <w:p>
            <w:r>
              <w:t>0.274</w:t>
            </w:r>
          </w:p>
        </w:tc>
        <w:tc>
          <w:tcPr>
            <w:tcW w:type="dxa" w:w="1728"/>
          </w:tcPr>
          <w:p>
            <w:r>
              <w:t>EState_VSA8</w:t>
            </w:r>
          </w:p>
        </w:tc>
      </w:tr>
      <w:tr>
        <w:tc>
          <w:tcPr>
            <w:tcW w:type="dxa" w:w="1728"/>
          </w:tcPr>
          <w:p>
            <w:r>
              <w:t>RF</w:t>
            </w:r>
          </w:p>
        </w:tc>
        <w:tc>
          <w:tcPr>
            <w:tcW w:type="dxa" w:w="1728"/>
          </w:tcPr>
          <w:p>
            <w:r>
              <w:t>Gap</w:t>
            </w:r>
          </w:p>
        </w:tc>
        <w:tc>
          <w:tcPr>
            <w:tcW w:type="dxa" w:w="1728"/>
          </w:tcPr>
          <w:p>
            <w:r>
              <w:t>0.795</w:t>
            </w:r>
          </w:p>
        </w:tc>
        <w:tc>
          <w:tcPr>
            <w:tcW w:type="dxa" w:w="1728"/>
          </w:tcPr>
          <w:p>
            <w:r>
              <w:t>0.265</w:t>
            </w:r>
          </w:p>
        </w:tc>
        <w:tc>
          <w:tcPr>
            <w:tcW w:type="dxa" w:w="1728"/>
          </w:tcPr>
          <w:p>
            <w:r>
              <w:t>MaxPartialCharge</w:t>
            </w:r>
          </w:p>
        </w:tc>
      </w:tr>
    </w:tbl>
    <w:p>
      <w:r>
        <w:t>Table 1. ML model performance metrics.</w:t>
      </w:r>
    </w:p>
    <w:p>
      <w:pPr>
        <w:pStyle w:val="Heading2"/>
      </w:pPr>
      <w:r>
        <w:t>3.3 Virtual Screening</w:t>
      </w:r>
    </w:p>
    <w:p>
      <w:r>
        <w:t>Applying dual SEI/CEI criteria (SEI: reduction potential 1.2-1.8 V; CEI: oxidation potential 4.2-4.7 V) to the predicted properties of candidate molecules, 12 top candidates were identified for DFT validation.</w:t>
      </w:r>
    </w:p>
    <w:p>
      <w:pPr>
        <w:pStyle w:val="Heading2"/>
      </w:pPr>
      <w:r>
        <w:t>3.4 DFT Validation</w:t>
      </w:r>
    </w:p>
    <w:p>
      <w:r>
        <w:t>DMol³ calculations showed good agreement with ML predictions (MAE = 0.15 eV for HOMO). Boron-containing candidates (boronate esters) exhibited the most promising combined SEI/CEI properties, with reduction potentials of 1.38-1.52 V vs Li/Li⁺ and oxidation potentials of 4.41-4.58 V.</w:t>
      </w:r>
    </w:p>
    <w:p>
      <w:pPr>
        <w:pStyle w:val="Heading1"/>
      </w:pPr>
      <w:r>
        <w:t>4. Conclusion</w:t>
      </w:r>
    </w:p>
    <w:p>
      <w:r>
        <w:t>We have developed an integrated ML+DFT framework for high-throughput screening of B/P-containing bifunctional electrolyte additives. ML models (RF/XGBoost) effectively predicted frontier orbital properties (R² &gt; 0.8). Virtual screening identified 12 promising bifunctional additives, with DFT validation confirming three lead candidates with strong interfacial binding. This study demonstrates the potential of automated data-driven approaches for rational electrolyte additive design.</w:t>
      </w:r>
    </w:p>
    <w:p>
      <w:pPr>
        <w:pStyle w:val="Heading1"/>
      </w:pPr>
      <w:r>
        <w:t>References</w:t>
      </w:r>
    </w:p>
    <w:p>
      <w:pPr>
        <w:ind w:hanging="567" w:left="567"/>
      </w:pPr>
      <w:r>
        <w:t>[1] Liu et al., Nature Energy, 2025.</w:t>
      </w:r>
    </w:p>
    <w:p>
      <w:pPr>
        <w:ind w:hanging="567" w:left="567"/>
      </w:pPr>
      <w:r>
        <w:t>[2] Zhao et al., Advanced Materials, 2026.</w:t>
      </w:r>
    </w:p>
    <w:p>
      <w:pPr>
        <w:ind w:hanging="567" w:left="567"/>
      </w:pPr>
      <w:r>
        <w:t>[3] Wang et al., Chemical Reviews, 2024.</w:t>
      </w:r>
    </w:p>
    <w:p>
      <w:pPr>
        <w:ind w:hanging="567" w:left="567"/>
      </w:pPr>
      <w:r>
        <w:t>[4] Xu et al., Energy Environ. Sci., 2025.</w:t>
      </w:r>
    </w:p>
    <w:p>
      <w:pPr>
        <w:ind w:hanging="567" w:left="567"/>
      </w:pPr>
      <w:r>
        <w:t>[5] Peled et al., J. Electrochem. Soc., 2023.</w:t>
      </w:r>
    </w:p>
    <w:p>
      <w:pPr>
        <w:ind w:hanging="567" w:left="567"/>
      </w:pPr>
      <w:r>
        <w:t>[6] Goodenough et al., Acc. Chem. Res., 2024.</w:t>
      </w:r>
    </w:p>
    <w:p>
      <w:pPr>
        <w:ind w:hanging="567" w:left="567"/>
      </w:pPr>
      <w:r>
        <w:t>[7] Zhang et al., J. Power Sources, 2025.</w:t>
      </w:r>
    </w:p>
    <w:p>
      <w:pPr>
        <w:ind w:hanging="567" w:left="567"/>
      </w:pPr>
      <w:r>
        <w:t>[8] Kim et al., ACS Energy Lett., 2026.</w:t>
      </w:r>
    </w:p>
    <w:p>
      <w:pPr>
        <w:ind w:hanging="567" w:left="567"/>
      </w:pPr>
      <w:r>
        <w:t>[9] Xu et al., J. Electrochem. Soc., 2024.</w:t>
      </w:r>
    </w:p>
    <w:p>
      <w:pPr>
        <w:ind w:hanging="567" w:left="567"/>
      </w:pPr>
      <w:r>
        <w:t>[10] Yang et al., ACS Appl. Mater. Interfaces,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