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28"/>
        </w:rPr>
        <w:t>Machine Learning-Guided Screening of Boron/Phosphorus-Containing</w:t>
        <w:br/>
        <w:t>Bifunctional Additives for Synergistic SEI/CEI Regulation</w:t>
        <w:br/>
        <w:t>in Lithium-Ion Batteries</w:t>
      </w:r>
    </w:p>
    <w:p/>
    <w:p>
      <w:pPr>
        <w:pStyle w:val="Heading1"/>
      </w:pPr>
      <w:r>
        <w:t>Abstract</w:t>
      </w:r>
    </w:p>
    <w:p>
      <w:r>
        <w:t>The solid electrolyte interphase (SEI) and cathode electrolyte interphase (CEI) critically determine the stability of high-voltage lithium-ion batteries (LIBs). Here we present an integrated machine learning (ML) and density functional theory (DFT) framework for high-throughput screening of boron/phosphorus-containing bifunctional additives. A dataset of 747 B/P-containing candidate molecules was curated and characterized by 217 RDKit molecular descriptors and Morgan fingerprints. Random Forest (RF) and XGBoost models were trained on 31 experimentally known additives, achieving R² of 0.855 (HOMO), 0.748 (LUMO), and 0.841 (gap). Virtual screening identified 12 top candidates with dual SEI/CEI-forming capability. This work provides an efficient data-driven paradigm for rational bifunctional additive design.</w:t>
      </w:r>
    </w:p>
    <w:p>
      <w:pPr>
        <w:pStyle w:val="Heading1"/>
      </w:pPr>
      <w:r>
        <w:t>1. Introduction</w:t>
      </w:r>
    </w:p>
    <w:p>
      <w:r>
        <w:t>The demand for high-energy-density lithium-ion batteries has driven the development of high-voltage cathode materials such as NCM811 [1,2]. However, electrode/electrolyte interfacial instability under high-voltage operation (&gt;4.3 V) remains a critical challenge [3,4]. Electrolyte additives that form robust SEI (anode) and CEI (cathode) layers are essential for long-term cycling stability [5,6].</w:t>
      </w:r>
    </w:p>
    <w:p>
      <w:r>
        <w:t>Boron-containing compounds (e.g., LiBOB) form robust SEI via B-O/B-F crosslinked networks [7], while phosphorus-containing compounds (e.g., phosphates) build protective CEI layers [8]. Despite this potential, conventional trial-and-error screening is time-intensive. Machine learning offers a promising alternative [9,10]. Here we combine ML with DFT to screen B/P-containing bifunctional additives from a pool of 747 candidates.</w:t>
      </w:r>
    </w:p>
    <w:p>
      <w:pPr>
        <w:pStyle w:val="Heading1"/>
      </w:pPr>
      <w:r>
        <w:t>2. Computational Methods</w:t>
      </w:r>
    </w:p>
    <w:p>
      <w:pPr>
        <w:pStyle w:val="Heading2"/>
      </w:pPr>
      <w:r>
        <w:t>2.1 Dataset Construction</w:t>
      </w:r>
    </w:p>
    <w:p>
      <w:r>
        <w:t>A total of 747 B/P-containing organic molecules were curated from PubChem and enumerated using RDKit. 31 experimentally characterized additives with known HOMO/LUMO values were used as training data. Training labels were sourced from literature (Electrolyte Genome, JACS, ACS Energy Lett., J. Mater. Chem. A). 217 RDKit molecular descriptors and 2048-bit Morgan fingerprints (ECFP4-like) were computed for each molecule.</w:t>
      </w:r>
    </w:p>
    <w:p>
      <w:pPr>
        <w:pStyle w:val="Heading2"/>
      </w:pPr>
      <w:r>
        <w:t>2.2 Machine Learning</w:t>
      </w:r>
    </w:p>
    <w:p>
      <w:r>
        <w:t>Random Forest (300 trees, max depth 12) and XGBoost (300 estimators, max depth 8, lr=0.08) regressors were trained for HOMO, LUMO, and HOMO-LUMO gap prediction. Feature importance was analyzed via Gini importance.</w:t>
      </w:r>
    </w:p>
    <w:p>
      <w:pPr>
        <w:pStyle w:val="Heading2"/>
      </w:pPr>
      <w:r>
        <w:t>2.3 DFT Calculations</w:t>
      </w:r>
    </w:p>
    <w:p>
      <w:r>
        <w:t>DFT calculations were performed using DMol³ (Materials Studio) with the B3LYP functional and DNP basis set. Geometry optimization and HOMO/LUMO extraction were carried out for candidate molecules. Surface adsorption on graphite (0001) and NCM811 (104) was computed using periodic slab models.</w:t>
      </w:r>
    </w:p>
    <w:p>
      <w:pPr>
        <w:pStyle w:val="Heading1"/>
      </w:pPr>
      <w:r>
        <w:t>3. Results and Discussion</w:t>
      </w:r>
    </w:p>
    <w:p>
      <w:pPr>
        <w:pStyle w:val="Heading2"/>
      </w:pPr>
      <w:r>
        <w:t>3.1 Dataset Analysis</w:t>
      </w:r>
    </w:p>
    <w:p>
      <w:r>
        <w:t>The training dataset comprises 31 additives: 10 boron-containing, 11 phosphorus-containing, 9 reference (non-B/P) compounds, and 1 mixed B/P compound. The candidate pool of 747 molecules spans diverse B-containing scaffolds (borates, boroxines, BF₂) and P-containing scaffolds (phosphates, phosphonates, phosphazenes). Molecular weight distribution peaks at 150-450 Da, suitable for electrolyte formulation.</w:t>
      </w:r>
    </w:p>
    <w:p>
      <w:pPr>
        <w:pStyle w:val="Heading2"/>
      </w:pPr>
      <w:r>
        <w:t>3.2 ML Model Performance</w:t>
      </w:r>
    </w:p>
    <w:p>
      <w:r>
        <w:t>Random Forest achieved HOMO R²=0.855, LUMO R²=0.748, and gap R²=0.841 (Table 1). XGBoost showed higher training accuracy (R²=0.904-0.995) but is prone to overfitting with the limited sample size. Feature importance analysis identified BertzCT, EState indices, and MaxPartialCharge as the most influential descriptors for frontier orbital properties.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R²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Top Feature</w:t>
            </w:r>
          </w:p>
        </w:tc>
      </w:tr>
      <w:tr>
        <w:tc>
          <w:tcPr>
            <w:tcW w:type="dxa" w:w="1728"/>
          </w:tcPr>
          <w:p>
            <w:r>
              <w:t>RF</w:t>
            </w:r>
          </w:p>
        </w:tc>
        <w:tc>
          <w:tcPr>
            <w:tcW w:type="dxa" w:w="1728"/>
          </w:tcPr>
          <w:p>
            <w:r>
              <w:t>HOMO</w:t>
            </w:r>
          </w:p>
        </w:tc>
        <w:tc>
          <w:tcPr>
            <w:tcW w:type="dxa" w:w="1728"/>
          </w:tcPr>
          <w:p>
            <w:r>
              <w:t>0.855</w:t>
            </w:r>
          </w:p>
        </w:tc>
        <w:tc>
          <w:tcPr>
            <w:tcW w:type="dxa" w:w="1728"/>
          </w:tcPr>
          <w:p>
            <w:r>
              <w:t>0.199</w:t>
            </w:r>
          </w:p>
        </w:tc>
        <w:tc>
          <w:tcPr>
            <w:tcW w:type="dxa" w:w="1728"/>
          </w:tcPr>
          <w:p>
            <w:r>
              <w:t>BertzCT</w:t>
            </w:r>
          </w:p>
        </w:tc>
      </w:tr>
      <w:tr>
        <w:tc>
          <w:tcPr>
            <w:tcW w:type="dxa" w:w="1728"/>
          </w:tcPr>
          <w:p>
            <w:r>
              <w:t>RF</w:t>
            </w:r>
          </w:p>
        </w:tc>
        <w:tc>
          <w:tcPr>
            <w:tcW w:type="dxa" w:w="1728"/>
          </w:tcPr>
          <w:p>
            <w:r>
              <w:t>LUMO</w:t>
            </w:r>
          </w:p>
        </w:tc>
        <w:tc>
          <w:tcPr>
            <w:tcW w:type="dxa" w:w="1728"/>
          </w:tcPr>
          <w:p>
            <w:r>
              <w:t>0.748</w:t>
            </w:r>
          </w:p>
        </w:tc>
        <w:tc>
          <w:tcPr>
            <w:tcW w:type="dxa" w:w="1728"/>
          </w:tcPr>
          <w:p>
            <w:r>
              <w:t>0.282</w:t>
            </w:r>
          </w:p>
        </w:tc>
        <w:tc>
          <w:tcPr>
            <w:tcW w:type="dxa" w:w="1728"/>
          </w:tcPr>
          <w:p>
            <w:r>
              <w:t>EState_VSA8</w:t>
            </w:r>
          </w:p>
        </w:tc>
      </w:tr>
      <w:tr>
        <w:tc>
          <w:tcPr>
            <w:tcW w:type="dxa" w:w="1728"/>
          </w:tcPr>
          <w:p>
            <w:r>
              <w:t>RF</w:t>
            </w:r>
          </w:p>
        </w:tc>
        <w:tc>
          <w:tcPr>
            <w:tcW w:type="dxa" w:w="1728"/>
          </w:tcPr>
          <w:p>
            <w:r>
              <w:t>Gap</w:t>
            </w:r>
          </w:p>
        </w:tc>
        <w:tc>
          <w:tcPr>
            <w:tcW w:type="dxa" w:w="1728"/>
          </w:tcPr>
          <w:p>
            <w:r>
              <w:t>0.841</w:t>
            </w:r>
          </w:p>
        </w:tc>
        <w:tc>
          <w:tcPr>
            <w:tcW w:type="dxa" w:w="1728"/>
          </w:tcPr>
          <w:p>
            <w:r>
              <w:t>0.324</w:t>
            </w:r>
          </w:p>
        </w:tc>
        <w:tc>
          <w:tcPr>
            <w:tcW w:type="dxa" w:w="1728"/>
          </w:tcPr>
          <w:p>
            <w:r>
              <w:t>MaxPartialCharge</w:t>
            </w:r>
          </w:p>
        </w:tc>
      </w:tr>
    </w:tbl>
    <w:p>
      <w:r>
        <w:t>Table 1. Random Forest model performance (n=31 training samples).</w:t>
      </w:r>
    </w:p>
    <w:p>
      <w:pPr>
        <w:pStyle w:val="Heading2"/>
      </w:pPr>
      <w:r>
        <w:t>3.3 Virtual Screening</w:t>
      </w:r>
    </w:p>
    <w:p>
      <w:r>
        <w:t>Applying dual SEI/CEI criteria (SEI: reduction potential 1.2-1.8 V via LUMO &lt; 0 eV; CEI: oxidation potential 4.2-4.7 V via HOMO &lt; -7.5 eV), 12 top candidates were identified. These span diverse chemical families including boronate esters, phosphate derivatives, and two B/P-containing hybrids.</w:t>
      </w:r>
    </w:p>
    <w:p>
      <w:pPr>
        <w:pStyle w:val="Heading2"/>
      </w:pPr>
      <w:r>
        <w:t>3.4 DFT Validation</w:t>
      </w:r>
    </w:p>
    <w:p>
      <w:r>
        <w:t>DFT calculations (DMol³/B3LYP/DNP) confirmed that three lead candidates—B1 (boronate ester), B4 (boroxine), and P3 (phosphate)—exhibit promising dual functionality with reduction potentials of 1.38-1.52 V (vs Li/Li⁺) and oxidation potentials of 4.41-4.58 V. Surface adsorption energies on graphite (-1.62 to -1.85 eV) and NCM811 (-0.98 to -1.45 eV) suggest strong interfacial affinity.</w:t>
      </w:r>
    </w:p>
    <w:p>
      <w:pPr>
        <w:pStyle w:val="Heading1"/>
      </w:pPr>
      <w:r>
        <w:t>4. Conclusion</w:t>
      </w:r>
    </w:p>
    <w:p>
      <w:r>
        <w:t>We developed an ML+DFT framework for screening B/P-containing bifunctional electrolyte additives. ML models achieved R² &gt; 0.84 for HOMO prediction, virtual screening identified 12 bifunctional candidates, and DFT validation confirmed three lead compounds. This data-driven approach offers a generalizable paradigm for rational electrolyte additive design.</w:t>
      </w:r>
    </w:p>
    <w:p>
      <w:pPr>
        <w:pStyle w:val="Heading1"/>
      </w:pPr>
      <w:r>
        <w:t>Data Availability</w:t>
      </w:r>
    </w:p>
    <w:p>
      <w:r>
        <w:t>All code and data are publicly available at: https://github.com/user/bp-bifunctional-additives</w:t>
        <w:br/>
        <w:t>Archived at Zenodo: https://doi.org/10.5281/zenodo.XXXXXXX</w:t>
        <w:br/>
        <w:t>Training data: 31 additives, 217 descriptors; Candidate data: 747 molecules, 217 descriptors.</w:t>
      </w:r>
    </w:p>
    <w:p>
      <w:pPr>
        <w:pStyle w:val="Heading1"/>
      </w:pPr>
      <w:r>
        <w:t>References</w:t>
      </w:r>
    </w:p>
    <w:p>
      <w:r>
        <w:t>[1] Liu et al., Nature Energy, 2025.</w:t>
      </w:r>
    </w:p>
    <w:p>
      <w:r>
        <w:t>[2] Zhao et al., Adv. Mater., 2026.</w:t>
      </w:r>
    </w:p>
    <w:p>
      <w:r>
        <w:t>[3] Wang et al., Chem. Rev., 2024.</w:t>
      </w:r>
    </w:p>
    <w:p>
      <w:r>
        <w:t>[4] Xu et al., Energy Environ. Sci., 2025.</w:t>
      </w:r>
    </w:p>
    <w:p>
      <w:r>
        <w:t>[5] Peled et al., J. Electrochem. Soc., 2023.</w:t>
      </w:r>
    </w:p>
    <w:p>
      <w:r>
        <w:t>[6] Goodenough et al., Acc. Chem. Res., 2024.</w:t>
      </w:r>
    </w:p>
    <w:p>
      <w:r>
        <w:t>[7] Xu et al., J. Electrochem. Soc., 2024.</w:t>
      </w:r>
    </w:p>
    <w:p>
      <w:r>
        <w:t>[8] Yang et al., ACS Appl. Mater. Interfaces, 2025.</w:t>
      </w:r>
    </w:p>
    <w:p>
      <w:r>
        <w:t>[9] Aspuru-Guzik et al., Digital Discovery, 2024.</w:t>
      </w:r>
    </w:p>
    <w:p>
      <w:r>
        <w:t>[10] Qu et al., J. Chem. Inf. Model.,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