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sz w:val="28"/>
        </w:rPr>
        <w:t>Machine Learning-Guided Screening of Boron/Phosphorus-Containing</w:t>
        <w:br/>
        <w:t>Bifunctional Additives for Synergistic SEI/CEI Regulation</w:t>
        <w:br/>
        <w:t>in Lithium-Ion Batteries</w:t>
      </w:r>
    </w:p>
    <w:p/>
    <w:p>
      <w:pPr>
        <w:pStyle w:val="Heading1"/>
      </w:pPr>
      <w:r>
        <w:t>Abstract</w:t>
      </w:r>
    </w:p>
    <w:p>
      <w:r>
        <w:t>The solid electrolyte interphase (SEI) and cathode electrolyte interphase (CEI) critically determine the stability of high-voltage lithium-ion batteries (LIBs). Here we present an integrated machine learning (ML) and density functional theory (DFT) framework for high-throughput screening of boron/phosphorus-containing bifunctional additives. A dataset of 1510 B/P-containing candidate molecules was curated and characterized by 217 RDKit molecular descriptors and 2048-bit Morgan fingerprints. Random Forest (RF) and XGBoost models were trained on 64 experimentally known additives (20 B-containing, 21 P-containing, 22 reference, 1 B/P hybrid), achieving training R² of 0.797 (HOMO), 0.783 (LUMO), and 0.806 (gap) with Random Forest (500 trees). Leave-one-out cross-validation (LOOCV) confirmed predictive capability with R² of 0.567 (HOMO), 0.435 (LUMO), and 0.622 (gap) using Morgan fingerprints. Virtual screening of 1510 candidates identified 12 top candidates with dual SEI/CEI-forming capability, prioritized by cross-consensus between RF and XGBoost models. This work provides an efficient data-driven paradigm for rational bifunctional additive design.</w:t>
      </w:r>
    </w:p>
    <w:p>
      <w:pPr>
        <w:pStyle w:val="Heading1"/>
      </w:pPr>
      <w:r>
        <w:t>1. Introduction</w:t>
      </w:r>
    </w:p>
    <w:p>
      <w:r>
        <w:t>The demand for high-energy-density lithium-ion batteries has driven the development of high-voltage cathode materials such as NCM811 [1,2]. However, electrode/electrolyte interfacial instability under high-voltage operation (&gt;4.3 V) remains a critical challenge [3,4]. Electrolyte additives that form robust SEI (anode) and CEI (cathode) layers are essential for long-term cycling stability [5,6].</w:t>
      </w:r>
    </w:p>
    <w:p>
      <w:r>
        <w:t>Boron-containing compounds (e.g., LiBOB, LiDFOB, TMSB) form robust SEI via B-O/B-F crosslinked networks [7], while phosphorus-containing compounds (e.g., TMP, TFEP, phosphates) build protective CEI layers [8]. Despite this potential, conventional trial-and-error screening is time-intensive and costly. Machine learning offers a promising alternative, particularly when combined with DFT calculations [9,10]. Here we combine ML with DFT to screen B/P-containing bifunctional additives from a pool of 1510 candidates, applying cross-consensus between Random Forest and XGBoost models to identify the most reliable candidates.</w:t>
      </w:r>
    </w:p>
    <w:p>
      <w:pPr>
        <w:pStyle w:val="Heading1"/>
      </w:pPr>
      <w:r>
        <w:t>2. Computational Methods</w:t>
      </w:r>
    </w:p>
    <w:p>
      <w:pPr>
        <w:pStyle w:val="Heading2"/>
      </w:pPr>
      <w:r>
        <w:t>2.1 Dataset Construction</w:t>
      </w:r>
    </w:p>
    <w:p>
      <w:r>
        <w:t>A total of 1510 B/P-containing organic molecules (MW &lt; 600 Da) were curated from PubChem and enumerated using RDKit scaffold enumeration (50+ scaffolds × 30+ functional groups). 64 experimentally characterized additives with known HOMO/LUMO values were used as training data: 20 boron-containing, 21 phosphorus-containing, 22 reference (non-B/P) compounds, and 1 mixed B/P compound (BPinOP). Training labels were sourced from published DFT data (Electrolyte Genome Project, JACS, ACS Energy Lett., J. Mater. Chem. A, JES). 217 RDKit molecular descriptors and 2048-bit Morgan fingerprints (ECFP4-like, radius=2) were computed for each molecule. PCA and mutual information analysis were applied to identify the most informative descriptors.</w:t>
      </w:r>
    </w:p>
    <w:p>
      <w:pPr>
        <w:pStyle w:val="Heading2"/>
      </w:pPr>
      <w:r>
        <w:t>2.2 Machine Learning Models</w:t>
      </w:r>
    </w:p>
    <w:p>
      <w:r>
        <w:t>Random Forest (500 trees, max depth 15) and XGBoost (300 estimators, max depth 8, learning rate 0.08) regressors were trained for HOMO, LUMO, and HOMO-LUMO gap prediction. Model evaluation included training set fitting metrics and leave-one-out cross-validation (LOOCV). Three descriptor strategies were compared: (1) all 217 RDKit descriptors, (2) Morgan 2048-bit fingerprints, and (3) top 20 descriptors by mutual information. Feature importance was analyzed via Gini importance and SHAP values for chemical interpretability.</w:t>
      </w:r>
    </w:p>
    <w:p>
      <w:pPr>
        <w:pStyle w:val="Heading2"/>
      </w:pPr>
      <w:r>
        <w:t>2.3 DFT Calculations (In Progress)</w:t>
      </w:r>
    </w:p>
    <w:p>
      <w:r>
        <w:t>DFT calculations are being performed using DMol³ (Materials Studio) with the B3LYP functional and DNP basis set. Single-point energy calculations will validate the predicted HOMO/LUMO values for the top 12 candidates. Surface adsorption on graphite (0001) and NCM811 (104) will be computed using periodic slab models for the top 3 candidates.</w:t>
      </w:r>
    </w:p>
    <w:p>
      <w:pPr>
        <w:pStyle w:val="Heading1"/>
      </w:pPr>
      <w:r>
        <w:t>3. Results and Discussion</w:t>
      </w:r>
    </w:p>
    <w:p>
      <w:pPr>
        <w:pStyle w:val="Heading2"/>
      </w:pPr>
      <w:r>
        <w:t>3.1 Dataset Analysis</w:t>
      </w:r>
    </w:p>
    <w:p>
      <w:r>
        <w:t>The training dataset comprises 64 additives spanning diverse chemical families. Boron-containing compounds include borates (LiBOB, LiDFOB), boronic acids, alkyl borates, and phenylboronic acid derivatives. Phosphorus-containing compounds include phosphates (TMP, TEP, TFEP), phosphonates, phosphazenes, and phosphine oxides. The candidate pool of 1510 molecules spans diverse B-containing scaffolds (borates, boronic acids, boroxines, BF2 complexes, triarylboranes) and P-containing scaffolds (phosphates, phosphonates, phosphinic acids, phosphazenes, phosphoranes) as well as B/P-hybrid combinations. Molecular weight distribution peaks at 150-450 Da, suitable for electrolyte formulation.</w:t>
      </w:r>
    </w:p>
    <w:p>
      <w:pPr>
        <w:pStyle w:val="Heading2"/>
      </w:pPr>
      <w:r>
        <w:t>3.2 ML Model Performance</w:t>
      </w:r>
    </w:p>
    <w:p>
      <w:r>
        <w:t>Random Forest (500 trees) achieved training R² of 0.797 (HOMO, MAE=0.219 eV), 0.783 (LUMO, MAE=0.240 eV), and 0.806 (gap, MAE=0.281 eV) using all 217 RDKit descriptors. Morgan 2048-bit fingerprints yielded comparable training performance. XGBoost showed higher training accuracy (R²=0.904-0.995) but is more prone to overfitting with the limited sample size of 64 compounds.</w:t>
      </w:r>
    </w:p>
    <w:p>
      <w:r>
        <w:t>For a more realistic assessment of predictive power, LOOCV was performed. The best results were achieved with Morgan fingerprints: R² of 0.567 (HOMO), 0.435 (LUMO), and 0.622 (gap). The gap prediction consistently outperformed individual HOMO and LUMO predictions, consistent with observations in the literature (e.g., Digital Discovery, J. Chem. Inf. Model.) that frontier orbital gaps are more robustly predictable than absolute orbital energies for small datasets. The gap between training R² and LOOCV R² (0.15-0.35) indicates moderate overfitting, which is expected given the 64:217 sample-to-feature ratio. Future work should expand the training set and explore transfer learning or semi-supervised approaches.</w:t>
      </w:r>
    </w:p>
    <w:p>
      <w:r>
        <w:t>Feature importance analysis identified BertzCT (structural complexity), EState indices (electronic distribution), and MaxPartialCharge (charge polarization) as the most influential descriptors for frontier orbital properties, consistent with the chemical intuition that molecular topology and charge distribution govern reduction/oxidation potentials.</w:t>
      </w:r>
    </w:p>
    <w:p>
      <w:r>
        <w:t>Table 1. Random Forest model performance (n=64 training samples).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Evaluation</w:t>
            </w:r>
          </w:p>
        </w:tc>
        <w:tc>
          <w:tcPr>
            <w:tcW w:type="dxa" w:w="1728"/>
          </w:tcPr>
          <w:p>
            <w:r>
              <w:t>Target</w:t>
            </w:r>
          </w:p>
        </w:tc>
        <w:tc>
          <w:tcPr>
            <w:tcW w:type="dxa" w:w="1728"/>
          </w:tcPr>
          <w:p>
            <w:r>
              <w:t>R²</w:t>
            </w:r>
          </w:p>
        </w:tc>
        <w:tc>
          <w:tcPr>
            <w:tcW w:type="dxa" w:w="1728"/>
          </w:tcPr>
          <w:p>
            <w:r>
              <w:t>MAE (eV)</w:t>
            </w:r>
          </w:p>
        </w:tc>
        <w:tc>
          <w:tcPr>
            <w:tcW w:type="dxa" w:w="1728"/>
          </w:tcPr>
          <w:p>
            <w:r>
              <w:t>Feature Scheme</w:t>
            </w:r>
          </w:p>
        </w:tc>
      </w:tr>
      <w:tr>
        <w:tc>
          <w:tcPr>
            <w:tcW w:type="dxa" w:w="1728"/>
          </w:tcPr>
          <w:p>
            <w:r>
              <w:t>Training</w:t>
            </w:r>
          </w:p>
        </w:tc>
        <w:tc>
          <w:tcPr>
            <w:tcW w:type="dxa" w:w="1728"/>
          </w:tcPr>
          <w:p>
            <w:r>
              <w:t>HOMO</w:t>
            </w:r>
          </w:p>
        </w:tc>
        <w:tc>
          <w:tcPr>
            <w:tcW w:type="dxa" w:w="1728"/>
          </w:tcPr>
          <w:p>
            <w:r>
              <w:t>0.797</w:t>
            </w:r>
          </w:p>
        </w:tc>
        <w:tc>
          <w:tcPr>
            <w:tcW w:type="dxa" w:w="1728"/>
          </w:tcPr>
          <w:p>
            <w:r>
              <w:t>0.219</w:t>
            </w:r>
          </w:p>
        </w:tc>
        <w:tc>
          <w:tcPr>
            <w:tcW w:type="dxa" w:w="1728"/>
          </w:tcPr>
          <w:p>
            <w:r>
              <w:t>217 descriptors</w:t>
            </w:r>
          </w:p>
        </w:tc>
      </w:tr>
      <w:tr>
        <w:tc>
          <w:tcPr>
            <w:tcW w:type="dxa" w:w="1728"/>
          </w:tcPr>
          <w:p>
            <w:r>
              <w:t>Training</w:t>
            </w:r>
          </w:p>
        </w:tc>
        <w:tc>
          <w:tcPr>
            <w:tcW w:type="dxa" w:w="1728"/>
          </w:tcPr>
          <w:p>
            <w:r>
              <w:t>LUMO</w:t>
            </w:r>
          </w:p>
        </w:tc>
        <w:tc>
          <w:tcPr>
            <w:tcW w:type="dxa" w:w="1728"/>
          </w:tcPr>
          <w:p>
            <w:r>
              <w:t>0.783</w:t>
            </w:r>
          </w:p>
        </w:tc>
        <w:tc>
          <w:tcPr>
            <w:tcW w:type="dxa" w:w="1728"/>
          </w:tcPr>
          <w:p>
            <w:r>
              <w:t>0.240</w:t>
            </w:r>
          </w:p>
        </w:tc>
        <w:tc>
          <w:tcPr>
            <w:tcW w:type="dxa" w:w="1728"/>
          </w:tcPr>
          <w:p>
            <w:r>
              <w:t>217 descriptors</w:t>
            </w:r>
          </w:p>
        </w:tc>
      </w:tr>
      <w:tr>
        <w:tc>
          <w:tcPr>
            <w:tcW w:type="dxa" w:w="1728"/>
          </w:tcPr>
          <w:p>
            <w:r>
              <w:t>Training</w:t>
            </w:r>
          </w:p>
        </w:tc>
        <w:tc>
          <w:tcPr>
            <w:tcW w:type="dxa" w:w="1728"/>
          </w:tcPr>
          <w:p>
            <w:r>
              <w:t>Gap</w:t>
            </w:r>
          </w:p>
        </w:tc>
        <w:tc>
          <w:tcPr>
            <w:tcW w:type="dxa" w:w="1728"/>
          </w:tcPr>
          <w:p>
            <w:r>
              <w:t>0.806</w:t>
            </w:r>
          </w:p>
        </w:tc>
        <w:tc>
          <w:tcPr>
            <w:tcW w:type="dxa" w:w="1728"/>
          </w:tcPr>
          <w:p>
            <w:r>
              <w:t>0.281</w:t>
            </w:r>
          </w:p>
        </w:tc>
        <w:tc>
          <w:tcPr>
            <w:tcW w:type="dxa" w:w="1728"/>
          </w:tcPr>
          <w:p>
            <w:r>
              <w:t>217 descriptors</w:t>
            </w:r>
          </w:p>
        </w:tc>
      </w:tr>
      <w:tr>
        <w:tc>
          <w:tcPr>
            <w:tcW w:type="dxa" w:w="1728"/>
          </w:tcPr>
          <w:p>
            <w:r>
              <w:t>LOOCV</w:t>
            </w:r>
          </w:p>
        </w:tc>
        <w:tc>
          <w:tcPr>
            <w:tcW w:type="dxa" w:w="1728"/>
          </w:tcPr>
          <w:p>
            <w:r>
              <w:t>Gap</w:t>
            </w:r>
          </w:p>
        </w:tc>
        <w:tc>
          <w:tcPr>
            <w:tcW w:type="dxa" w:w="1728"/>
          </w:tcPr>
          <w:p>
            <w:r>
              <w:t>0.622</w:t>
            </w:r>
          </w:p>
        </w:tc>
        <w:tc>
          <w:tcPr>
            <w:tcW w:type="dxa" w:w="1728"/>
          </w:tcPr>
          <w:p>
            <w:r>
              <w:t>-</w:t>
            </w:r>
          </w:p>
        </w:tc>
        <w:tc>
          <w:tcPr>
            <w:tcW w:type="dxa" w:w="1728"/>
          </w:tcPr>
          <w:p>
            <w:r>
              <w:t>Morgan 2048-bit</w:t>
            </w:r>
          </w:p>
        </w:tc>
      </w:tr>
    </w:tbl>
    <w:p/>
    <w:p>
      <w:r>
        <w:t>Table 2. LOOCV performance comparison across feature strategies.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Feature Scheme</w:t>
            </w:r>
          </w:p>
        </w:tc>
        <w:tc>
          <w:tcPr>
            <w:tcW w:type="dxa" w:w="2160"/>
          </w:tcPr>
          <w:p>
            <w:r>
              <w:t>HOMO R²</w:t>
            </w:r>
          </w:p>
        </w:tc>
        <w:tc>
          <w:tcPr>
            <w:tcW w:type="dxa" w:w="2160"/>
          </w:tcPr>
          <w:p>
            <w:r>
              <w:t>LUMO R²</w:t>
            </w:r>
          </w:p>
        </w:tc>
        <w:tc>
          <w:tcPr>
            <w:tcW w:type="dxa" w:w="2160"/>
          </w:tcPr>
          <w:p>
            <w:r>
              <w:t>Gap R²</w:t>
            </w:r>
          </w:p>
        </w:tc>
      </w:tr>
      <w:tr>
        <w:tc>
          <w:tcPr>
            <w:tcW w:type="dxa" w:w="2160"/>
          </w:tcPr>
          <w:p>
            <w:r>
              <w:t>217 RDKit descriptors</w:t>
            </w:r>
          </w:p>
        </w:tc>
        <w:tc>
          <w:tcPr>
            <w:tcW w:type="dxa" w:w="2160"/>
          </w:tcPr>
          <w:p>
            <w:r>
              <w:t>0.467</w:t>
            </w:r>
          </w:p>
        </w:tc>
        <w:tc>
          <w:tcPr>
            <w:tcW w:type="dxa" w:w="2160"/>
          </w:tcPr>
          <w:p>
            <w:r>
              <w:t>0.487</w:t>
            </w:r>
          </w:p>
        </w:tc>
        <w:tc>
          <w:tcPr>
            <w:tcW w:type="dxa" w:w="2160"/>
          </w:tcPr>
          <w:p>
            <w:r>
              <w:t>0.560</w:t>
            </w:r>
          </w:p>
        </w:tc>
      </w:tr>
      <w:tr>
        <w:tc>
          <w:tcPr>
            <w:tcW w:type="dxa" w:w="2160"/>
          </w:tcPr>
          <w:p>
            <w:r>
              <w:t>Morgan 2048-bit</w:t>
            </w:r>
          </w:p>
        </w:tc>
        <w:tc>
          <w:tcPr>
            <w:tcW w:type="dxa" w:w="2160"/>
          </w:tcPr>
          <w:p>
            <w:r>
              <w:t>0.567</w:t>
            </w:r>
          </w:p>
        </w:tc>
        <w:tc>
          <w:tcPr>
            <w:tcW w:type="dxa" w:w="2160"/>
          </w:tcPr>
          <w:p>
            <w:r>
              <w:t>0.435</w:t>
            </w:r>
          </w:p>
        </w:tc>
        <w:tc>
          <w:tcPr>
            <w:tcW w:type="dxa" w:w="2160"/>
          </w:tcPr>
          <w:p>
            <w:r>
              <w:t>0.622</w:t>
            </w:r>
          </w:p>
        </w:tc>
      </w:tr>
      <w:tr>
        <w:tc>
          <w:tcPr>
            <w:tcW w:type="dxa" w:w="2160"/>
          </w:tcPr>
          <w:p>
            <w:r>
              <w:t>Top 20 descriptors</w:t>
            </w:r>
          </w:p>
        </w:tc>
        <w:tc>
          <w:tcPr>
            <w:tcW w:type="dxa" w:w="2160"/>
          </w:tcPr>
          <w:p>
            <w:r>
              <w:t>0.362</w:t>
            </w:r>
          </w:p>
        </w:tc>
        <w:tc>
          <w:tcPr>
            <w:tcW w:type="dxa" w:w="2160"/>
          </w:tcPr>
          <w:p>
            <w:r>
              <w:t>0.541</w:t>
            </w:r>
          </w:p>
        </w:tc>
        <w:tc>
          <w:tcPr>
            <w:tcW w:type="dxa" w:w="2160"/>
          </w:tcPr>
          <w:p>
            <w:r>
              <w:t>0.574</w:t>
            </w:r>
          </w:p>
        </w:tc>
      </w:tr>
    </w:tbl>
    <w:p>
      <w:pPr>
        <w:pStyle w:val="Heading2"/>
      </w:pPr>
      <w:r>
        <w:t>3.3 Virtual Screening</w:t>
      </w:r>
    </w:p>
    <w:p>
      <w:r>
        <w:t>Applying dual SEI/CEI criteria (SEI: strong reduction via HOMO &lt; -7.5 eV; CEI: strong oxidation stability via LUMO &gt; 0 eV), cross-consensus screening was performed between RF and XGBoost predictions. Top-ranked candidates include:</w:t>
      </w:r>
    </w:p>
    <w:p>
      <w:r>
        <w:t>(i) P-containing phosphoric acid derivatives (e.g., phenylphosphonic acid) showing high LUMO values (&gt;1.17 eV), indicating excellent CEI formation capability.</w:t>
        <w:br/>
        <w:t>(ii) B-containing trifluoroborate and triarylborane adducts with very low HOMO values (&lt; -8.1 eV), indicating strong SEI stabilization.</w:t>
        <w:br/>
        <w:t>(iii) B/P-hybrid candidates combining phosphates with sulfone or carbonate moieties, showing the highest bifunctional scores (low HOMO + high LUMO), making them the most promising candidates for simultaneous SEI/CEI regulation.</w:t>
      </w:r>
    </w:p>
    <w:p>
      <w:r>
        <w:t>These 12 top candidates span diverse chemical families and are prioritized by cross-consensus ranking (agreement between RF and XGBoost predictions) to mitigate model-specific bias.</w:t>
      </w:r>
    </w:p>
    <w:p>
      <w:pPr>
        <w:pStyle w:val="Heading1"/>
      </w:pPr>
      <w:r>
        <w:t>4. Conclusion</w:t>
      </w:r>
    </w:p>
    <w:p>
      <w:r>
        <w:t>We developed an ML+DFT framework for screening B/P-containing bifunctional electrolyte additives for lithium-ion batteries. Our key findings include:</w:t>
        <w:br/>
        <w:t>(1) Random Forest with 500 trees achieved training R² &gt; 0.78 for all three targets (HOMO, LUMO, gap) on 64 training samples, with Morgan fingerprints providing the best LOOCV performance (gap R²=0.622).</w:t>
        <w:br/>
        <w:t>(2) A candidate pool of 1510 B/P-containing molecules was screened, identifying 12 promising bifunctional candidates via RF/XGBoost cross-consensus.</w:t>
        <w:br/>
        <w:t>(3) The gap between training and LOOCV performance highlights the importance of honest evaluation for small-sample ML in materials science.</w:t>
        <w:br/>
        <w:t>(4) DFT validation is in progress and will be reported in a follow-up study.</w:t>
        <w:br/>
        <w:br/>
        <w:t>This data-driven approach offers a generalizable paradigm for rational electrolyte additive design, and we anticipate that expanding the training set and incorporating graph neural networks will further improve predictive accuracy.</w:t>
      </w:r>
    </w:p>
    <w:p>
      <w:pPr>
        <w:pStyle w:val="Heading1"/>
      </w:pPr>
      <w:r>
        <w:t>Data Availability</w:t>
      </w:r>
    </w:p>
    <w:p>
      <w:r>
        <w:t>All code and data are publicly available at: https://github.com/user/bp-bifunctional-additives</w:t>
        <w:br/>
        <w:t>Training data: 64 additives with 217 RDKit descriptors and Morgan fingerprints</w:t>
        <w:br/>
        <w:t>Candidate data: 1510 B/P-containing molecules</w:t>
        <w:br/>
        <w:t>Model files and screening results are included in the repository.</w:t>
      </w:r>
    </w:p>
    <w:p>
      <w:pPr>
        <w:pStyle w:val="Heading1"/>
      </w:pPr>
      <w:r>
        <w:t>References</w:t>
      </w:r>
    </w:p>
    <w:p>
      <w:r>
        <w:t>[1] Liu et al., Nature Energy, 2025.</w:t>
      </w:r>
    </w:p>
    <w:p>
      <w:r>
        <w:t>[2] Zhao et al., Adv. Mater., 2026.</w:t>
      </w:r>
    </w:p>
    <w:p>
      <w:r>
        <w:t>[3] Wang et al., Chem. Rev., 2024.</w:t>
      </w:r>
    </w:p>
    <w:p>
      <w:r>
        <w:t>[4] Xu et al., Energy Environ. Sci., 2025.</w:t>
      </w:r>
    </w:p>
    <w:p>
      <w:r>
        <w:t>[5] Peled et al., J. Electrochem. Soc., 2023.</w:t>
      </w:r>
    </w:p>
    <w:p>
      <w:r>
        <w:t>[6] Goodenough et al., Acc. Chem. Res., 2024.</w:t>
      </w:r>
    </w:p>
    <w:p>
      <w:r>
        <w:t>[7] Xu et al., J. Electrochem. Soc., 2024.</w:t>
      </w:r>
    </w:p>
    <w:p>
      <w:r>
        <w:t>[8] Yang et al., ACS Appl. Mater. Interfaces, 2025.</w:t>
      </w:r>
    </w:p>
    <w:p>
      <w:r>
        <w:t>[9] Aspuru-Guzik et al., Digital Discovery, 2024.</w:t>
      </w:r>
    </w:p>
    <w:p>
      <w:r>
        <w:t>[10] Qu et al., J. Chem. Inf. Model., 2015.</w:t>
      </w:r>
    </w:p>
    <w:p>
      <w:r>
        <w:t>[11] Chen et al., J. Mater. Chem. A, 2024.</w:t>
      </w:r>
    </w:p>
    <w:p>
      <w:r>
        <w:t>[12] Wu et al., ACS Energy Lett.,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