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 24, 2026</w:t>
      </w:r>
    </w:p>
    <w:p/>
    <w:p>
      <w:r>
        <w:t>Professor Alán Aspuru-Guzik</w:t>
      </w:r>
    </w:p>
    <w:p>
      <w:r>
        <w:t>Editor-in-Chief, Digital Discovery</w:t>
      </w:r>
    </w:p>
    <w:p>
      <w:r>
        <w:t>Royal Society of Chemistry</w:t>
      </w:r>
    </w:p>
    <w:p/>
    <w:p>
      <w:pPr>
        <w:jc w:val="center"/>
      </w:pPr>
      <w:r>
        <w:rPr>
          <w:b/>
        </w:rPr>
        <w:t>Dear Professor Aspuru-Guzik,</w:t>
      </w:r>
    </w:p>
    <w:p/>
    <w:p>
      <w:r>
        <w:t>We are pleased to submit our manuscript entitled "Machine Learning-Guided Screening of Boron/Phosphorus-Containing Bifunctional Additives for Synergistic SEI/CEI Regulation in Lithium-Ion Batteries" for consideration for publication in Digital Discovery.</w:t>
      </w:r>
    </w:p>
    <w:p/>
    <w:p>
      <w:r>
        <w:t>The development of high-voltage lithium-ion batteries critically depends on the simultaneous stabilization of both the anode solid-electrolyte interphase (SEI) and the cathode-electrolyte interphase (CEI). While boron-containing and phosphorus-containing additives have been independently explored for SEI and CEI modification, respectively, no systematic screening framework has been reported for identifying bifunctional additives that can simultaneously stabilize both interfaces.</w:t>
      </w:r>
    </w:p>
    <w:p/>
    <w:p>
      <w:r>
        <w:t>In this work, we present an integrated machine learning and density functional theory framework for high-throughput screening of boron/phosphorus-containing bifunctional electrolyte additives. Key highlights include:</w:t>
      </w:r>
    </w:p>
    <w:p>
      <w:pPr>
        <w:pStyle w:val="ListBullet"/>
      </w:pPr>
      <w:r>
        <w:t>A curated dataset of 100 B/P-containing additives with DFT-calculated HOMO/LUMO energy levels, the most comprehensive open dataset for additive electronic properties to date.</w:t>
      </w:r>
    </w:p>
    <w:p>
      <w:pPr>
        <w:pStyle w:val="ListBullet"/>
      </w:pPr>
      <w:r>
        <w:t>Random Forest models achieving R² = 0.86/0.87/0.83 for HOMO/LUMO/Gap prediction, with rigorous LOOCV validation (R² = 0.57/0.44/0.62) and SHAP-based chemical interpretability.</w:t>
      </w:r>
    </w:p>
    <w:p>
      <w:pPr>
        <w:pStyle w:val="ListBullet"/>
      </w:pPr>
      <w:r>
        <w:t>A virtual screening of 14,425 candidate molecules across 152 chemical scaffolds, identifying top candidates with pyrophosphate and phosphonate moieties as promising dual SEI/CEI formers.</w:t>
      </w:r>
    </w:p>
    <w:p>
      <w:pPr>
        <w:pStyle w:val="ListBullet"/>
      </w:pPr>
      <w:r>
        <w:t>Complete open-source code and data availability via GitHub (https://github.com/A-Duck1/paper-bp-additives), ensuring full reproducibility.</w:t>
      </w:r>
    </w:p>
    <w:p/>
    <w:p>
      <w:r>
        <w:t>We believe this work aligns well with the scope of Digital Discovery, as it presents a reproducible computational workflow for accelerated materials discovery in energy storage. The combination of machine learning prediction, SHAP-based feature interpretation, and large-scale virtual screening provides a template for future data-driven electrolyte design.</w:t>
      </w:r>
    </w:p>
    <w:p/>
    <w:p>
      <w:r>
        <w:t>This manuscript is original, has not been published previously, and is not under consideration elsewhere. All authors have approved the submission.</w:t>
      </w:r>
    </w:p>
    <w:p/>
    <w:p>
      <w:r>
        <w:t>We look forward to your response.</w:t>
      </w:r>
    </w:p>
    <w:p/>
    <w:p>
      <w:r>
        <w:t>Sincerely,</w:t>
      </w:r>
    </w:p>
    <w:p>
      <w:r>
        <w:t>Author Name</w:t>
      </w:r>
    </w:p>
    <w:p>
      <w:r>
        <w:t>Corresponding Author</w:t>
      </w:r>
    </w:p>
    <w:p>
      <w:r>
        <w:t>Email: name@institute.edu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