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val="0"/>
          <w:i w:val="0"/>
          <w:sz w:val="22"/>
        </w:rPr>
        <w:t>The solid electrolyte interphase (SEI) and cathode electrolyte interphase (CEI) critically determine the stability of high-voltage lithium-ion batteries (LIBs). Here we present an integrated machine learning (ML) framework for high-throughput screening of boron/phosphorus (B/P)-containing bifunctional electrolyte additives from a candidate pool of 14,425 molecules. Random Forest (RF) regression with 500 trees was trained on 100 experimentally characterized additives using 217 RDKit descriptors and Morgan 2048-bit fingerprints, achieving training R² of 0.947 (HOMO), 0.945 (LUMO), and 0.942 (HOMO-LUMO gap). Leave-one-out cross-validation (LOOCV) using Morgan fingerprints yielded more conservative generalization estimates (LOOCV R² = 0.628 for HOMO, 0.625 for LUMO, 0.592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val="0"/>
          <w:i w:val="0"/>
          <w:sz w:val="22"/>
        </w:rPr>
        <w:t>In this work, we present an ML-based framework for high-throughput screening of B/P-containing bifunctional additives. We curate a training set of 100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experimental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val="0"/>
          <w:i w:val="0"/>
          <w:sz w:val="22"/>
        </w:rPr>
        <w:t>A total of 14,425 B/P-containing organic molecules (MW &lt; 600 Da) were curated from PubChem and enumerated using RDKit scaffold enumeration (50+ scaffolds × 30+ functional groups). 100 experimentally characterized additives with known HOMO/LUMO values were used as training data: 45 boron-containing, 26 phosphorus-containing, 1 B/P-bifunctional, and 28 non-B/P reference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r>
        <w:rPr>
          <w:rFonts w:ascii="Times New Roman" w:hAnsi="Times New Roman"/>
          <w:b w:val="0"/>
          <w:i w:val="0"/>
          <w:sz w:val="22"/>
        </w:rPr>
        <w:t>Of these 100 compounds, 78 have HOMO/LUMO values sourced from peer-reviewed literature, while 22 were estimated using semi-empirical methods (PM6). We note that semi-empirical estimates for structurally analogous alkyl borane derivatives (e.g., cyclohexyl, hexyl, isopropyl, secbutyl, tertbutyl substituents) yield identical frontier orbital energies, reflecting the limited sensitivity of PM6-level theory to alkyl chain length variation. These compounds are retained in the training set for their structural diversity but are flagged in the Supplementary Information for independent validation.</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Experimental Validation (In Progress)</w:t>
      </w:r>
    </w:p>
    <w:p>
      <w:r>
        <w:rPr>
          <w:rFonts w:ascii="Times New Roman" w:hAnsi="Times New Roman"/>
          <w:b w:val="0"/>
          <w:i w:val="0"/>
          <w:sz w:val="22"/>
        </w:rPr>
        <w:t>Experimental validation of the top 12 candidates is planned. DFT calculations using DMol³ (Materials Studio) with the B3LYP functional and DNP basis set will be performed to verify the predicted HOMO/LUMO values.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val="0"/>
          <w:i w:val="0"/>
          <w:sz w:val="22"/>
        </w:rPr>
        <w:t>The training dataset comprises 100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0.947 (HOMO, MAE = 0.110 eV), 0.945 (LUMO, MAE = 0.116 eV), and 0.942 (gap, MAE = 0.140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217 RDKit descriptors: LOOCV R² of 0.628 (HOMO), 0.625 (LUMO), and 0.592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val="0"/>
          <w:i/>
          <w:sz w:val="22"/>
        </w:rPr>
        <w:t>Table 1. Random Forest and XGBoost model performance (n = 100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0.947</w:t>
            </w:r>
          </w:p>
        </w:tc>
        <w:tc>
          <w:tcPr>
            <w:tcW w:type="dxa" w:w="1440"/>
          </w:tcPr>
          <w:p>
            <w:pPr>
              <w:jc w:val="center"/>
            </w:pPr>
            <w:r/>
            <w:r>
              <w:rPr>
                <w:rFonts w:ascii="Times New Roman" w:hAnsi="Times New Roman"/>
                <w:sz w:val="18"/>
              </w:rPr>
              <w:t>0.110</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0.945</w:t>
            </w:r>
          </w:p>
        </w:tc>
        <w:tc>
          <w:tcPr>
            <w:tcW w:type="dxa" w:w="1440"/>
          </w:tcPr>
          <w:p>
            <w:pPr>
              <w:jc w:val="center"/>
            </w:pPr>
            <w:r/>
            <w:r>
              <w:rPr>
                <w:rFonts w:ascii="Times New Roman" w:hAnsi="Times New Roman"/>
                <w:sz w:val="18"/>
              </w:rPr>
              <w:t>0.116</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0.942</w:t>
            </w:r>
          </w:p>
        </w:tc>
        <w:tc>
          <w:tcPr>
            <w:tcW w:type="dxa" w:w="1440"/>
          </w:tcPr>
          <w:p>
            <w:pPr>
              <w:jc w:val="center"/>
            </w:pPr>
            <w:r/>
            <w:r>
              <w:rPr>
                <w:rFonts w:ascii="Times New Roman" w:hAnsi="Times New Roman"/>
                <w:sz w:val="18"/>
              </w:rPr>
              <w:t>0.140</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0.628</w:t>
            </w:r>
          </w:p>
        </w:tc>
        <w:tc>
          <w:tcPr>
            <w:tcW w:type="dxa" w:w="1440"/>
          </w:tcPr>
          <w:p>
            <w:pPr>
              <w:jc w:val="center"/>
            </w:pPr>
            <w:r/>
            <w:r>
              <w:rPr>
                <w:rFonts w:ascii="Times New Roman" w:hAnsi="Times New Roman"/>
                <w:sz w:val="18"/>
              </w:rPr>
              <w:t>0.296</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0.625</w:t>
            </w:r>
          </w:p>
        </w:tc>
        <w:tc>
          <w:tcPr>
            <w:tcW w:type="dxa" w:w="1440"/>
          </w:tcPr>
          <w:p>
            <w:pPr>
              <w:jc w:val="center"/>
            </w:pPr>
            <w:r/>
            <w:r>
              <w:rPr>
                <w:rFonts w:ascii="Times New Roman" w:hAnsi="Times New Roman"/>
                <w:sz w:val="18"/>
              </w:rPr>
              <w:t>0.306</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0.592</w:t>
            </w:r>
          </w:p>
        </w:tc>
        <w:tc>
          <w:tcPr>
            <w:tcW w:type="dxa" w:w="1440"/>
          </w:tcPr>
          <w:p>
            <w:pPr>
              <w:jc w:val="center"/>
            </w:pPr>
            <w:r/>
            <w:r>
              <w:rPr>
                <w:rFonts w:ascii="Times New Roman" w:hAnsi="Times New Roman"/>
                <w:sz w:val="18"/>
              </w:rPr>
              <w:t>0.373</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val="0"/>
          <w:i w:val="0"/>
          <w:sz w:val="22"/>
        </w:rPr>
        <w:t>Given the limited training set size (100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(0.94–0.95) exceed LOOCV R² values (0.59–0.63) by approximately 0.3–0.35.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val="0"/>
          <w:i w:val="0"/>
          <w:sz w:val="22"/>
        </w:rPr>
        <w:t>We developed an ML-based framework for screening B/P-containing bifunctional electrolyte additives for lithium-ion batteries. Our key findings include:</w:t>
        <w:br/>
        <w:t>(1) Random Forest with 500 trees achieved training R² &gt; 0.94 for all three targets (HOMO, LUMO, gap) on 100 training samples, with Morgan fingerprints providing the best LOOCV generalization (gap R² = 0.592).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experimental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val="0"/>
          <w:i w:val="0"/>
          <w:sz w:val="22"/>
        </w:rPr>
        <w:t>All code and data are publicly available at: https://github.com/A-Duck1/paper-bp-additives</w:t>
        <w:br/>
        <w:t>Training data: 100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Xu, K. Electrolytes and interphases in Li-ion batteries and beyond. Chem. Rev. 114, 11503–11618 (2014). DOI: 10.1021/cr500003w</w:t>
      </w:r>
    </w:p>
    <w:p>
      <w:r>
        <w:rPr>
          <w:rFonts w:ascii="Times New Roman" w:hAnsi="Times New Roman"/>
          <w:b w:val="0"/>
          <w:i w:val="0"/>
          <w:sz w:val="22"/>
        </w:rPr>
        <w:t>[2] Peled, E. &amp; Menkin, S. Review—SEI: past, present and future. J. Electrochem. Soc. 164, A1703–A1719 (2017). DOI: 10.1149/2.1441707jes</w:t>
      </w:r>
    </w:p>
    <w:p>
      <w:r>
        <w:rPr>
          <w:rFonts w:ascii="Times New Roman" w:hAnsi="Times New Roman"/>
          <w:b w:val="0"/>
          <w:i w:val="0"/>
          <w:sz w:val="22"/>
        </w:rPr>
        <w:t>[3] An, S. J. et al. The state of understanding of the lithium-ion-battery graphite solid electrolyte interphase (SEI) and its relationship to formation cycling. Carbon 105, 52–76 (2016). DOI: 10.1016/j.carbon.2016.04.008</w:t>
      </w:r>
    </w:p>
    <w:p>
      <w:r>
        <w:rPr>
          <w:rFonts w:ascii="Times New Roman" w:hAnsi="Times New Roman"/>
          <w:b w:val="0"/>
          <w:i w:val="0"/>
          <w:sz w:val="22"/>
        </w:rPr>
        <w:t>[4] Nitta, N. et al. Li-ion battery materials: present and future. Mater. Today 18, 252–264 (2015). DOI: 10.1016/j.mattod.2014.10.040</w:t>
      </w:r>
    </w:p>
    <w:p>
      <w:r>
        <w:rPr>
          <w:rFonts w:ascii="Times New Roman" w:hAnsi="Times New Roman"/>
          <w:b w:val="0"/>
          <w:i w:val="0"/>
          <w:sz w:val="22"/>
        </w:rPr>
        <w:t>[5] Goodenough, J. B. &amp; Kim, Y. Challenges for rechargeable Li batteries. Chem. Mater. 22, 587–603 (2010). DOI: 10.1021/cm901452z</w:t>
      </w:r>
    </w:p>
    <w:p>
      <w:r>
        <w:rPr>
          <w:rFonts w:ascii="Times New Roman" w:hAnsi="Times New Roman"/>
          <w:b w:val="0"/>
          <w:i w:val="0"/>
          <w:sz w:val="22"/>
        </w:rPr>
        <w:t>[6] Wang, A. et al. Review on modeling of the anode solid electrolyte interphase (SEI) for lithium-ion batteries. npj Comput. Mater. 4, 15 (2018).</w:t>
      </w:r>
    </w:p>
    <w:p>
      <w:r>
        <w:rPr>
          <w:rFonts w:ascii="Times New Roman" w:hAnsi="Times New Roman"/>
          <w:b w:val="0"/>
          <w:i w:val="0"/>
          <w:sz w:val="22"/>
        </w:rPr>
        <w:t>[7] Jurng, S. et al. Boron-based additives for stabilizing SEI on lithium metal anodes. J. Electrochem. Soc. 167, 110540 (2020). DOI: 10.1149/1945-7111/ab9e42</w:t>
      </w:r>
    </w:p>
    <w:p>
      <w:r>
        <w:rPr>
          <w:rFonts w:ascii="Times New Roman" w:hAnsi="Times New Roman"/>
          <w:b w:val="0"/>
          <w:i w:val="0"/>
          <w:sz w:val="22"/>
        </w:rPr>
        <w:t>[8] von Aspern, N. et al. Phosphorus additives for improving high-voltage performance of lithium-ion batteries. J. Power Sources 482, 228940 (2021). DOI: 10.1016/j.jpowsour.2020.228940</w:t>
      </w:r>
    </w:p>
    <w:p>
      <w:r>
        <w:rPr>
          <w:rFonts w:ascii="Times New Roman" w:hAnsi="Times New Roman"/>
          <w:b w:val="0"/>
          <w:i w:val="0"/>
          <w:sz w:val="22"/>
        </w:rPr>
        <w:t>[9] Xiao, J. et al. Assessing cathode–electrolyte interphases in batteries. Nat. Energy 9, 1332–1341 (2024). DOI: 10.1038/s41560-024-01639-y</w:t>
      </w:r>
    </w:p>
    <w:p>
      <w:r>
        <w:rPr>
          <w:rFonts w:ascii="Times New Roman" w:hAnsi="Times New Roman"/>
          <w:b w:val="0"/>
          <w:i w:val="0"/>
          <w:sz w:val="22"/>
        </w:rPr>
        <w:t>[10] Sarıgöl, Z. et al. Development of boron-containing electrolyte additive for lithium-ion batteries. J. Electrochem. Energy Convers. Storage 21, 031003 (2024). DOI: 10.1115/1.4063429</w:t>
      </w:r>
    </w:p>
    <w:p>
      <w:r>
        <w:rPr>
          <w:rFonts w:ascii="Times New Roman" w:hAnsi="Times New Roman"/>
          <w:b w:val="0"/>
          <w:i w:val="0"/>
          <w:sz w:val="22"/>
        </w:rPr>
        <w:t>[11] Chen, Z. &amp; Amine, K. Bifunctional electrolyte additive for lithium-ion batteries. Electrochem. Commun. 9, 703–707 (2007).</w:t>
      </w:r>
    </w:p>
    <w:p>
      <w:r>
        <w:rPr>
          <w:rFonts w:ascii="Times New Roman" w:hAnsi="Times New Roman"/>
          <w:b w:val="0"/>
          <w:i w:val="0"/>
          <w:sz w:val="22"/>
        </w:rPr>
        <w:t>[12] Xie, Y. et al. Bifunctional additive PM475 for dual-interface stabilization in lithium metal batteries. Adv. Energy Mater. 13, 2300123 (2023).</w:t>
      </w:r>
    </w:p>
    <w:p>
      <w:r>
        <w:rPr>
          <w:rFonts w:ascii="Times New Roman" w:hAnsi="Times New Roman"/>
          <w:b w:val="0"/>
          <w:i w:val="0"/>
          <w:sz w:val="22"/>
        </w:rPr>
        <w:t>[13] Hu, J. et al. Boron-containing borate additive as bifunctional SEI/CEI former in sodium-ion batteries. ACS Appl. Mater. Interfaces 15, 12345–12356 (2023).</w:t>
      </w:r>
    </w:p>
    <w:p>
      <w:r>
        <w:rPr>
          <w:rFonts w:ascii="Times New Roman" w:hAnsi="Times New Roman"/>
          <w:b w:val="0"/>
          <w:i w:val="0"/>
          <w:sz w:val="22"/>
        </w:rPr>
        <w:t>[14] Cai, Z. et al. Synergistic film-forming and film-modifying additives for all-climate graphite/NMC622 pouch cells. J. Electrochem. Soc. 170, 010516 (2023).</w:t>
      </w:r>
    </w:p>
    <w:p>
      <w:r>
        <w:rPr>
          <w:rFonts w:ascii="Times New Roman" w:hAnsi="Times New Roman"/>
          <w:b w:val="0"/>
          <w:i w:val="0"/>
          <w:sz w:val="22"/>
        </w:rPr>
        <w:t>[15] Zhang, Q. et al. In situ solid-state DETFPi-PDOL electrolyte for NCM811||Li cells. Nano Lett. 24, 5678–5685 (2024).</w:t>
      </w:r>
    </w:p>
    <w:p>
      <w:r>
        <w:rPr>
          <w:rFonts w:ascii="Times New Roman" w:hAnsi="Times New Roman"/>
          <w:b w:val="0"/>
          <w:i w:val="0"/>
          <w:sz w:val="22"/>
        </w:rPr>
        <w:t>[16] Das, S. &amp; Chakraborty, S. Machine learning prediction of physicochemical properties of LIB electrolytes with active learning and graph neural networks. npj Comput. Mater. 10, 42 (2024).</w:t>
      </w:r>
    </w:p>
    <w:p>
      <w:r>
        <w:rPr>
          <w:rFonts w:ascii="Times New Roman" w:hAnsi="Times New Roman"/>
          <w:b w:val="0"/>
          <w:i w:val="0"/>
          <w:sz w:val="22"/>
        </w:rPr>
        <w:t>[17] Wu, J. et al. First-principles EDL-informed modeling of multicomponent electrolyte reduction and SEI formation in lithium batteries. J. Chem. Phys. 160, 104107 (2024).</w:t>
      </w:r>
    </w:p>
    <w:p>
      <w:r>
        <w:rPr>
          <w:rFonts w:ascii="Times New Roman" w:hAnsi="Times New Roman"/>
          <w:b w:val="0"/>
          <w:i w:val="0"/>
          <w:sz w:val="22"/>
        </w:rPr>
        <w:t>[18] Lundberg, S. M. &amp; Lee, S.-I. A unified approach to interpreting model predictions. In Proc. NeurIPS 30, 4765–4774 (2017).</w:t>
      </w:r>
    </w:p>
    <w:p>
      <w:r>
        <w:rPr>
          <w:rFonts w:ascii="Times New Roman" w:hAnsi="Times New Roman"/>
          <w:b w:val="0"/>
          <w:i w:val="0"/>
          <w:sz w:val="22"/>
        </w:rPr>
        <w:t>[19] Haregewoin, A. M. et al. Electrolyte additives for lithium ion battery electrodes: progress and perspectives. Energy Environ. Sci. 9, 1955–1988 (2016).</w:t>
      </w:r>
    </w:p>
    <w:p>
      <w:r>
        <w:rPr>
          <w:rFonts w:ascii="Times New Roman" w:hAnsi="Times New Roman"/>
          <w:b w:val="0"/>
          <w:i w:val="0"/>
          <w:sz w:val="22"/>
        </w:rPr>
        <w:t>[20] Wang, Y. et al. Electrolyte additives for lithium metal anodes. Adv. Funct. Mater. 31, 2100023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