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3E74" w14:textId="77777777" w:rsidR="006C11B4" w:rsidRPr="006C11B4" w:rsidRDefault="006C11B4" w:rsidP="006C11B4">
      <w:pPr>
        <w:rPr>
          <w:b/>
          <w:bCs/>
          <w:sz w:val="48"/>
          <w:szCs w:val="48"/>
        </w:rPr>
      </w:pPr>
      <w:r w:rsidRPr="006C11B4">
        <w:rPr>
          <w:b/>
          <w:bCs/>
          <w:sz w:val="48"/>
          <w:szCs w:val="48"/>
        </w:rPr>
        <w:t>Key Business Insight from Churn Analysis Report</w:t>
      </w:r>
    </w:p>
    <w:p w14:paraId="1ECAC069" w14:textId="77777777" w:rsidR="006C11B4" w:rsidRPr="006C11B4" w:rsidRDefault="006C11B4" w:rsidP="006C11B4">
      <w:pPr>
        <w:rPr>
          <w:b/>
          <w:bCs/>
        </w:rPr>
      </w:pPr>
      <w:r w:rsidRPr="006C11B4">
        <w:rPr>
          <w:rFonts w:ascii="Segoe UI Emoji" w:hAnsi="Segoe UI Emoji" w:cs="Segoe UI Emoji"/>
          <w:b/>
          <w:bCs/>
        </w:rPr>
        <w:t>🔹</w:t>
      </w:r>
      <w:r w:rsidRPr="006C11B4">
        <w:rPr>
          <w:b/>
          <w:bCs/>
        </w:rPr>
        <w:t xml:space="preserve"> 1. High Churn Among Mid-Tier Customers</w:t>
      </w:r>
    </w:p>
    <w:p w14:paraId="63442E92" w14:textId="77777777" w:rsidR="006C11B4" w:rsidRPr="006C11B4" w:rsidRDefault="006C11B4" w:rsidP="006C11B4">
      <w:r w:rsidRPr="006C11B4">
        <w:t xml:space="preserve">Mid-tier subscription customers exhibit the </w:t>
      </w:r>
      <w:r w:rsidRPr="006C11B4">
        <w:rPr>
          <w:b/>
          <w:bCs/>
        </w:rPr>
        <w:t>highest churn rate</w:t>
      </w:r>
      <w:r w:rsidRPr="006C11B4">
        <w:t>, indicating potential dissatisfaction with the value received relative to the price. This segment represents a critical area for retention efforts.</w:t>
      </w:r>
    </w:p>
    <w:p w14:paraId="49BB7A3E" w14:textId="77777777" w:rsidR="006C11B4" w:rsidRPr="006C11B4" w:rsidRDefault="006C11B4" w:rsidP="006C11B4">
      <w:pPr>
        <w:rPr>
          <w:b/>
          <w:bCs/>
        </w:rPr>
      </w:pPr>
      <w:r w:rsidRPr="006C11B4">
        <w:rPr>
          <w:rFonts w:ascii="Segoe UI Emoji" w:hAnsi="Segoe UI Emoji" w:cs="Segoe UI Emoji"/>
          <w:b/>
          <w:bCs/>
        </w:rPr>
        <w:t>🔹</w:t>
      </w:r>
      <w:r w:rsidRPr="006C11B4">
        <w:rPr>
          <w:b/>
          <w:bCs/>
        </w:rPr>
        <w:t xml:space="preserve"> 2. Usage Frequency Strongly Predicts Churn</w:t>
      </w:r>
    </w:p>
    <w:p w14:paraId="384D893F" w14:textId="77777777" w:rsidR="006C11B4" w:rsidRPr="006C11B4" w:rsidRDefault="006C11B4" w:rsidP="006C11B4">
      <w:r w:rsidRPr="006C11B4">
        <w:t xml:space="preserve">Customers with </w:t>
      </w:r>
      <w:r w:rsidRPr="006C11B4">
        <w:rPr>
          <w:b/>
          <w:bCs/>
        </w:rPr>
        <w:t>lower product usage frequency</w:t>
      </w:r>
      <w:r w:rsidRPr="006C11B4">
        <w:t xml:space="preserve"> are significantly more likely to churn, as shown in correlation and scatter plot visuals. Engaging these customers earlier with usage nudges may reduce churn.</w:t>
      </w:r>
    </w:p>
    <w:p w14:paraId="1196FEDF" w14:textId="77777777" w:rsidR="006C11B4" w:rsidRPr="006C11B4" w:rsidRDefault="006C11B4" w:rsidP="006C11B4">
      <w:pPr>
        <w:rPr>
          <w:b/>
          <w:bCs/>
        </w:rPr>
      </w:pPr>
      <w:r w:rsidRPr="006C11B4">
        <w:rPr>
          <w:rFonts w:ascii="Segoe UI Emoji" w:hAnsi="Segoe UI Emoji" w:cs="Segoe UI Emoji"/>
          <w:b/>
          <w:bCs/>
        </w:rPr>
        <w:t>🔹</w:t>
      </w:r>
      <w:r w:rsidRPr="006C11B4">
        <w:rPr>
          <w:b/>
          <w:bCs/>
        </w:rPr>
        <w:t xml:space="preserve"> 3. Churn Spikes in Q2 – Operational or Seasonal?</w:t>
      </w:r>
    </w:p>
    <w:p w14:paraId="68BC6157" w14:textId="77777777" w:rsidR="006C11B4" w:rsidRPr="006C11B4" w:rsidRDefault="006C11B4" w:rsidP="006C11B4">
      <w:r w:rsidRPr="006C11B4">
        <w:t xml:space="preserve">There is a </w:t>
      </w:r>
      <w:r w:rsidRPr="006C11B4">
        <w:rPr>
          <w:b/>
          <w:bCs/>
        </w:rPr>
        <w:t>visible spike in churn during the second quarter</w:t>
      </w:r>
      <w:r w:rsidRPr="006C11B4">
        <w:t>. This could relate to service issues, pricing changes, or seasonal trends, and warrants further investigation to mitigate future spikes.</w:t>
      </w:r>
    </w:p>
    <w:p w14:paraId="1DEF2684" w14:textId="77777777" w:rsidR="006C11B4" w:rsidRPr="006C11B4" w:rsidRDefault="006C11B4" w:rsidP="006C11B4">
      <w:pPr>
        <w:rPr>
          <w:b/>
          <w:bCs/>
        </w:rPr>
      </w:pPr>
      <w:r w:rsidRPr="006C11B4">
        <w:rPr>
          <w:rFonts w:ascii="Segoe UI Emoji" w:hAnsi="Segoe UI Emoji" w:cs="Segoe UI Emoji"/>
          <w:b/>
          <w:bCs/>
        </w:rPr>
        <w:t>🔹</w:t>
      </w:r>
      <w:r w:rsidRPr="006C11B4">
        <w:rPr>
          <w:b/>
          <w:bCs/>
        </w:rPr>
        <w:t xml:space="preserve"> 4. Predictive Model Identifies Early Risk</w:t>
      </w:r>
    </w:p>
    <w:p w14:paraId="7AA55C9B" w14:textId="77777777" w:rsidR="006C11B4" w:rsidRPr="006C11B4" w:rsidRDefault="006C11B4" w:rsidP="006C11B4">
      <w:r w:rsidRPr="006C11B4">
        <w:t xml:space="preserve">The churn prediction model successfully identifies customers at risk </w:t>
      </w:r>
      <w:r w:rsidRPr="006C11B4">
        <w:rPr>
          <w:b/>
          <w:bCs/>
        </w:rPr>
        <w:t>before final disengagement</w:t>
      </w:r>
      <w:r w:rsidRPr="006C11B4">
        <w:t>, allowing teams to take preemptive action. High-confidence predictions (gauge/card visuals) show solid model performance.</w:t>
      </w:r>
    </w:p>
    <w:p w14:paraId="34DEB187" w14:textId="77777777" w:rsidR="006C11B4" w:rsidRPr="006C11B4" w:rsidRDefault="006C11B4" w:rsidP="006C11B4">
      <w:pPr>
        <w:rPr>
          <w:b/>
          <w:bCs/>
        </w:rPr>
      </w:pPr>
      <w:r w:rsidRPr="006C11B4">
        <w:rPr>
          <w:rFonts w:ascii="Segoe UI Emoji" w:hAnsi="Segoe UI Emoji" w:cs="Segoe UI Emoji"/>
          <w:b/>
          <w:bCs/>
        </w:rPr>
        <w:t>🔹</w:t>
      </w:r>
      <w:r w:rsidRPr="006C11B4">
        <w:rPr>
          <w:b/>
          <w:bCs/>
        </w:rPr>
        <w:t xml:space="preserve"> 5. Geographic and Segment-Based Trends</w:t>
      </w:r>
    </w:p>
    <w:p w14:paraId="5E4D4E66" w14:textId="77777777" w:rsidR="006C11B4" w:rsidRPr="006C11B4" w:rsidRDefault="006C11B4" w:rsidP="006C11B4">
      <w:r w:rsidRPr="006C11B4">
        <w:t xml:space="preserve">Certain </w:t>
      </w:r>
      <w:r w:rsidRPr="006C11B4">
        <w:rPr>
          <w:b/>
          <w:bCs/>
        </w:rPr>
        <w:t>geographic regions and customer types (e.g., freelancers vs. enterprises)</w:t>
      </w:r>
      <w:r w:rsidRPr="006C11B4">
        <w:t xml:space="preserve"> are disproportionately represented in churn figures. This suggests a need for </w:t>
      </w:r>
      <w:r w:rsidRPr="006C11B4">
        <w:rPr>
          <w:b/>
          <w:bCs/>
        </w:rPr>
        <w:t>localized retention strategies</w:t>
      </w:r>
      <w:r w:rsidRPr="006C11B4">
        <w:t xml:space="preserve"> and possibly tier-specific value propositions.</w:t>
      </w:r>
    </w:p>
    <w:p w14:paraId="56C58E66" w14:textId="77777777" w:rsidR="006C11B4" w:rsidRPr="006C11B4" w:rsidRDefault="006C11B4" w:rsidP="006C11B4">
      <w:pPr>
        <w:rPr>
          <w:b/>
          <w:bCs/>
        </w:rPr>
      </w:pPr>
      <w:r w:rsidRPr="006C11B4">
        <w:rPr>
          <w:rFonts w:ascii="Segoe UI Emoji" w:hAnsi="Segoe UI Emoji" w:cs="Segoe UI Emoji"/>
          <w:b/>
          <w:bCs/>
        </w:rPr>
        <w:t>🔹</w:t>
      </w:r>
      <w:r w:rsidRPr="006C11B4">
        <w:rPr>
          <w:b/>
          <w:bCs/>
        </w:rPr>
        <w:t xml:space="preserve"> 6. KPI Cards Highlight Urgent Metrics</w:t>
      </w:r>
    </w:p>
    <w:p w14:paraId="73F4B5BE" w14:textId="77777777" w:rsidR="006C11B4" w:rsidRPr="006C11B4" w:rsidRDefault="006C11B4" w:rsidP="006C11B4">
      <w:r w:rsidRPr="006C11B4">
        <w:t xml:space="preserve">Churn KPIs shown on cards emphasize that the </w:t>
      </w:r>
      <w:r w:rsidRPr="006C11B4">
        <w:rPr>
          <w:b/>
          <w:bCs/>
        </w:rPr>
        <w:t>current churn rate may threaten growth targets</w:t>
      </w:r>
      <w:r w:rsidRPr="006C11B4">
        <w:t xml:space="preserve"> unless interventions are made. These KPIs should be tracked continuously.</w:t>
      </w:r>
    </w:p>
    <w:p w14:paraId="61C86A44" w14:textId="34F2A4E9" w:rsidR="006C11B4" w:rsidRPr="006C11B4" w:rsidRDefault="006C11B4" w:rsidP="006C11B4">
      <w:r w:rsidRPr="006C11B4">
        <w:pict w14:anchorId="5684A567">
          <v:rect id="_x0000_i1031" style="width:0;height:1.5pt" o:hralign="center" o:hrstd="t" o:hr="t" fillcolor="#a0a0a0" stroked="f"/>
        </w:pict>
      </w:r>
    </w:p>
    <w:p w14:paraId="76422925" w14:textId="77777777" w:rsidR="00D00E2F" w:rsidRDefault="00D00E2F"/>
    <w:sectPr w:rsidR="00D00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1B4"/>
    <w:rsid w:val="001F1EA2"/>
    <w:rsid w:val="00335E24"/>
    <w:rsid w:val="00643E16"/>
    <w:rsid w:val="006C11B4"/>
    <w:rsid w:val="00974134"/>
    <w:rsid w:val="00D00E2F"/>
    <w:rsid w:val="00F11B86"/>
    <w:rsid w:val="00F4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474F"/>
  <w15:chartTrackingRefBased/>
  <w15:docId w15:val="{A6760FB3-4730-4887-8990-D60220272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8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 AN</dc:creator>
  <cp:keywords/>
  <dc:description/>
  <cp:lastModifiedBy>ARY AN</cp:lastModifiedBy>
  <cp:revision>1</cp:revision>
  <dcterms:created xsi:type="dcterms:W3CDTF">2025-05-01T11:28:00Z</dcterms:created>
  <dcterms:modified xsi:type="dcterms:W3CDTF">2025-05-01T11:32:00Z</dcterms:modified>
</cp:coreProperties>
</file>