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E5C"/>
          <w:sz w:val="52"/>
          <w:szCs w:val="52"/>
        </w:rPr>
        <w:t xml:space="preserve">Cross-Cloud ML Inference Orchestration</w:t>
      </w:r>
    </w:p>
    <w:p>
      <w:pPr>
        <w:spacing w:after="60"/>
        <w:jc w:val="center"/>
      </w:pPr>
      <w:r>
        <w:rPr>
          <w:rFonts w:ascii="Arial" w:cs="Arial" w:eastAsia="Arial" w:hAnsi="Arial"/>
          <w:color w:val="1A5276"/>
          <w:sz w:val="28"/>
          <w:szCs w:val="28"/>
        </w:rPr>
        <w:t xml:space="preserve">GCP Vertex AI + AWS SageMaker with Entropy-Based Routing</w:t>
      </w:r>
    </w:p>
    <w:p>
      <w:pPr>
        <w:spacing w:after="60"/>
        <w:jc w:val="center"/>
      </w:pPr>
      <w:r>
        <w:rPr>
          <w:rFonts w:ascii="Arial" w:cs="Arial" w:eastAsia="Arial" w:hAnsi="Arial"/>
          <w:color w:val="666666"/>
          <w:sz w:val="22"/>
          <w:szCs w:val="22"/>
        </w:rPr>
        <w:t xml:space="preserve">Austin Kuo  |  aus.kuo03@gmail.com  |  Portfolio Project</w:t>
      </w:r>
    </w:p>
    <w:p>
      <w:pPr>
        <w:pBdr>
          <w:bottom w:val="single" w:color="1A5276" w:sz="6" w:space="1"/>
        </w:pBdr>
        <w:spacing w:after="160" w:before="160"/>
      </w:pPr>
      <w:r>
        <w:t xml:space="preserve"/>
      </w:r>
    </w:p>
    <w:p>
      <w:pPr>
        <w:pStyle w:val="Heading1"/>
      </w:pPr>
      <w:r>
        <w:t xml:space="preserve">Executive Summary</w:t>
      </w:r>
    </w:p>
    <w:p>
      <w:pPr>
        <w:spacing w:after="120"/>
      </w:pPr>
      <w:r>
        <w:t xml:space="preserve">This project demonstrates a production-grade, multi-cloud ML inference pipeline that routes inference requests across GCP and AWS based on mathematically-grounded confidence signals derived from transformer attention entropy. The routing decision is not a heuristic: it is rooted in information theory, treating attention distributions as probability measures and computing their Shannon entropy to quantify model uncertainty in real time.</w:t>
      </w:r>
    </w:p>
    <w:p>
      <w:pPr>
        <w:spacing w:after="80"/>
      </w:pPr>
      <w:r>
        <w:t xml:space="preserve"/>
      </w:r>
    </w:p>
    <w:p>
      <w:pPr>
        <w:spacing w:after="120"/>
      </w:pPr>
      <w:r>
        <w:t xml:space="preserve">Low-entropy inputs (the model is confident) are served efficiently via GCP Cloud Run hosting a BERT-based ABSA model. High-entropy inputs are escalated to a more powerful AWS SageMaker endpoint running a fine-tuned hallucination detection scorer. An Apache Airflow DAG orchestrates cross-cloud retraining, drift detection, and threshold recalibration.</w:t>
      </w:r>
    </w:p>
    <w:p>
      <w:pPr>
        <w:spacing w:after="80"/>
      </w:pPr>
      <w:r>
        <w:t xml:space="preserve"/>
      </w:r>
    </w:p>
    <w:p>
      <w:pPr>
        <w:spacing w:after="120"/>
      </w:pPr>
      <w:r>
        <w:t xml:space="preserve">The result is a system where routing is not a business rule but a learned, mathematically defensible decision function derived from model internals.</w:t>
      </w:r>
    </w:p>
    <w:p>
      <w:pPr>
        <w:pBdr>
          <w:bottom w:val="single" w:color="1A5276" w:sz="6" w:space="1"/>
        </w:pBdr>
        <w:spacing w:after="160" w:before="160"/>
      </w:pPr>
      <w:r>
        <w:t xml:space="preserve"/>
      </w:r>
    </w:p>
    <w:p>
      <w:pPr>
        <w:pStyle w:val="Heading1"/>
      </w:pPr>
      <w:r>
        <w:t xml:space="preserve">Problem Statement</w:t>
      </w:r>
    </w:p>
    <w:p>
      <w:pPr>
        <w:spacing w:after="120"/>
      </w:pPr>
      <w:r>
        <w:t xml:space="preserve">Modern ML serving systems face a recurring tension: deploying a large, expensive model for all inference requests wastes compute and increases latency; deploying a small, fast model degrades quality on hard inputs. Standard approaches (confidence thresholds on softmax outputs, fixed model tiers) either overestimate confidence (softmax miscalibration) or require manual routing logic that does not generalize.</w:t>
      </w:r>
    </w:p>
    <w:p>
      <w:pPr>
        <w:spacing w:after="80"/>
      </w:pPr>
      <w:r>
        <w:t xml:space="preserve"/>
      </w:r>
    </w:p>
    <w:p>
      <w:pPr>
        <w:spacing w:after="120"/>
      </w:pPr>
      <w:r>
        <w:t xml:space="preserve">This project asks: can attention entropy serve as a principled, self-calibrating routing signal that eliminates the need for a separate confidence model?</w:t>
      </w:r>
    </w:p>
    <w:p>
      <w:pPr>
        <w:pBdr>
          <w:bottom w:val="single" w:color="1A5276" w:sz="6" w:space="1"/>
        </w:pBdr>
        <w:spacing w:after="160" w:before="160"/>
      </w:pPr>
      <w:r>
        <w:t xml:space="preserve"/>
      </w:r>
    </w:p>
    <w:p>
      <w:pPr>
        <w:pStyle w:val="Heading1"/>
      </w:pPr>
      <w:r>
        <w:t xml:space="preserve">Technical Architecture</w:t>
      </w:r>
    </w:p>
    <w:p>
      <w:pPr>
        <w:pStyle w:val="Heading2"/>
      </w:pPr>
      <w:r>
        <w:t xml:space="preserve">1. Entropy-Based Inference Router</w:t>
      </w:r>
    </w:p>
    <w:p>
      <w:pPr>
        <w:spacing w:after="120"/>
      </w:pPr>
      <w:r>
        <w:t xml:space="preserve">The router computes the Shannon entropy of the attention distributions extracted from the final transformer layer of a small local probe model (GPT-2 or DistilBERT) applied to the incoming input:</w:t>
      </w:r>
    </w:p>
    <w:p>
      <w:pPr>
        <w:spacing w:after="80"/>
      </w:pPr>
      <w:r>
        <w:t xml:space="preserve"/>
      </w:r>
    </w:p>
    <w:p>
      <w:pPr>
        <w:spacing w:after="120"/>
        <w:jc w:val="center"/>
      </w:pPr>
      <w:r>
        <w:rPr>
          <w:rFonts w:ascii="Courier New" w:cs="Courier New" w:eastAsia="Courier New" w:hAnsi="Courier New"/>
          <w:b/>
          <w:bCs/>
          <w:color w:val="1A3E5C"/>
          <w:sz w:val="24"/>
          <w:szCs w:val="24"/>
        </w:rPr>
        <w:t xml:space="preserve">H(A) = −Σ p(aᴵ) log p(aᴵ)  over all attention heads i</w:t>
      </w:r>
    </w:p>
    <w:p>
      <w:pPr>
        <w:spacing w:after="80"/>
      </w:pPr>
      <w:r>
        <w:t xml:space="preserve"/>
      </w:r>
    </w:p>
    <w:p>
      <w:pPr>
        <w:spacing w:after="120"/>
      </w:pPr>
      <w:r>
        <w:t xml:space="preserve">A learned threshold τ (calibrated on a held-out validation set) determines routing:</w:t>
      </w:r>
    </w:p>
    <w:p>
      <w:pPr>
        <w:pStyle w:val="ListParagraph"/>
        <w:numPr>
          <w:ilvl w:val="0"/>
          <w:numId w:val="2"/>
        </w:numPr>
        <w:spacing w:after="80"/>
      </w:pPr>
      <w:r>
        <w:t xml:space="preserve">H &lt; τ: input routed to GCP Cloud Run (low-uncertainty, fast path)</w:t>
      </w:r>
    </w:p>
    <w:p>
      <w:pPr>
        <w:pStyle w:val="ListParagraph"/>
        <w:numPr>
          <w:ilvl w:val="0"/>
          <w:numId w:val="2"/>
        </w:numPr>
        <w:spacing w:after="80"/>
      </w:pPr>
      <w:r>
        <w:t xml:space="preserve">H ≥ τ: input escalated to AWS SageMaker (high-uncertainty, heavy model)</w:t>
      </w:r>
    </w:p>
    <w:p>
      <w:pPr>
        <w:spacing w:after="80"/>
      </w:pPr>
      <w:r>
        <w:t xml:space="preserve"/>
      </w:r>
    </w:p>
    <w:p>
      <w:pPr>
        <w:spacing w:after="120"/>
      </w:pPr>
      <w:r>
        <w:t xml:space="preserve">The threshold τ is not fixed. An Airflow DAG recalibrates it nightly using isotonic regression against ground-truth error labels logged to BigQuery, implementing the temperature scaling framework from Guo et al. (2017) adapted to attention-space features.</w:t>
      </w:r>
    </w:p>
    <w:p>
      <w:pPr>
        <w:spacing w:after="80"/>
      </w:pPr>
      <w:r>
        <w:t xml:space="preserve"/>
      </w:r>
    </w:p>
    <w:p>
      <w:pPr>
        <w:pStyle w:val="Heading2"/>
      </w:pPr>
      <w:r>
        <w:t xml:space="preserve">2. GCP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2"/>
                <w:szCs w:val="22"/>
              </w:rPr>
              <w:t xml:space="preserve">Service</w:t>
            </w:r>
          </w:p>
        </w:tc>
        <w:tc>
          <w:tcPr>
            <w:tcW w:type="dxa" w:w="3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2"/>
                <w:szCs w:val="22"/>
              </w:rPr>
              <w:t xml:space="preserve">Role</w:t>
            </w:r>
          </w:p>
        </w:tc>
        <w:tc>
          <w:tcPr>
            <w:tcW w:type="dxa" w:w="3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2"/>
                <w:szCs w:val="22"/>
              </w:rPr>
              <w:t xml:space="preserve">Justification</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Cloud Run</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BERT ABSA model serving</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Serverless, scales to zero, sub-100ms cold start on BERT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 Pub/Sub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Async job queue for batch inputs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Decouples ingestion from inference; handles traffic bursts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BigQuery</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Inference logs + drift telemetry</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Columnar storage ideal for entropy time-series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Vertex AI Pipelines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retraining orchestration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Managed Kubeflow; integrates with Airflow via REST trigger</w:t>
            </w:r>
          </w:p>
        </w:tc>
      </w:tr>
    </w:tbl>
    <w:p>
      <w:pPr>
        <w:spacing w:after="80"/>
      </w:pPr>
      <w:r>
        <w:t xml:space="preserve"/>
      </w:r>
    </w:p>
    <w:p>
      <w:pPr>
        <w:pStyle w:val="Heading2"/>
      </w:pPr>
      <w:r>
        <w:t xml:space="preserve">3. AWS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2"/>
                <w:szCs w:val="22"/>
              </w:rPr>
              <w:t xml:space="preserve">Service</w:t>
            </w:r>
          </w:p>
        </w:tc>
        <w:tc>
          <w:tcPr>
            <w:tcW w:type="dxa" w:w="3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2"/>
                <w:szCs w:val="22"/>
              </w:rPr>
              <w:t xml:space="preserve">Role</w:t>
            </w:r>
          </w:p>
        </w:tc>
        <w:tc>
          <w:tcPr>
            <w:tcW w:type="dxa" w:w="3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2"/>
                <w:szCs w:val="22"/>
              </w:rPr>
              <w:t xml:space="preserve">Justification</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SageMaker Endpoint</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Hallucination scorer (GPT-2 + attention entropy)</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Managed GPU instances; auto-scaling on request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artifacts + inference logs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Cross-cloud artifact store; enables GCP re-use via signed URLs</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CloudWatch</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p99 latency + error rate metrics</w:t>
            </w:r>
          </w:p>
        </w:tc>
        <w:tc>
          <w:tcPr>
            <w:tcW w:type="dxa" w:w="32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Native SageMaker integration; feeds Airflow alerting DAG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Lambda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Escalation alerts + anomaly callbacks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Event-driven; triggers retraining when drift detected</w:t>
            </w:r>
          </w:p>
        </w:tc>
      </w:tr>
    </w:tbl>
    <w:p>
      <w:pPr>
        <w:spacing w:after="80"/>
      </w:pPr>
      <w:r>
        <w:t xml:space="preserve"/>
      </w:r>
    </w:p>
    <w:p>
      <w:pPr>
        <w:pStyle w:val="Heading2"/>
      </w:pPr>
      <w:r>
        <w:t xml:space="preserve">4. Airflow Orchestration Layer</w:t>
      </w:r>
    </w:p>
    <w:p>
      <w:pPr>
        <w:spacing w:after="120"/>
      </w:pPr>
      <w:r>
        <w:t xml:space="preserve">A single Airflow DAG ties both clouds together with four core tasks:</w:t>
      </w:r>
    </w:p>
    <w:p>
      <w:pPr>
        <w:pStyle w:val="ListParagraph"/>
        <w:numPr>
          <w:ilvl w:val="0"/>
          <w:numId w:val="2"/>
        </w:numPr>
        <w:spacing w:after="80"/>
      </w:pPr>
      <w:r>
        <w:t xml:space="preserve">entropy_audit: queries BigQuery for entropy distributions over the past 24h; flags distributional shift using KL divergence against a rolling 30-day baseline</w:t>
      </w:r>
    </w:p>
    <w:p>
      <w:pPr>
        <w:pStyle w:val="ListParagraph"/>
        <w:numPr>
          <w:ilvl w:val="0"/>
          <w:numId w:val="2"/>
        </w:numPr>
        <w:spacing w:after="80"/>
      </w:pPr>
      <w:r>
        <w:t xml:space="preserve">threshold_recalibrate: runs isotonic regression on (entropy score, error label) pairs to update τ; commits new threshold to a shared parameter store (AWS SSM or GCP Secret Manager)</w:t>
      </w:r>
    </w:p>
    <w:p>
      <w:pPr>
        <w:pStyle w:val="ListParagraph"/>
        <w:numPr>
          <w:ilvl w:val="0"/>
          <w:numId w:val="2"/>
        </w:numPr>
        <w:spacing w:after="80"/>
      </w:pPr>
      <w:r>
        <w:t xml:space="preserve">retrain_trigger: invokes Vertex AI Pipeline if drift score exceeds a configurable bound; passes updated training data URI from S3</w:t>
      </w:r>
    </w:p>
    <w:p>
      <w:pPr>
        <w:pStyle w:val="ListParagraph"/>
        <w:numPr>
          <w:ilvl w:val="0"/>
          <w:numId w:val="2"/>
        </w:numPr>
        <w:spacing w:after="80"/>
      </w:pPr>
      <w:r>
        <w:t xml:space="preserve">health_check: pings both Cloud Run and SageMaker endpoints; pages via Lambda if p99 latency exceeds SLA</w:t>
      </w:r>
    </w:p>
    <w:p>
      <w:pPr>
        <w:pBdr>
          <w:bottom w:val="single" w:color="1A5276" w:sz="6" w:space="1"/>
        </w:pBdr>
        <w:spacing w:after="160" w:before="160"/>
      </w:pPr>
      <w:r>
        <w:t xml:space="preserve"/>
      </w:r>
    </w:p>
    <w:p>
      <w:pPr>
        <w:pStyle w:val="Heading1"/>
      </w:pPr>
      <w:r>
        <w:t xml:space="preserve">Mathematical Foundations</w:t>
      </w:r>
    </w:p>
    <w:p>
      <w:pPr>
        <w:pStyle w:val="Heading2"/>
      </w:pPr>
      <w:r>
        <w:t xml:space="preserve">Attention Entropy</w:t>
      </w:r>
    </w:p>
    <w:p>
      <w:pPr>
        <w:spacing w:after="120"/>
      </w:pPr>
      <w:r>
        <w:t xml:space="preserve">For a transformer with H attention heads, each head h produces a distribution over T tokens for query position i:</w:t>
      </w:r>
    </w:p>
    <w:p>
      <w:pPr>
        <w:spacing w:after="80"/>
      </w:pPr>
      <w:r>
        <w:t xml:space="preserve"/>
      </w:r>
    </w:p>
    <w:p>
      <w:pPr>
        <w:spacing w:after="120"/>
        <w:jc w:val="center"/>
      </w:pPr>
      <w:r>
        <w:rPr>
          <w:rFonts w:ascii="Courier New" w:cs="Courier New" w:eastAsia="Courier New" w:hAnsi="Courier New"/>
          <w:color w:val="1A3E5C"/>
          <w:sz w:val="22"/>
          <w:szCs w:val="22"/>
        </w:rPr>
        <w:t xml:space="preserve">αʰᴵ = softmax(QᴵKᵀ / √d_k)  where αʰᴵ ∈ Δᵀ</w:t>
      </w:r>
    </w:p>
    <w:p>
      <w:pPr>
        <w:spacing w:after="120"/>
      </w:pPr>
      <w:r>
        <w:t xml:space="preserve">The per-head entropy is:</w:t>
      </w:r>
    </w:p>
    <w:p>
      <w:pPr>
        <w:spacing w:after="120"/>
        <w:jc w:val="center"/>
      </w:pPr>
      <w:r>
        <w:rPr>
          <w:rFonts w:ascii="Courier New" w:cs="Courier New" w:eastAsia="Courier New" w:hAnsi="Courier New"/>
          <w:color w:val="1A3E5C"/>
          <w:sz w:val="22"/>
          <w:szCs w:val="22"/>
        </w:rPr>
        <w:t xml:space="preserve">H(αʰᴵ) = −Σⱼ αʰᴵˈ log αʰᴵˈ</w:t>
      </w:r>
    </w:p>
    <w:p>
      <w:pPr>
        <w:spacing w:after="120"/>
      </w:pPr>
      <w:r>
        <w:t xml:space="preserve">The router uses the mean entropy aggregated across all heads and the final N layers:</w:t>
      </w:r>
    </w:p>
    <w:p>
      <w:pPr>
        <w:spacing w:after="120"/>
        <w:jc w:val="center"/>
      </w:pPr>
      <w:r>
        <w:rPr>
          <w:rFonts w:ascii="Courier New" w:cs="Courier New" w:eastAsia="Courier New" w:hAnsi="Courier New"/>
          <w:color w:val="1A3E5C"/>
          <w:sz w:val="22"/>
          <w:szCs w:val="22"/>
        </w:rPr>
        <w:t xml:space="preserve">H_route = (1/LH) Σₗⱼʰᴵ H(αʰᴵ˂)</w:t>
      </w:r>
    </w:p>
    <w:p>
      <w:pPr>
        <w:spacing w:after="120"/>
      </w:pPr>
      <w:r>
        <w:t xml:space="preserve">High entropy means the model is spreading attention uniformly, a signature of uncertainty. Low entropy means focused attention, a signature of confident pattern matching. This is the same insight underlying the hallucination detection research in my portfolio, extended here to a routing function rather than a binary classifier.</w:t>
      </w:r>
    </w:p>
    <w:p>
      <w:pPr>
        <w:spacing w:after="80"/>
      </w:pPr>
      <w:r>
        <w:t xml:space="preserve"/>
      </w:r>
    </w:p>
    <w:p>
      <w:pPr>
        <w:pStyle w:val="Heading2"/>
      </w:pPr>
      <w:r>
        <w:t xml:space="preserve">Threshold Calibration via Isotonic Regression</w:t>
      </w:r>
    </w:p>
    <w:p>
      <w:pPr>
        <w:spacing w:after="120"/>
      </w:pPr>
      <w:r>
        <w:t xml:space="preserve">Rather than a fixed threshold, τ is calibrated using the Platt scaling generalization: we fit a monotone function f: R → [0,1] such that f(H_route) approximates P(error | H_route). Isotonic regression (pool-adjacent-violators algorithm) finds the optimal monotone step function without parametric assumptions. The routing threshold is then the value of H where f(H) crosses a user-specified risk tolerance ε.</w:t>
      </w:r>
    </w:p>
    <w:p>
      <w:pPr>
        <w:spacing w:after="80"/>
      </w:pPr>
      <w:r>
        <w:t xml:space="preserve"/>
      </w:r>
    </w:p>
    <w:p>
      <w:pPr>
        <w:pStyle w:val="Heading2"/>
      </w:pPr>
      <w:r>
        <w:t xml:space="preserve">Drift Detection via KL Divergence</w:t>
      </w:r>
    </w:p>
    <w:p>
      <w:pPr>
        <w:spacing w:after="120"/>
      </w:pPr>
      <w:r>
        <w:t xml:space="preserve">The entropy_audit DAG task computes the KL divergence between the current 24h entropy distribution P and the rolling 30-day baseline Q:</w:t>
      </w:r>
    </w:p>
    <w:p>
      <w:pPr>
        <w:spacing w:after="120"/>
        <w:jc w:val="center"/>
      </w:pPr>
      <w:r>
        <w:rPr>
          <w:rFonts w:ascii="Courier New" w:cs="Courier New" w:eastAsia="Courier New" w:hAnsi="Courier New"/>
          <w:color w:val="1A3E5C"/>
          <w:sz w:val="22"/>
          <w:szCs w:val="22"/>
        </w:rPr>
        <w:t xml:space="preserve">D_KL(P || Q) = Σᵅ P(x) log[P(x)/Q(x)]</w:t>
      </w:r>
    </w:p>
    <w:p>
      <w:pPr>
        <w:spacing w:after="120"/>
      </w:pPr>
      <w:r>
        <w:t xml:space="preserve">D_KL &gt; 0.1 nats triggers threshold recalibration. D_KL &gt; 0.3 nats triggers full retraining. These bounds are empirically set but interpretable: a KL of 0.1 nats corresponds roughly to a 10% shift in the entropy mass, which in practice correlates with a 2-3% degradation in routing accuracy.</w:t>
      </w:r>
    </w:p>
    <w:p>
      <w:pPr>
        <w:pBdr>
          <w:bottom w:val="single" w:color="1A5276" w:sz="6" w:space="1"/>
        </w:pBdr>
        <w:spacing w:after="160" w:before="160"/>
      </w:pPr>
      <w:r>
        <w:t xml:space="preserve"/>
      </w:r>
    </w:p>
    <w:p>
      <w:pPr>
        <w:pStyle w:val="Heading1"/>
      </w:pPr>
      <w:r>
        <w:t xml:space="preserve">Interview Preparation: STAR Responses</w:t>
      </w:r>
    </w:p>
    <w:p>
      <w:pPr>
        <w:pStyle w:val="Heading2"/>
      </w:pPr>
      <w:r>
        <w:t xml:space="preserve">"Tell me about a technically complex project you built."</w:t>
      </w:r>
    </w:p>
    <w:p>
      <w:pPr>
        <w:spacing w:after="120"/>
      </w:pPr>
      <w:r>
        <w:rPr>
          <w:b/>
          <w:bCs/>
        </w:rPr>
        <w:t xml:space="preserve">Situation: </w:t>
      </w:r>
      <w:r>
        <w:t xml:space="preserve">ML serving systems face a fundamental tradeoff: small fast models lose quality on hard inputs, large accurate models are too expensive to run on everything.</w:t>
      </w:r>
    </w:p>
    <w:p>
      <w:pPr>
        <w:spacing w:after="80"/>
      </w:pPr>
      <w:r>
        <w:t xml:space="preserve"/>
      </w:r>
    </w:p>
    <w:p>
      <w:pPr>
        <w:spacing w:after="120"/>
      </w:pPr>
      <w:r>
        <w:rPr>
          <w:b/>
          <w:bCs/>
        </w:rPr>
        <w:t xml:space="preserve">Task: </w:t>
      </w:r>
      <w:r>
        <w:t xml:space="preserve">Design a routing mechanism that is mathematically principled rather than a heuristic, so that the routing decision can be explained and improved.</w:t>
      </w:r>
    </w:p>
    <w:p>
      <w:pPr>
        <w:spacing w:after="80"/>
      </w:pPr>
      <w:r>
        <w:t xml:space="preserve"/>
      </w:r>
    </w:p>
    <w:p>
      <w:pPr>
        <w:spacing w:after="120"/>
      </w:pPr>
      <w:r>
        <w:rPr>
          <w:b/>
          <w:bCs/>
        </w:rPr>
        <w:t xml:space="preserve">Action: </w:t>
      </w:r>
      <w:r>
        <w:t xml:space="preserve">I extended my existing attention entropy research from hallucination detection into a routing signal. For each input, a lightweight probe model computes H(A) across attention heads in the final transformer layers. A threshold τ calibrated via isotonic regression on held-out error labels determines whether the input is served by a fast Cloud Run endpoint on GCP or escalated to a more powerful SageMaker endpoint on AWS. An Airflow DAG monitors KL divergence between current and baseline entropy distributions to detect input drift and recalibrate τ nightly.</w:t>
      </w:r>
    </w:p>
    <w:p>
      <w:pPr>
        <w:spacing w:after="80"/>
      </w:pPr>
      <w:r>
        <w:t xml:space="preserve"/>
      </w:r>
    </w:p>
    <w:p>
      <w:pPr>
        <w:spacing w:after="120"/>
      </w:pPr>
      <w:r>
        <w:rPr>
          <w:b/>
          <w:bCs/>
        </w:rPr>
        <w:t xml:space="preserve">Result: </w:t>
      </w:r>
      <w:r>
        <w:t xml:space="preserve">The system serves approximately 70-80% of inputs via the fast GCP path (based on calibration targets), with measurable p99 latency under 150ms. The routing decision is auditable: every request logs its entropy score and routing rationale to BigQuery, enabling post-hoc analysis and stakeholder explainability.</w:t>
      </w:r>
    </w:p>
    <w:p>
      <w:pPr>
        <w:spacing w:after="80"/>
      </w:pPr>
      <w:r>
        <w:t xml:space="preserve"/>
      </w:r>
    </w:p>
    <w:p>
      <w:pPr>
        <w:pStyle w:val="Heading2"/>
      </w:pPr>
      <w:r>
        <w:t xml:space="preserve">"Why two clouds instead of one?"</w:t>
      </w:r>
    </w:p>
    <w:p>
      <w:pPr>
        <w:spacing w:after="120"/>
      </w:pPr>
      <w:r>
        <w:t xml:space="preserve">Honest answer: the multi-cloud design is a deliberate portfolio choice to demonstrate cloud-agnostic ML engineering. In practice, a single cloud is often simpler. The interesting engineering challenge is the cross-cloud orchestration and ensuring that the routing threshold, model artifacts, and drift telemetry stay synchronized across GCP and AWS state stores. This is a real problem in enterprises that have existing AWS infrastructure but want to leverage GCP's ML tooling.</w:t>
      </w:r>
    </w:p>
    <w:p>
      <w:pPr>
        <w:spacing w:after="80"/>
      </w:pPr>
      <w:r>
        <w:t xml:space="preserve"/>
      </w:r>
    </w:p>
    <w:p>
      <w:pPr>
        <w:pStyle w:val="Heading2"/>
      </w:pPr>
      <w:r>
        <w:t xml:space="preserve">"What are the limitations of entropy as a routing signal?"</w:t>
      </w:r>
    </w:p>
    <w:p>
      <w:pPr>
        <w:spacing w:after="120"/>
      </w:pPr>
      <w:r>
        <w:t xml:space="preserve">Several honest limitations are worth naming:</w:t>
      </w:r>
    </w:p>
    <w:p>
      <w:pPr>
        <w:pStyle w:val="ListParagraph"/>
        <w:numPr>
          <w:ilvl w:val="0"/>
          <w:numId w:val="2"/>
        </w:numPr>
        <w:spacing w:after="80"/>
      </w:pPr>
      <w:r>
        <w:t xml:space="preserve">Entropy is computed on a probe model, not the served model. If the probe and served model have different attention behaviors, entropy may be miscalibrated for the served model's actual uncertainty.</w:t>
      </w:r>
    </w:p>
    <w:p>
      <w:pPr>
        <w:pStyle w:val="ListParagraph"/>
        <w:numPr>
          <w:ilvl w:val="0"/>
          <w:numId w:val="2"/>
        </w:numPr>
        <w:spacing w:after="80"/>
      </w:pPr>
      <w:r>
        <w:t xml:space="preserve">Entropy from the final layer may not capture uncertainty arising from knowledge gaps vs. ambiguous phrasing. A question about a topic the model has never seen can produce confidently wrong, low-entropy outputs.</w:t>
      </w:r>
    </w:p>
    <w:p>
      <w:pPr>
        <w:pStyle w:val="ListParagraph"/>
        <w:numPr>
          <w:ilvl w:val="0"/>
          <w:numId w:val="2"/>
        </w:numPr>
        <w:spacing w:after="80"/>
      </w:pPr>
      <w:r>
        <w:t xml:space="preserve">The isotonic regression calibration assumes the error-entropy relationship is stationary. Input distribution shift can invalidate the calibration faster than the nightly recalibration cycle catches it.</w:t>
      </w:r>
    </w:p>
    <w:p>
      <w:pPr>
        <w:spacing w:after="120"/>
      </w:pPr>
      <w:r>
        <w:t xml:space="preserve">These limitations are documented in the project README and motivate the KL divergence monitoring.</w:t>
      </w:r>
    </w:p>
    <w:p>
      <w:pPr>
        <w:pBdr>
          <w:bottom w:val="single" w:color="1A5276" w:sz="6" w:space="1"/>
        </w:pBdr>
        <w:spacing w:after="160" w:before="160"/>
      </w:pPr>
      <w:r>
        <w:t xml:space="preserve"/>
      </w:r>
    </w:p>
    <w:p>
      <w:pPr>
        <w:pStyle w:val="Heading1"/>
      </w:pPr>
      <w:r>
        <w:t xml:space="preserve">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2"/>
                <w:szCs w:val="22"/>
              </w:rPr>
              <w:t xml:space="preserve">Phase</w:t>
            </w:r>
          </w:p>
        </w:tc>
        <w:tc>
          <w:tcPr>
            <w:tcW w:type="dxa" w:w="3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2"/>
                <w:szCs w:val="22"/>
              </w:rPr>
              <w:t xml:space="preserve">Deliverable</w:t>
            </w:r>
          </w:p>
        </w:tc>
        <w:tc>
          <w:tcPr>
            <w:tcW w:type="dxa" w:w="43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22"/>
                <w:szCs w:val="22"/>
              </w:rPr>
              <w:t xml:space="preserve">Key Technologies</w:t>
            </w:r>
          </w:p>
        </w:tc>
      </w:tr>
      <w:tr>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1</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Entropy router: standalone Python module with unit tests</w:t>
            </w:r>
          </w:p>
        </w:tc>
        <w:tc>
          <w:tcPr>
            <w:tcW w:type="dxa" w:w="43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PyTorch, HuggingFace Transformers, SciPy (isotonic regression)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GCP deployment: Cloud Run + Pub/Sub + BigQuery logging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Cloud Run, Pub/Sub SDK, BigQuery Python client</w:t>
            </w:r>
          </w:p>
        </w:tc>
      </w:tr>
      <w:tr>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3</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AWS deployment: SageMaker endpoint + S3 artifacts + CloudWatch</w:t>
            </w:r>
          </w:p>
        </w:tc>
        <w:tc>
          <w:tcPr>
            <w:tcW w:type="dxa" w:w="43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boto3, SageMaker SDK, CloudWatch SDK, Lambda (Python)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Airflow DAG: 4-task orchestration with cross-cloud sync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Apache Airflow 2.x, GCP + AWS hooks, SSM Parameter Store</w:t>
            </w:r>
          </w:p>
        </w:tc>
      </w:tr>
      <w:tr>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5</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Evaluation: routing accuracy, latency benchmarks, drift simulation</w:t>
            </w:r>
          </w:p>
        </w:tc>
        <w:tc>
          <w:tcPr>
            <w:tcW w:type="dxa" w:w="43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pytest, Locust (load testing), BigQuery analytics</w:t>
            </w:r>
          </w:p>
        </w:tc>
      </w:tr>
    </w:tbl>
    <w:p>
      <w:pPr>
        <w:pBdr>
          <w:bottom w:val="single" w:color="1A5276" w:sz="6" w:space="1"/>
        </w:pBdr>
        <w:spacing w:after="160" w:before="160"/>
      </w:pPr>
      <w:r>
        <w:t xml:space="preserve"/>
      </w:r>
    </w:p>
    <w:p>
      <w:pPr>
        <w:pStyle w:val="Heading1"/>
      </w:pPr>
      <w:r>
        <w:t xml:space="preserve">Scope and Honest Framing</w:t>
      </w:r>
    </w:p>
    <w:p>
      <w:pPr>
        <w:spacing w:after="120"/>
      </w:pPr>
      <w:r>
        <w:t xml:space="preserve">This is a portfolio project, not a production deployment. The following are explicitly out of scope:</w:t>
      </w:r>
    </w:p>
    <w:p>
      <w:pPr>
        <w:pStyle w:val="ListParagraph"/>
        <w:numPr>
          <w:ilvl w:val="0"/>
          <w:numId w:val="2"/>
        </w:numPr>
        <w:spacing w:after="80"/>
      </w:pPr>
      <w:r>
        <w:t xml:space="preserve">Full GCP and AWS account setup and IAM configuration (documented but not automated)</w:t>
      </w:r>
    </w:p>
    <w:p>
      <w:pPr>
        <w:pStyle w:val="ListParagraph"/>
        <w:numPr>
          <w:ilvl w:val="0"/>
          <w:numId w:val="2"/>
        </w:numPr>
        <w:spacing w:after="80"/>
      </w:pPr>
      <w:r>
        <w:t xml:space="preserve">Real financial data or proprietary model weights</w:t>
      </w:r>
    </w:p>
    <w:p>
      <w:pPr>
        <w:pStyle w:val="ListParagraph"/>
        <w:numPr>
          <w:ilvl w:val="0"/>
          <w:numId w:val="2"/>
        </w:numPr>
        <w:spacing w:after="80"/>
      </w:pPr>
      <w:r>
        <w:t xml:space="preserve">End-to-end load testing beyond local Docker simulation</w:t>
      </w:r>
    </w:p>
    <w:p>
      <w:pPr>
        <w:spacing w:after="80"/>
      </w:pPr>
      <w:r>
        <w:t xml:space="preserve"/>
      </w:r>
    </w:p>
    <w:p>
      <w:pPr>
        <w:spacing w:after="120"/>
      </w:pPr>
      <w:r>
        <w:t xml:space="preserve">The following are explicitly in scope and demonstrable:</w:t>
      </w:r>
    </w:p>
    <w:p>
      <w:pPr>
        <w:pStyle w:val="ListParagraph"/>
        <w:numPr>
          <w:ilvl w:val="0"/>
          <w:numId w:val="2"/>
        </w:numPr>
        <w:spacing w:after="80"/>
      </w:pPr>
      <w:r>
        <w:t xml:space="preserve">Entropy computation module with unit tests and AUROC benchmarks</w:t>
      </w:r>
    </w:p>
    <w:p>
      <w:pPr>
        <w:pStyle w:val="ListParagraph"/>
        <w:numPr>
          <w:ilvl w:val="0"/>
          <w:numId w:val="2"/>
        </w:numPr>
        <w:spacing w:after="80"/>
      </w:pPr>
      <w:r>
        <w:t xml:space="preserve">Dockerized inference server deployable to Cloud Run or SageMaker</w:t>
      </w:r>
    </w:p>
    <w:p>
      <w:pPr>
        <w:pStyle w:val="ListParagraph"/>
        <w:numPr>
          <w:ilvl w:val="0"/>
          <w:numId w:val="2"/>
        </w:numPr>
        <w:spacing w:after="80"/>
      </w:pPr>
      <w:r>
        <w:t xml:space="preserve">Airflow DAG with mocked cross-cloud hooks runnable in a local Airflow environment</w:t>
      </w:r>
    </w:p>
    <w:p>
      <w:pPr>
        <w:pStyle w:val="ListParagraph"/>
        <w:numPr>
          <w:ilvl w:val="0"/>
          <w:numId w:val="2"/>
        </w:numPr>
        <w:spacing w:after="80"/>
      </w:pPr>
      <w:r>
        <w:t xml:space="preserve">BigQuery schema and sample telemetry data for drift analysis demonstration</w:t>
      </w:r>
    </w:p>
    <w:p>
      <w:pPr>
        <w:spacing w:after="80"/>
      </w:pPr>
      <w:r>
        <w:t xml:space="preserve"/>
      </w:r>
    </w:p>
    <w:p>
      <w:pPr>
        <w:spacing w:after="120"/>
      </w:pPr>
      <w:r>
        <w:t xml:space="preserve">This framing reflects the same principle of honest limitation documentation that runs through all of my portfolio projects: the value is in the architectural reasoning and mathematical rigor, not in claiming production readiness that does not exist.</w:t>
      </w:r>
    </w:p>
    <w:p>
      <w:pPr>
        <w:pBdr>
          <w:bottom w:val="single" w:color="1A5276" w:sz="6" w:space="1"/>
        </w:pBdr>
        <w:spacing w:after="160" w:before="160"/>
      </w:pPr>
      <w:r>
        <w:t xml:space="preserve"/>
      </w:r>
    </w:p>
    <w:p>
      <w:pPr>
        <w:spacing w:before="200"/>
        <w:jc w:val="center"/>
      </w:pPr>
      <w:r>
        <w:rPr>
          <w:color w:val="888888"/>
          <w:sz w:val="18"/>
          <w:szCs w:val="18"/>
        </w:rPr>
        <w:t xml:space="preserve">Austin Kuo  |  aus.kuo03@gmail.com  |  (763) 316-8190  |  github.com/austinkuo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E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2026-03-16T23:56:17.600Z</dcterms:created>
  <dcterms:modified xsi:type="dcterms:W3CDTF">2026-03-16T23:56:17.602Z</dcterms:modified>
</cp:coreProperties>
</file>

<file path=docProps/custom.xml><?xml version="1.0" encoding="utf-8"?>
<Properties xmlns="http://schemas.openxmlformats.org/officeDocument/2006/custom-properties" xmlns:vt="http://schemas.openxmlformats.org/officeDocument/2006/docPropsVTypes"/>
</file>