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1595B646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e-</w:t>
      </w:r>
      <w:r w:rsidR="00FE103E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5065AEE7" w:rsidR="0044233D" w:rsidRPr="0044233D" w:rsidRDefault="0044233D" w:rsidP="00FE103E">
      <w:pPr>
        <w:rPr>
          <w:b/>
        </w:rPr>
      </w:pPr>
      <w:r w:rsidRPr="0044233D">
        <w:rPr>
          <w:b/>
        </w:rPr>
        <w:t>Version</w:t>
      </w:r>
      <w:r w:rsidR="00F36A67">
        <w:rPr>
          <w:b/>
        </w:rPr>
        <w:t>:</w:t>
      </w:r>
      <w:r w:rsidRPr="0044233D">
        <w:rPr>
          <w:b/>
        </w:rPr>
        <w:t xml:space="preserve"> </w:t>
      </w:r>
      <w:r w:rsidRPr="00E23955">
        <w:t>1.0.1</w:t>
      </w:r>
    </w:p>
    <w:p w14:paraId="45D7275C" w14:textId="2D24EF32" w:rsidR="0044233D" w:rsidRDefault="0044233D" w:rsidP="00FE103E">
      <w:r w:rsidRPr="0044233D">
        <w:rPr>
          <w:b/>
        </w:rPr>
        <w:t xml:space="preserve">Date released: </w:t>
      </w:r>
      <w:r w:rsidRPr="00E23955">
        <w:t>15 November 2019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r w:rsidRPr="00437232">
        <w:rPr>
          <w:rFonts w:eastAsia="Arial"/>
        </w:rPr>
        <w:lastRenderedPageBreak/>
        <w:t>Version Control</w:t>
      </w:r>
      <w:bookmarkEnd w:id="0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0C2F6833" w:rsidR="00F853FD" w:rsidRPr="00437232" w:rsidRDefault="00F853FD" w:rsidP="00F36A6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F36A67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Customisation ID value has been confirmed.</w:t>
            </w:r>
          </w:p>
          <w:p w14:paraId="19D806AF" w14:textId="3846C0B1" w:rsidR="009E07D7" w:rsidRPr="00437232" w:rsidRDefault="009E07D7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Reference to the A-NZ Invoice Specification v1.0.1</w:t>
            </w:r>
            <w:r w:rsidR="003D3AE9">
              <w:rPr>
                <w:rFonts w:eastAsia="Arial"/>
                <w:color w:val="000000"/>
              </w:rPr>
              <w:t xml:space="preserve"> (which incorporated BIS 3.0 November 2019 release, v3.0.5)</w:t>
            </w:r>
            <w:r>
              <w:rPr>
                <w:rFonts w:eastAsia="Arial"/>
                <w:color w:val="000000"/>
              </w:rPr>
              <w:t xml:space="preserve">. </w:t>
            </w:r>
          </w:p>
        </w:tc>
      </w:tr>
    </w:tbl>
    <w:p w14:paraId="1416AF62" w14:textId="1EF1F12C" w:rsidR="00437232" w:rsidRDefault="00437232" w:rsidP="00FE103E"/>
    <w:p w14:paraId="42BDE74C" w14:textId="77777777" w:rsidR="00437232" w:rsidRDefault="00437232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</w:p>
        <w:p w14:paraId="360A3693" w14:textId="77777777" w:rsidR="00045D4F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21438518" w:history="1">
            <w:r w:rsidR="00045D4F" w:rsidRPr="000D711E">
              <w:rPr>
                <w:rStyle w:val="Hyperlink"/>
                <w:noProof/>
              </w:rPr>
              <w:t>1. Introduction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_Toc21438518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4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40DC73A1" w14:textId="77777777" w:rsidR="00045D4F" w:rsidRDefault="006F5C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19" w:history="1">
            <w:r w:rsidR="00045D4F" w:rsidRPr="000D711E">
              <w:rPr>
                <w:rStyle w:val="Hyperlink"/>
                <w:noProof/>
              </w:rPr>
              <w:t>2. A-NZ Approach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_Toc21438519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644CB33D" w14:textId="77777777" w:rsidR="00045D4F" w:rsidRDefault="006F5C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0" w:history="1">
            <w:r w:rsidR="00045D4F" w:rsidRPr="000D711E">
              <w:rPr>
                <w:rStyle w:val="Hyperlink"/>
                <w:noProof/>
              </w:rPr>
              <w:t>2.1 Self-Billing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_Toc21438520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6D851D80" w14:textId="77777777" w:rsidR="00045D4F" w:rsidRDefault="006F5C6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1" w:history="1">
            <w:r w:rsidR="00045D4F" w:rsidRPr="000D711E">
              <w:rPr>
                <w:rStyle w:val="Hyperlink"/>
                <w:noProof/>
              </w:rPr>
              <w:t>2.1.1 RCTI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_Toc21438521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26C99862" w14:textId="77777777" w:rsidR="00045D4F" w:rsidRDefault="006F5C6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2" w:history="1">
            <w:r w:rsidR="00045D4F" w:rsidRPr="000D711E">
              <w:rPr>
                <w:rStyle w:val="Hyperlink"/>
                <w:noProof/>
              </w:rPr>
              <w:t>2.1.2 BCTI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_Toc21438522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6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1EE7BC33" w14:textId="77777777" w:rsidR="00045D4F" w:rsidRDefault="006F5C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3" w:history="1">
            <w:r w:rsidR="00045D4F" w:rsidRPr="000D711E">
              <w:rPr>
                <w:rStyle w:val="Hyperlink"/>
                <w:noProof/>
              </w:rPr>
              <w:t>2.2 Acknowledging Invoices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_Toc21438523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6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3B2BA6C7" w14:textId="77777777" w:rsidR="00045D4F" w:rsidRDefault="006F5C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4" w:history="1">
            <w:r w:rsidR="00045D4F" w:rsidRPr="000D711E">
              <w:rPr>
                <w:rStyle w:val="Hyperlink"/>
                <w:noProof/>
              </w:rPr>
              <w:t>3. Identifying the A-NZ Self-Billing Extension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_Toc21438524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7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14A9E741" w14:textId="77777777" w:rsidR="00045D4F" w:rsidRDefault="006F5C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5" w:history="1">
            <w:r w:rsidR="00045D4F" w:rsidRPr="000D711E">
              <w:rPr>
                <w:rStyle w:val="Hyperlink"/>
                <w:noProof/>
              </w:rPr>
              <w:t>3.1 Identifying the self-billing invoice or credit note in UBL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_Toc21438525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7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55195C9D" w14:textId="77777777" w:rsidR="00045D4F" w:rsidRDefault="006F5C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6" w:history="1">
            <w:r w:rsidR="00045D4F" w:rsidRPr="000D711E">
              <w:rPr>
                <w:rStyle w:val="Hyperlink"/>
                <w:noProof/>
              </w:rPr>
              <w:t xml:space="preserve">Appendix A </w:t>
            </w:r>
            <w:r w:rsidR="00045D4F" w:rsidRPr="000D711E">
              <w:rPr>
                <w:rStyle w:val="Hyperlink"/>
                <w:rFonts w:cs="Arial"/>
                <w:noProof/>
              </w:rPr>
              <w:t>−</w:t>
            </w:r>
            <w:r w:rsidR="00045D4F" w:rsidRPr="000D711E">
              <w:rPr>
                <w:rStyle w:val="Hyperlink"/>
                <w:noProof/>
              </w:rPr>
              <w:t xml:space="preserve"> A-NZ Self-Billing Syntax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_Toc21438526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9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4902CF1F" w14:textId="77777777" w:rsidR="00045D4F" w:rsidRDefault="006F5C6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7" w:history="1">
            <w:r w:rsidR="00045D4F" w:rsidRPr="000D711E">
              <w:rPr>
                <w:rStyle w:val="Hyperlink"/>
                <w:noProof/>
              </w:rPr>
              <w:t xml:space="preserve">Appendix B </w:t>
            </w:r>
            <w:r w:rsidR="00045D4F" w:rsidRPr="000D711E">
              <w:rPr>
                <w:rStyle w:val="Hyperlink"/>
                <w:rFonts w:cs="Arial"/>
                <w:noProof/>
              </w:rPr>
              <w:t>−</w:t>
            </w:r>
            <w:r w:rsidR="00045D4F" w:rsidRPr="000D711E">
              <w:rPr>
                <w:rStyle w:val="Hyperlink"/>
                <w:noProof/>
              </w:rPr>
              <w:t xml:space="preserve"> Business Rules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_Toc21438527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11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0BD0BB2C" w14:textId="77777777" w:rsidR="00045D4F" w:rsidRDefault="006F5C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8" w:history="1">
            <w:r w:rsidR="00045D4F" w:rsidRPr="000D711E">
              <w:rPr>
                <w:rStyle w:val="Hyperlink"/>
                <w:noProof/>
              </w:rPr>
              <w:t>All rules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_Toc21438528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11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7A971CBD" w14:textId="706D41F0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1" w:name="_Toc7164683"/>
      <w:bookmarkStart w:id="2" w:name="_Toc7166076"/>
      <w:bookmarkStart w:id="3" w:name="_Toc7169920"/>
      <w:bookmarkStart w:id="4" w:name="_Toc7170814"/>
      <w:bookmarkStart w:id="5" w:name="_Toc7171091"/>
      <w:bookmarkStart w:id="6" w:name="_Toc7171116"/>
      <w:bookmarkStart w:id="7" w:name="_Toc10185797"/>
      <w:bookmarkStart w:id="8" w:name="_Toc21438518"/>
      <w:r>
        <w:lastRenderedPageBreak/>
        <w:t xml:space="preserve">1. </w:t>
      </w:r>
      <w:r w:rsidR="00FE20BF" w:rsidRPr="007759C8"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339C74" w14:textId="199E1250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>in A-NZ based on existing PEPPOL 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5A4F0594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PEPPOL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>, remov</w:t>
      </w:r>
      <w:r w:rsidR="0038426E">
        <w:t>ing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>
        <w:t xml:space="preserve">PEPPOL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BIS, and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whether or not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9" w:name="_Toc7169921"/>
      <w:bookmarkStart w:id="10" w:name="_Toc7170815"/>
      <w:bookmarkStart w:id="11" w:name="_Toc7171092"/>
      <w:bookmarkStart w:id="12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B20EA45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proofErr w:type="gramStart"/>
      <w:r w:rsidR="0038426E" w:rsidRPr="001747A0">
        <w:rPr>
          <w:rFonts w:cs="Arial"/>
        </w:rPr>
        <w:t xml:space="preserve">See </w:t>
      </w:r>
      <w:r w:rsidR="009E07D7" w:rsidRPr="00E23955">
        <w:rPr>
          <w:i/>
        </w:rPr>
        <w:t>A-NZ Invoice</w:t>
      </w:r>
      <w:r w:rsidR="00E23955" w:rsidRPr="00E23955">
        <w:rPr>
          <w:i/>
        </w:rPr>
        <w:t xml:space="preserve"> Extension</w:t>
      </w:r>
      <w:r w:rsidR="00E23955">
        <w:t xml:space="preserve"> document on </w:t>
      </w:r>
      <w:hyperlink r:id="rId9" w:history="1">
        <w:proofErr w:type="spellStart"/>
        <w:r w:rsidR="00E23955" w:rsidRPr="00E23955">
          <w:rPr>
            <w:rStyle w:val="Hyperlink"/>
          </w:rPr>
          <w:t>Github</w:t>
        </w:r>
        <w:proofErr w:type="spellEnd"/>
      </w:hyperlink>
      <w:r w:rsidR="00DB5A91">
        <w:t>.</w:t>
      </w:r>
      <w:proofErr w:type="gramEnd"/>
      <w:r w:rsidR="00DB5A91">
        <w:t xml:space="preserve">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</w:t>
      </w:r>
      <w:r w:rsidR="0038426E" w:rsidRPr="0038426E">
        <w:rPr>
          <w:rFonts w:cs="Arial"/>
        </w:rPr>
        <w:t xml:space="preserve">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3" w:name="_Toc7164686"/>
      <w:bookmarkStart w:id="14" w:name="_Toc7166079"/>
      <w:bookmarkStart w:id="15" w:name="_Toc7169924"/>
      <w:bookmarkStart w:id="16" w:name="_Toc7170818"/>
      <w:bookmarkStart w:id="17" w:name="_Toc7171095"/>
      <w:bookmarkStart w:id="18" w:name="_Toc7171120"/>
      <w:bookmarkEnd w:id="9"/>
      <w:bookmarkEnd w:id="10"/>
      <w:bookmarkEnd w:id="11"/>
      <w:bookmarkEnd w:id="12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19" w:name="_Toc10185798"/>
      <w:bookmarkStart w:id="20" w:name="_Toc21438519"/>
      <w:r>
        <w:lastRenderedPageBreak/>
        <w:t xml:space="preserve">2. </w:t>
      </w:r>
      <w:bookmarkEnd w:id="13"/>
      <w:bookmarkEnd w:id="14"/>
      <w:bookmarkEnd w:id="15"/>
      <w:bookmarkEnd w:id="16"/>
      <w:bookmarkEnd w:id="17"/>
      <w:bookmarkEnd w:id="18"/>
      <w:r>
        <w:t>A-NZ Approach</w:t>
      </w:r>
      <w:bookmarkEnd w:id="19"/>
      <w:bookmarkEnd w:id="20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1" w:name="_Toc7170821"/>
      <w:bookmarkStart w:id="22" w:name="_Toc7171123"/>
      <w:bookmarkStart w:id="23" w:name="_Toc7164689"/>
      <w:bookmarkStart w:id="24" w:name="_Toc7166082"/>
      <w:bookmarkStart w:id="25" w:name="_Toc7169927"/>
      <w:bookmarkStart w:id="26" w:name="_Toc7171098"/>
      <w:bookmarkStart w:id="27" w:name="_Ref7589227"/>
      <w:bookmarkStart w:id="28" w:name="_Toc10185799"/>
      <w:bookmarkStart w:id="29" w:name="_Toc21438520"/>
      <w:r w:rsidRPr="00E946B8">
        <w:t xml:space="preserve">2.1 </w:t>
      </w:r>
      <w:r w:rsidR="001772B0" w:rsidRPr="00E946B8">
        <w:t>Self-Billing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3D888E80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e-invoices. </w:t>
      </w:r>
      <w:r w:rsidR="00AB1C7C" w:rsidRPr="00FE103E">
        <w:t>One difference to highlight is that Self-Billing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r w:rsidR="00293403" w:rsidRPr="00A25818">
        <w:rPr>
          <w:i/>
        </w:rPr>
        <w:t>cac</w:t>
      </w:r>
      <w:proofErr w:type="gramStart"/>
      <w:r w:rsidR="00293403" w:rsidRPr="00A25818">
        <w:rPr>
          <w:i/>
        </w:rPr>
        <w:t>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>occurs at SBDH level.</w:t>
      </w:r>
    </w:p>
    <w:p w14:paraId="0CB1D94C" w14:textId="53688CF7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Syntax) </w:t>
      </w:r>
      <w:r w:rsidR="009274C3">
        <w:t xml:space="preserve">in the </w:t>
      </w:r>
      <w:hyperlink r:id="rId10" w:history="1">
        <w:r w:rsidR="007E6D07" w:rsidRPr="00C051A9">
          <w:rPr>
            <w:rStyle w:val="Hyperlink"/>
            <w:i/>
          </w:rPr>
          <w:t>A-NZ</w:t>
        </w:r>
        <w:r w:rsidR="009274C3" w:rsidRPr="00C051A9">
          <w:rPr>
            <w:rStyle w:val="Hyperlink"/>
            <w:i/>
          </w:rPr>
          <w:t xml:space="preserve"> </w:t>
        </w:r>
        <w:r w:rsidR="006B2D83" w:rsidRPr="00C051A9">
          <w:rPr>
            <w:rStyle w:val="Hyperlink"/>
            <w:i/>
          </w:rPr>
          <w:t>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0" w:name="P10"/>
      <w:bookmarkStart w:id="31" w:name="_Toc10185800"/>
      <w:bookmarkStart w:id="32" w:name="_Toc21438521"/>
      <w:bookmarkEnd w:id="30"/>
      <w:r>
        <w:t xml:space="preserve">2.1.1 </w:t>
      </w:r>
      <w:r w:rsidR="00767485">
        <w:t>RCTI</w:t>
      </w:r>
      <w:bookmarkEnd w:id="31"/>
      <w:bookmarkEnd w:id="32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11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3" w:name="_Toc10185801"/>
      <w:bookmarkStart w:id="34" w:name="_Toc21438522"/>
      <w:r>
        <w:lastRenderedPageBreak/>
        <w:t xml:space="preserve">2.1.2 </w:t>
      </w:r>
      <w:r w:rsidR="00442B9D">
        <w:t>BCTI</w:t>
      </w:r>
      <w:bookmarkEnd w:id="33"/>
      <w:bookmarkEnd w:id="34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r w:rsidR="00CC5E02" w:rsidRPr="00F54910">
        <w:rPr>
          <w:i/>
        </w:rPr>
        <w:t>cbc</w:t>
      </w:r>
      <w:proofErr w:type="gramStart"/>
      <w:r w:rsidR="00CC5E02" w:rsidRPr="00F54910">
        <w:rPr>
          <w:i/>
        </w:rPr>
        <w:t>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proofErr w:type="gramStart"/>
      <w:r w:rsidRPr="0043217B">
        <w:t>N.B.</w:t>
      </w:r>
      <w:proofErr w:type="gramEnd"/>
      <w:r w:rsidRPr="0043217B">
        <w:t xml:space="preserve">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5" w:name="_Toc330469249"/>
      <w:bookmarkStart w:id="36" w:name="_Toc457475322"/>
      <w:bookmarkStart w:id="37" w:name="_Toc7164693"/>
      <w:bookmarkStart w:id="38" w:name="_Toc7166086"/>
      <w:bookmarkStart w:id="39" w:name="_Toc7169931"/>
      <w:bookmarkStart w:id="40" w:name="_Toc7170825"/>
      <w:bookmarkStart w:id="41" w:name="_Toc7171102"/>
      <w:bookmarkStart w:id="42" w:name="_Toc7171127"/>
      <w:bookmarkStart w:id="43" w:name="_Toc10185802"/>
      <w:bookmarkStart w:id="44" w:name="_Toc21438523"/>
      <w:r>
        <w:t xml:space="preserve">2.2 </w:t>
      </w:r>
      <w:r w:rsidR="00027BAA" w:rsidRPr="00061522">
        <w:t>Acknowledging Invoices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0D162FE4" w:rsidR="00FA1B3F" w:rsidRPr="00303CD3" w:rsidRDefault="00FA1B3F" w:rsidP="00FA1B3F">
      <w:pPr>
        <w:keepNext/>
      </w:pPr>
      <w:r w:rsidRPr="00255063">
        <w:t xml:space="preserve">See the </w:t>
      </w:r>
      <w:hyperlink r:id="rId12" w:history="1">
        <w:r w:rsidRPr="0094027B">
          <w:rPr>
            <w:rStyle w:val="Hyperlink"/>
          </w:rPr>
          <w:t>PEPPOL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5" w:name="_Toc10185803"/>
      <w:bookmarkStart w:id="46" w:name="_Toc21438524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5"/>
      <w:bookmarkEnd w:id="46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r w:rsidRPr="0076496E">
        <w:rPr>
          <w:i/>
        </w:rPr>
        <w:t>cbc</w:t>
      </w:r>
      <w:proofErr w:type="gramStart"/>
      <w:r w:rsidRPr="0076496E">
        <w:rPr>
          <w:i/>
        </w:rPr>
        <w:t>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77777777" w:rsidR="00225B62" w:rsidRDefault="00225B62" w:rsidP="00225B62">
      <w:r>
        <w:t xml:space="preserve">The UBL element </w:t>
      </w:r>
      <w:proofErr w:type="spellStart"/>
      <w:r w:rsidRPr="006125B7">
        <w:rPr>
          <w:i/>
        </w:rPr>
        <w:t>cbc:customizationID</w:t>
      </w:r>
      <w:proofErr w:type="spell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 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r>
              <w:t>urn:fdc:peppol.eu:2017:poacc: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r>
              <w:t>urn:cen.eu:en16931:2017#conformant#urn:fdc:peppol.eu:2017:po</w:t>
            </w:r>
          </w:p>
          <w:p w14:paraId="5D16338E" w14:textId="4F2BB96B" w:rsidR="00225B62" w:rsidRDefault="00225B62" w:rsidP="00C818ED">
            <w:r>
              <w:t>acc:</w:t>
            </w:r>
            <w:r w:rsidR="00C818ED">
              <w:t>self</w:t>
            </w:r>
            <w:r>
              <w:t>billing:international:aunz:3.0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1C8A33AF" w:rsidR="00225B62" w:rsidRDefault="0068367D" w:rsidP="00225B62">
      <w:r w:rsidRPr="0068367D">
        <w:t>According to the e-Invoicing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544A54D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>&lt;cbc:ProfileID&gt; urn:fdc:peppol.eu:2017:poacc:billing:01:1.0&lt;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7" w:name="_Toc10185804"/>
      <w:bookmarkStart w:id="48" w:name="_Toc21438525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7"/>
      <w:bookmarkEnd w:id="48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3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9" w:name="_Toc10185805"/>
      <w:bookmarkStart w:id="50" w:name="_Toc21438526"/>
      <w:bookmarkStart w:id="51" w:name="_Toc7170832"/>
      <w:bookmarkStart w:id="52" w:name="_Toc7171109"/>
      <w:bookmarkStart w:id="53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9"/>
      <w:bookmarkEnd w:id="50"/>
      <w:r w:rsidR="009A2444">
        <w:t xml:space="preserve"> </w:t>
      </w:r>
      <w:bookmarkEnd w:id="51"/>
      <w:bookmarkEnd w:id="52"/>
      <w:bookmarkEnd w:id="53"/>
    </w:p>
    <w:p w14:paraId="76B37A08" w14:textId="4C48955C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Del="00BD3060">
        <w:t xml:space="preserve"> 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</w:p>
    <w:p w14:paraId="2DE33A51" w14:textId="77777777" w:rsidR="001747A0" w:rsidRDefault="001747A0" w:rsidP="001747A0">
      <w:r>
        <w:t>Note: the PEPPOL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77777777" w:rsidR="00870F91" w:rsidRDefault="00415769" w:rsidP="00B631E7">
      <w:pPr>
        <w:pStyle w:val="ListBullet"/>
      </w:pPr>
      <w:r w:rsidRPr="007373C4">
        <w:t>Cardinality is expressed as &lt;lowest number of occurrences allowed&gt;</w:t>
      </w:r>
      <w:proofErr w:type="gramStart"/>
      <w:r w:rsidRPr="007373C4">
        <w:t>..</w:t>
      </w:r>
      <w:proofErr w:type="gramEnd"/>
      <w:r w:rsidRPr="007373C4">
        <w:t>&lt;</w:t>
      </w:r>
      <w:proofErr w:type="gramStart"/>
      <w:r w:rsidRPr="007373C4">
        <w:t>highest</w:t>
      </w:r>
      <w:proofErr w:type="gramEnd"/>
      <w:r w:rsidRPr="007373C4">
        <w:t xml:space="preserve"> number of occurrences allowed&gt; with ‘0’ meaning nil and ‘n’ meaning ‘any number’. For example1</w:t>
      </w:r>
      <w:proofErr w:type="gramStart"/>
      <w:r w:rsidRPr="007373C4">
        <w:t>..</w:t>
      </w:r>
      <w:proofErr w:type="gramEnd"/>
      <w:r w:rsidRPr="007373C4">
        <w:t xml:space="preserve">1 means there must be exactly one occurrence of the element. </w:t>
      </w:r>
      <w:proofErr w:type="gramStart"/>
      <w:r w:rsidRPr="007373C4">
        <w:t>0..1</w:t>
      </w:r>
      <w:proofErr w:type="gramEnd"/>
      <w:r w:rsidRPr="007373C4">
        <w:t xml:space="preserve">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03981319" w14:textId="2DAF0AC1" w:rsidR="00870F91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r w:rsidRPr="007373C4">
        <w:t>cac</w:t>
      </w:r>
      <w:proofErr w:type="gramStart"/>
      <w:r w:rsidRPr="007373C4">
        <w:t>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</w:t>
      </w:r>
      <w:proofErr w:type="gramStart"/>
      <w:r w:rsidRPr="007373C4">
        <w:t>is</w:t>
      </w:r>
      <w:proofErr w:type="gramEnd"/>
      <w:r w:rsidRPr="007373C4">
        <w:t xml:space="preserve"> </w:t>
      </w:r>
      <w:r>
        <w:t>not provided</w:t>
      </w:r>
      <w:r w:rsidRPr="007373C4">
        <w:t>, 43 is not required.</w:t>
      </w: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4854" w:type="pct"/>
        <w:tblLayout w:type="fixed"/>
        <w:tblLook w:val="04A0" w:firstRow="1" w:lastRow="0" w:firstColumn="1" w:lastColumn="0" w:noHBand="0" w:noVBand="1"/>
      </w:tblPr>
      <w:tblGrid>
        <w:gridCol w:w="535"/>
        <w:gridCol w:w="571"/>
        <w:gridCol w:w="2595"/>
        <w:gridCol w:w="1068"/>
        <w:gridCol w:w="5405"/>
        <w:gridCol w:w="3586"/>
      </w:tblGrid>
      <w:tr w:rsidR="00A25818" w:rsidRPr="00DA7972" w14:paraId="1EC69D58" w14:textId="77777777" w:rsidTr="00A2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2FE89E31" w14:textId="77777777" w:rsidR="00A25818" w:rsidRPr="00DA7972" w:rsidRDefault="00A25818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207" w:type="pct"/>
            <w:hideMark/>
          </w:tcPr>
          <w:p w14:paraId="0A097B8C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943" w:type="pct"/>
            <w:hideMark/>
          </w:tcPr>
          <w:p w14:paraId="28D550C0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88" w:type="pct"/>
            <w:hideMark/>
          </w:tcPr>
          <w:p w14:paraId="1A8793A5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964" w:type="pct"/>
            <w:hideMark/>
          </w:tcPr>
          <w:p w14:paraId="5E37D5C4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303" w:type="pct"/>
            <w:hideMark/>
          </w:tcPr>
          <w:p w14:paraId="1F109C38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A25818" w:rsidRPr="00E27919" w14:paraId="6357E781" w14:textId="77777777" w:rsidTr="00A25818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4C32DC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07" w:type="pct"/>
            <w:hideMark/>
          </w:tcPr>
          <w:p w14:paraId="5EC0085A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080D5577" w14:textId="77777777" w:rsidR="00A25818" w:rsidRPr="00E27919" w:rsidRDefault="006F5C6F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029477DF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14C75DF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cardinalities and business rules to which the data contained in the instance document conforms. </w:t>
            </w:r>
          </w:p>
        </w:tc>
        <w:tc>
          <w:tcPr>
            <w:tcW w:w="1303" w:type="pct"/>
            <w:hideMark/>
          </w:tcPr>
          <w:p w14:paraId="3F6D5A53" w14:textId="777EFF1B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</w:tc>
      </w:tr>
      <w:tr w:rsidR="00A25818" w:rsidRPr="00E27919" w14:paraId="050349C1" w14:textId="77777777" w:rsidTr="00A2581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1F610824" w14:textId="77777777" w:rsidR="00A25818" w:rsidRPr="00E27919" w:rsidRDefault="00A25818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07" w:type="pct"/>
            <w:hideMark/>
          </w:tcPr>
          <w:p w14:paraId="688219BA" w14:textId="7777777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397D5A6D" w14:textId="77777777" w:rsidR="00A25818" w:rsidRDefault="006F5C6F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7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</w:hyperlink>
          </w:p>
          <w:p w14:paraId="6221EDCD" w14:textId="0D12865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>
              <w:rPr>
                <w:color w:val="auto"/>
              </w:rPr>
              <w:fldChar w:fldCharType="begin"/>
            </w:r>
            <w:r>
              <w:instrText xml:space="preserve"> HYPERLINK "http://docs.peppol.eu/poacc/billing/3.0/syntax/ubl-creditnote/cbc-CreditNoteTypeCode/" </w:instrText>
            </w:r>
            <w:r>
              <w:rPr>
                <w:color w:val="auto"/>
              </w:rPr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88" w:type="pct"/>
            <w:hideMark/>
          </w:tcPr>
          <w:p w14:paraId="4AACCDA1" w14:textId="7777777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62597280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A25818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8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A25818" w:rsidRPr="00FB5C0F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450E4F8F" w:rsidR="00A25818" w:rsidRPr="00FB5C0F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e-invoices; or </w:t>
            </w:r>
          </w:p>
          <w:p w14:paraId="0ADA9109" w14:textId="5A0DF9E9" w:rsidR="00A25818" w:rsidRPr="00E27919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303" w:type="pct"/>
            <w:hideMark/>
          </w:tcPr>
          <w:p w14:paraId="7DFAAA02" w14:textId="0ECCA70A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A25818" w:rsidRDefault="00A25818" w:rsidP="0002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A25818" w:rsidRDefault="006F5C6F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9" w:history="1">
              <w:r w:rsidR="00A25818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0A3CEE50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</w:tr>
      <w:tr w:rsidR="00A25818" w:rsidRPr="00E27919" w14:paraId="3BDE7290" w14:textId="77777777" w:rsidTr="00A25818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634BCB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207" w:type="pct"/>
            <w:hideMark/>
          </w:tcPr>
          <w:p w14:paraId="4038A20E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57ADCA4D" w14:textId="77777777" w:rsidR="00A25818" w:rsidRPr="00E27919" w:rsidRDefault="006F5C6F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0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4136D64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964" w:type="pct"/>
            <w:hideMark/>
          </w:tcPr>
          <w:p w14:paraId="6A789D0A" w14:textId="77777777" w:rsidR="00A25818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 xml:space="preserve">note in case the invoice has been factored. </w:t>
            </w:r>
          </w:p>
          <w:p w14:paraId="6FC7F1C8" w14:textId="3697DDBB" w:rsidR="00A25818" w:rsidRPr="00F94165" w:rsidRDefault="00A25818" w:rsidP="00A7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 w:rsidRPr="00FB5C0F">
              <w:rPr>
                <w:b/>
              </w:rPr>
              <w:t xml:space="preserve"> </w:t>
            </w:r>
          </w:p>
        </w:tc>
        <w:tc>
          <w:tcPr>
            <w:tcW w:w="1303" w:type="pct"/>
            <w:hideMark/>
          </w:tcPr>
          <w:p w14:paraId="64936D21" w14:textId="25EE0A8D" w:rsidR="00A25818" w:rsidRPr="00E27919" w:rsidRDefault="00A25818" w:rsidP="00E1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4" w:name="_Toc7170833"/>
      <w:bookmarkStart w:id="55" w:name="_Toc7171111"/>
      <w:bookmarkStart w:id="56" w:name="_Toc7171135"/>
      <w:bookmarkStart w:id="57" w:name="_Toc10185806"/>
      <w:bookmarkStart w:id="58" w:name="_Toc21438527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4"/>
      <w:bookmarkEnd w:id="55"/>
      <w:bookmarkEnd w:id="56"/>
      <w:bookmarkEnd w:id="57"/>
      <w:bookmarkEnd w:id="58"/>
    </w:p>
    <w:p w14:paraId="722F3B49" w14:textId="5C0B9405" w:rsidR="004E325B" w:rsidRDefault="004E325B" w:rsidP="004E325B">
      <w:bookmarkStart w:id="59" w:name="_Toc10022787"/>
      <w:bookmarkStart w:id="60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77777777" w:rsidR="003B20D5" w:rsidRDefault="003B20D5" w:rsidP="003B20D5">
      <w:pPr>
        <w:pStyle w:val="Heading2"/>
      </w:pPr>
      <w:bookmarkStart w:id="61" w:name="_Toc10185807"/>
      <w:bookmarkStart w:id="62" w:name="_Toc21438528"/>
      <w:r>
        <w:t>All rules</w:t>
      </w:r>
      <w:bookmarkEnd w:id="59"/>
      <w:bookmarkEnd w:id="60"/>
      <w:bookmarkEnd w:id="61"/>
      <w:bookmarkEnd w:id="62"/>
    </w:p>
    <w:p w14:paraId="65F1AC9B" w14:textId="77777777" w:rsidR="003B20D5" w:rsidRDefault="003B20D5" w:rsidP="003B20D5">
      <w:r>
        <w:t>The following table includes all the rules with their different statuses which are:</w:t>
      </w:r>
    </w:p>
    <w:p w14:paraId="1DEBB77B" w14:textId="59DFCD90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r w:rsidR="006F5C6F">
        <w:t>or</w:t>
      </w:r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  <w:bookmarkStart w:id="63" w:name="_GoBack"/>
      <w:bookmarkEnd w:id="63"/>
    </w:p>
    <w:tbl>
      <w:tblPr>
        <w:tblStyle w:val="LightShading"/>
        <w:tblW w:w="13716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ED6E17" w14:paraId="5DB5AFEA" w14:textId="77777777" w:rsidTr="00DC1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  <w:hideMark/>
          </w:tcPr>
          <w:p w14:paraId="67E45E65" w14:textId="77777777" w:rsidR="00527CA4" w:rsidRPr="00ED6E17" w:rsidRDefault="00527CA4" w:rsidP="009248E2">
            <w:pPr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tcBorders>
              <w:bottom w:val="single" w:sz="4" w:space="0" w:color="auto"/>
            </w:tcBorders>
            <w:hideMark/>
          </w:tcPr>
          <w:p w14:paraId="3F0640E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  <w:tcBorders>
              <w:bottom w:val="single" w:sz="4" w:space="0" w:color="auto"/>
            </w:tcBorders>
          </w:tcPr>
          <w:p w14:paraId="6DF3B8B3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1976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A190A86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27CA4" w:rsidRPr="00ED6E17" w14:paraId="41D687FD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BFBFBF" w:themeFill="background1" w:themeFillShade="BF"/>
          </w:tcPr>
          <w:p w14:paraId="7B961A18" w14:textId="168BD3DC" w:rsidR="00527CA4" w:rsidRPr="00ED6E17" w:rsidRDefault="002009C9" w:rsidP="00A3502D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r w:rsidRPr="00ED6E17">
              <w:rPr>
                <w:rFonts w:cs="Arial"/>
                <w:b w:val="0"/>
                <w:sz w:val="16"/>
                <w:szCs w:val="16"/>
              </w:rPr>
              <w:t>AUNZ</w:t>
            </w:r>
            <w:r>
              <w:rPr>
                <w:rFonts w:cs="Arial"/>
                <w:b w:val="0"/>
                <w:sz w:val="16"/>
                <w:szCs w:val="16"/>
              </w:rPr>
              <w:t>-R-</w:t>
            </w:r>
            <w:r w:rsidR="00A3502D">
              <w:rPr>
                <w:rFonts w:cs="Arial"/>
                <w:b w:val="0"/>
                <w:sz w:val="16"/>
                <w:szCs w:val="16"/>
              </w:rPr>
              <w:t>00</w:t>
            </w:r>
            <w:r w:rsidR="00FE103E">
              <w:rPr>
                <w:rFonts w:cs="Arial"/>
                <w:b w:val="0"/>
                <w:sz w:val="16"/>
                <w:szCs w:val="16"/>
              </w:rPr>
              <w:t>7</w:t>
            </w:r>
          </w:p>
        </w:tc>
        <w:tc>
          <w:tcPr>
            <w:tcW w:w="5174" w:type="dxa"/>
            <w:shd w:val="clear" w:color="auto" w:fill="BFBFBF" w:themeFill="background1" w:themeFillShade="BF"/>
          </w:tcPr>
          <w:p w14:paraId="4873FD5C" w14:textId="34171073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</w:rPr>
              <w:t>For Australian or New Zealand self-billed invoices, the invoice document type code must be ‘389’</w:t>
            </w:r>
          </w:p>
        </w:tc>
        <w:tc>
          <w:tcPr>
            <w:tcW w:w="5174" w:type="dxa"/>
            <w:shd w:val="clear" w:color="auto" w:fill="BFBFBF" w:themeFill="background1" w:themeFillShade="BF"/>
          </w:tcPr>
          <w:p w14:paraId="24CB88F7" w14:textId="0E5F46D0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4E325B">
              <w:rPr>
                <w:sz w:val="16"/>
              </w:rPr>
              <w:t>InvoiceTypeCode</w:t>
            </w:r>
            <w:proofErr w:type="spellEnd"/>
            <w:r w:rsidRPr="004E325B">
              <w:rPr>
                <w:sz w:val="16"/>
              </w:rPr>
              <w:t xml:space="preserve"> = ‘389’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F523DB4" w14:textId="4D6427E3" w:rsidR="00527CA4" w:rsidRPr="00ED6E17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New</w:t>
            </w:r>
          </w:p>
        </w:tc>
        <w:tc>
          <w:tcPr>
            <w:tcW w:w="850" w:type="dxa"/>
            <w:shd w:val="clear" w:color="auto" w:fill="BFBFBF" w:themeFill="background1" w:themeFillShade="BF"/>
            <w:hideMark/>
          </w:tcPr>
          <w:p w14:paraId="0115F14B" w14:textId="77777777" w:rsidR="00527CA4" w:rsidRPr="00ED6E17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D6E17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71442BED" w14:textId="77777777" w:rsidTr="00DC17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FFFFF" w:themeFill="background1"/>
          </w:tcPr>
          <w:p w14:paraId="5E2BC229" w14:textId="0D4B4F1B" w:rsidR="00527CA4" w:rsidRPr="00ED6E17" w:rsidRDefault="002009C9" w:rsidP="00A3502D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r w:rsidRPr="00ED6E17">
              <w:rPr>
                <w:rFonts w:cs="Arial"/>
                <w:b w:val="0"/>
                <w:sz w:val="16"/>
                <w:szCs w:val="16"/>
              </w:rPr>
              <w:t>AUNZ</w:t>
            </w:r>
            <w:r>
              <w:rPr>
                <w:rFonts w:cs="Arial"/>
                <w:b w:val="0"/>
                <w:sz w:val="16"/>
                <w:szCs w:val="16"/>
              </w:rPr>
              <w:t>-R-</w:t>
            </w:r>
            <w:r w:rsidR="00A3502D">
              <w:rPr>
                <w:rFonts w:cs="Arial"/>
                <w:b w:val="0"/>
                <w:sz w:val="16"/>
                <w:szCs w:val="16"/>
              </w:rPr>
              <w:t>00</w:t>
            </w:r>
            <w:r w:rsidR="00FE103E">
              <w:rPr>
                <w:rFonts w:cs="Arial"/>
                <w:b w:val="0"/>
                <w:sz w:val="16"/>
                <w:szCs w:val="16"/>
              </w:rPr>
              <w:t>8</w:t>
            </w:r>
          </w:p>
        </w:tc>
        <w:tc>
          <w:tcPr>
            <w:tcW w:w="5174" w:type="dxa"/>
            <w:shd w:val="clear" w:color="auto" w:fill="FFFFFF" w:themeFill="background1"/>
          </w:tcPr>
          <w:p w14:paraId="4FC48E9D" w14:textId="78FA2519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</w:rPr>
              <w:t>For Australian or New Zealand self-billed credit notes, the invoice document type code must be ‘261’</w:t>
            </w:r>
          </w:p>
        </w:tc>
        <w:tc>
          <w:tcPr>
            <w:tcW w:w="5174" w:type="dxa"/>
            <w:shd w:val="clear" w:color="auto" w:fill="FFFFFF" w:themeFill="background1"/>
          </w:tcPr>
          <w:p w14:paraId="429FF035" w14:textId="7F21EC78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4E325B">
              <w:rPr>
                <w:sz w:val="16"/>
              </w:rPr>
              <w:t>InvoiceTypeCode</w:t>
            </w:r>
            <w:proofErr w:type="spellEnd"/>
            <w:r w:rsidRPr="004E325B">
              <w:rPr>
                <w:sz w:val="16"/>
              </w:rPr>
              <w:t xml:space="preserve"> = ‘261’</w:t>
            </w:r>
          </w:p>
        </w:tc>
        <w:tc>
          <w:tcPr>
            <w:tcW w:w="992" w:type="dxa"/>
            <w:shd w:val="clear" w:color="auto" w:fill="FFFFFF" w:themeFill="background1"/>
          </w:tcPr>
          <w:p w14:paraId="0CCEEC8F" w14:textId="3D3E650F" w:rsidR="00527CA4" w:rsidRPr="00ED6E17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New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7955F27A" w14:textId="77777777" w:rsidR="00527CA4" w:rsidRPr="00ED6E17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D6E17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638B49A1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373E39" w14:textId="4287FE49" w:rsidR="00527CA4" w:rsidRPr="004E325B" w:rsidRDefault="006F5C6F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2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655B0990" w14:textId="473BCD5D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1A492324" w14:textId="5CB70F3D" w:rsidR="004E325B" w:rsidRPr="004E325B" w:rsidRDefault="00A0072E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 w:rsidR="009C15F5">
              <w:rPr>
                <w:rFonts w:cs="Arial"/>
                <w:sz w:val="16"/>
                <w:szCs w:val="16"/>
              </w:rPr>
              <w:t>P0100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invoice type code MUST be set according to the A-NZ profile.</w:t>
            </w:r>
          </w:p>
          <w:p w14:paraId="708AD8FD" w14:textId="43C42AE4" w:rsidR="00527CA4" w:rsidRPr="004E325B" w:rsidRDefault="004E325B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InvoiceTypeCode</w:t>
            </w:r>
            <w:proofErr w:type="spellEnd"/>
            <w:r w:rsidRPr="004E325B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19B34F88" w14:textId="24A52968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</w:t>
            </w:r>
            <w:r w:rsidR="00D372C4">
              <w:rPr>
                <w:rFonts w:cs="Arial"/>
                <w:sz w:val="16"/>
                <w:szCs w:val="16"/>
              </w:rPr>
              <w:t>e</w:t>
            </w:r>
            <w:r w:rsidR="0008420D">
              <w:rPr>
                <w:rFonts w:cs="Arial"/>
                <w:sz w:val="16"/>
                <w:szCs w:val="16"/>
              </w:rPr>
              <w:t>ssage</w:t>
            </w:r>
          </w:p>
        </w:tc>
        <w:tc>
          <w:tcPr>
            <w:tcW w:w="850" w:type="dxa"/>
            <w:hideMark/>
          </w:tcPr>
          <w:p w14:paraId="0EFEE45C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27CA4" w:rsidRPr="00ED6E17" w14:paraId="42C9FFB9" w14:textId="77777777" w:rsidTr="00DC17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9485C5" w14:textId="5DD6704D" w:rsidR="00527CA4" w:rsidRPr="004E325B" w:rsidRDefault="006F5C6F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9DCC010" w14:textId="5D71697E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70E56590" w14:textId="09BAC012" w:rsidR="004E325B" w:rsidRPr="004E325B" w:rsidRDefault="00A0072E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P0101-AUNZ-SB]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credit note type code MUST be set according to the A-NZ profile.</w:t>
            </w:r>
          </w:p>
          <w:p w14:paraId="54C11C6C" w14:textId="5183FAB1" w:rsidR="00527CA4" w:rsidRPr="004E325B" w:rsidRDefault="004E325B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CreditNoteTypeCode</w:t>
            </w:r>
            <w:proofErr w:type="spellEnd"/>
            <w:r w:rsidRPr="004E325B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0F6C49AF" w14:textId="53F35CC3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48536802" w14:textId="77777777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5A4607C6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44BB" w14:textId="3AD353EE" w:rsidR="00527CA4" w:rsidRPr="004E325B" w:rsidRDefault="006F5C6F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53ADA2AF" w14:textId="0AF66C4C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Specification identifier MUST have the value urn:cen.eu:en16931:2017#</w:t>
            </w:r>
            <w:r w:rsidR="0008420D" w:rsidRPr="0008420D">
              <w:rPr>
                <w:sz w:val="16"/>
                <w:szCs w:val="16"/>
              </w:rPr>
              <w:t>compliant</w:t>
            </w:r>
            <w:r w:rsidRPr="004E325B">
              <w:rPr>
                <w:sz w:val="16"/>
                <w:szCs w:val="16"/>
              </w:rPr>
              <w:t>#urn:fdc:peppol.eu:2017:poacc:billing:3.0</w:t>
            </w:r>
          </w:p>
        </w:tc>
        <w:tc>
          <w:tcPr>
            <w:tcW w:w="5174" w:type="dxa"/>
          </w:tcPr>
          <w:p w14:paraId="080950E4" w14:textId="75D07BC9" w:rsidR="004E325B" w:rsidRPr="004E325B" w:rsidRDefault="009C15F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Specification identifier MUST have the value urn:cen.eu:en16931:2017#conformant#urn:fdc:peppol.eu:2017:po</w:t>
            </w:r>
          </w:p>
          <w:p w14:paraId="4746EADE" w14:textId="2AA56751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4E325B">
              <w:rPr>
                <w:sz w:val="16"/>
                <w:szCs w:val="16"/>
              </w:rPr>
              <w:t>acc:</w:t>
            </w:r>
            <w:proofErr w:type="gramEnd"/>
            <w:r w:rsidR="009A0237">
              <w:rPr>
                <w:sz w:val="16"/>
                <w:szCs w:val="16"/>
              </w:rPr>
              <w:t>self</w:t>
            </w:r>
            <w:r w:rsidRPr="004E325B">
              <w:rPr>
                <w:sz w:val="16"/>
                <w:szCs w:val="16"/>
              </w:rPr>
              <w:t>billing:international:aunz:3.0.</w:t>
            </w:r>
          </w:p>
        </w:tc>
        <w:tc>
          <w:tcPr>
            <w:tcW w:w="992" w:type="dxa"/>
          </w:tcPr>
          <w:p w14:paraId="06AD1195" w14:textId="5E1E9721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 w:rsidDel="00A73F99">
              <w:rPr>
                <w:rFonts w:cs="Arial"/>
                <w:sz w:val="16"/>
                <w:szCs w:val="16"/>
              </w:rPr>
              <w:t>Changed</w:t>
            </w:r>
            <w:r w:rsidR="009A0237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388826D2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374D4B" w15:done="0"/>
  <w15:commentEx w15:paraId="6F722B70" w15:done="0"/>
  <w15:commentEx w15:paraId="0F622795" w15:done="0"/>
  <w15:commentEx w15:paraId="3EB6EC28" w15:done="0"/>
  <w15:commentEx w15:paraId="54BB04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74D4B" w16cid:durableId="20A735F5"/>
  <w16cid:commentId w16cid:paraId="6F722B70" w16cid:durableId="20A7362F"/>
  <w16cid:commentId w16cid:paraId="0F622795" w16cid:durableId="20A73756"/>
  <w16cid:commentId w16cid:paraId="3EB6EC28" w16cid:durableId="20A737A6"/>
  <w16cid:commentId w16cid:paraId="54BB04E2" w16cid:durableId="20A735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052D4" w14:textId="77777777" w:rsidR="00305AF7" w:rsidRDefault="00305AF7" w:rsidP="00A8740B">
      <w:pPr>
        <w:spacing w:after="0" w:line="240" w:lineRule="auto"/>
      </w:pPr>
      <w:r>
        <w:separator/>
      </w:r>
    </w:p>
  </w:endnote>
  <w:endnote w:type="continuationSeparator" w:id="0">
    <w:p w14:paraId="3528280F" w14:textId="77777777" w:rsidR="00305AF7" w:rsidRDefault="00305AF7" w:rsidP="00A8740B">
      <w:pPr>
        <w:spacing w:after="0" w:line="240" w:lineRule="auto"/>
      </w:pPr>
      <w:r>
        <w:continuationSeparator/>
      </w:r>
    </w:p>
  </w:endnote>
  <w:endnote w:type="continuationNotice" w:id="1">
    <w:p w14:paraId="63659313" w14:textId="77777777" w:rsidR="00305AF7" w:rsidRDefault="0030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66BFE" w14:textId="7119DA40" w:rsidR="00FD50E9" w:rsidRDefault="00FD50E9" w:rsidP="00045D4F">
    <w:pPr>
      <w:pStyle w:val="Footer"/>
      <w:pBdr>
        <w:top w:val="single" w:sz="4" w:space="1" w:color="auto"/>
      </w:pBdr>
      <w:tabs>
        <w:tab w:val="clear" w:pos="4513"/>
        <w:tab w:val="center" w:pos="3261"/>
      </w:tabs>
    </w:pPr>
    <w:r>
      <w:t>UNCLASSIFIED</w:t>
    </w:r>
    <w:r>
      <w:tab/>
    </w:r>
    <w:r w:rsidR="00045D4F">
      <w:t xml:space="preserve">                            </w:t>
    </w:r>
    <w:r>
      <w:t xml:space="preserve">A-NZ Self-Billing </w:t>
    </w:r>
    <w:r w:rsidR="00045D4F">
      <w:t>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F5C6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38E51" w14:textId="77777777" w:rsidR="00305AF7" w:rsidRDefault="00305AF7" w:rsidP="00A8740B">
      <w:pPr>
        <w:spacing w:after="0" w:line="240" w:lineRule="auto"/>
      </w:pPr>
      <w:r>
        <w:separator/>
      </w:r>
    </w:p>
  </w:footnote>
  <w:footnote w:type="continuationSeparator" w:id="0">
    <w:p w14:paraId="4EB34C9D" w14:textId="77777777" w:rsidR="00305AF7" w:rsidRDefault="00305AF7" w:rsidP="00A8740B">
      <w:pPr>
        <w:spacing w:after="0" w:line="240" w:lineRule="auto"/>
      </w:pPr>
      <w:r>
        <w:continuationSeparator/>
      </w:r>
    </w:p>
  </w:footnote>
  <w:footnote w:type="continuationNotice" w:id="1">
    <w:p w14:paraId="3A237F15" w14:textId="77777777" w:rsidR="00305AF7" w:rsidRDefault="0030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698"/>
      <w:gridCol w:w="4544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dowler">
    <w15:presenceInfo w15:providerId="Windows Live" w15:userId="4bf29bb13d0b52bd"/>
  </w15:person>
  <w15:person w15:author="henry dowler [2]">
    <w15:presenceInfo w15:providerId="Windows Live" w15:userId="4bf29bb13d0b52bd"/>
  </w15:person>
  <w15:person w15:author="henry dowler [3]">
    <w15:presenceInfo w15:providerId="Windows Live" w15:userId="4bf29bb13d0b52bd"/>
  </w15:person>
  <w15:person w15:author="henry dowler [4]">
    <w15:presenceInfo w15:providerId="Windows Live" w15:userId="4bf29bb13d0b52bd"/>
  </w15:person>
  <w15:person w15:author="henry dowler [5]">
    <w15:presenceInfo w15:providerId="Windows Live" w15:userId="4bf29bb13d0b52bd"/>
  </w15:person>
  <w15:person w15:author="Henry Dowler">
    <w15:presenceInfo w15:providerId="Windows Live" w15:userId="4bf29bb13d0b5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0B"/>
    <w:rsid w:val="00005B25"/>
    <w:rsid w:val="00005C0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61522"/>
    <w:rsid w:val="00062681"/>
    <w:rsid w:val="0006599B"/>
    <w:rsid w:val="00065F05"/>
    <w:rsid w:val="00071775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4B98"/>
    <w:rsid w:val="00111443"/>
    <w:rsid w:val="00111D38"/>
    <w:rsid w:val="001135F9"/>
    <w:rsid w:val="001159BD"/>
    <w:rsid w:val="00123BCB"/>
    <w:rsid w:val="00124F9F"/>
    <w:rsid w:val="00124FD0"/>
    <w:rsid w:val="00125B8C"/>
    <w:rsid w:val="001271D3"/>
    <w:rsid w:val="001303CE"/>
    <w:rsid w:val="00130BCD"/>
    <w:rsid w:val="00131A44"/>
    <w:rsid w:val="00131B4A"/>
    <w:rsid w:val="00135299"/>
    <w:rsid w:val="00136614"/>
    <w:rsid w:val="0014548B"/>
    <w:rsid w:val="00145547"/>
    <w:rsid w:val="00145945"/>
    <w:rsid w:val="001468A3"/>
    <w:rsid w:val="00150E43"/>
    <w:rsid w:val="0015245E"/>
    <w:rsid w:val="0015505B"/>
    <w:rsid w:val="0015607A"/>
    <w:rsid w:val="00157A14"/>
    <w:rsid w:val="00160EFB"/>
    <w:rsid w:val="00165731"/>
    <w:rsid w:val="00167F1B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529C"/>
    <w:rsid w:val="00197520"/>
    <w:rsid w:val="00197B58"/>
    <w:rsid w:val="001A27AD"/>
    <w:rsid w:val="001A7B03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66D3"/>
    <w:rsid w:val="002669F4"/>
    <w:rsid w:val="00272B5D"/>
    <w:rsid w:val="00273383"/>
    <w:rsid w:val="002752D0"/>
    <w:rsid w:val="00277A0B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5D91"/>
    <w:rsid w:val="00333A0E"/>
    <w:rsid w:val="003359F0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53F1"/>
    <w:rsid w:val="003A5902"/>
    <w:rsid w:val="003A6DC5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3AE9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B5D"/>
    <w:rsid w:val="0041420E"/>
    <w:rsid w:val="00415769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217B"/>
    <w:rsid w:val="00434B9C"/>
    <w:rsid w:val="0043531C"/>
    <w:rsid w:val="0043599E"/>
    <w:rsid w:val="00436C39"/>
    <w:rsid w:val="00436E27"/>
    <w:rsid w:val="00437232"/>
    <w:rsid w:val="0044233D"/>
    <w:rsid w:val="00442B9D"/>
    <w:rsid w:val="00444FF0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50326"/>
    <w:rsid w:val="00551669"/>
    <w:rsid w:val="00551876"/>
    <w:rsid w:val="00555938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E23"/>
    <w:rsid w:val="00581683"/>
    <w:rsid w:val="005827F8"/>
    <w:rsid w:val="0058441F"/>
    <w:rsid w:val="005848B9"/>
    <w:rsid w:val="00585867"/>
    <w:rsid w:val="00586155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658C"/>
    <w:rsid w:val="00637631"/>
    <w:rsid w:val="00641C95"/>
    <w:rsid w:val="00641F06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6F5C6F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6F85"/>
    <w:rsid w:val="0072063B"/>
    <w:rsid w:val="00720ADB"/>
    <w:rsid w:val="0072263E"/>
    <w:rsid w:val="00724024"/>
    <w:rsid w:val="0072435B"/>
    <w:rsid w:val="00731C7C"/>
    <w:rsid w:val="00734705"/>
    <w:rsid w:val="00735534"/>
    <w:rsid w:val="0073575D"/>
    <w:rsid w:val="007371BF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60B9"/>
    <w:rsid w:val="009A61B2"/>
    <w:rsid w:val="009B03B5"/>
    <w:rsid w:val="009B2773"/>
    <w:rsid w:val="009B3F56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77AB"/>
    <w:rsid w:val="00A278FD"/>
    <w:rsid w:val="00A3502D"/>
    <w:rsid w:val="00A377B7"/>
    <w:rsid w:val="00A407F7"/>
    <w:rsid w:val="00A471A3"/>
    <w:rsid w:val="00A51486"/>
    <w:rsid w:val="00A540E3"/>
    <w:rsid w:val="00A55F58"/>
    <w:rsid w:val="00A62F8F"/>
    <w:rsid w:val="00A7110A"/>
    <w:rsid w:val="00A73F99"/>
    <w:rsid w:val="00A768AE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F7F"/>
    <w:rsid w:val="00AE4996"/>
    <w:rsid w:val="00AE49BE"/>
    <w:rsid w:val="00AE6135"/>
    <w:rsid w:val="00AE6EB0"/>
    <w:rsid w:val="00AE7D5E"/>
    <w:rsid w:val="00AF2FCB"/>
    <w:rsid w:val="00AF4479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44CC"/>
    <w:rsid w:val="00B35C2C"/>
    <w:rsid w:val="00B37316"/>
    <w:rsid w:val="00B40A2B"/>
    <w:rsid w:val="00B41CF8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657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AEE"/>
    <w:rsid w:val="00C006CF"/>
    <w:rsid w:val="00C0095B"/>
    <w:rsid w:val="00C014EE"/>
    <w:rsid w:val="00C051A9"/>
    <w:rsid w:val="00C05F72"/>
    <w:rsid w:val="00C1263B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7913"/>
    <w:rsid w:val="00D2390F"/>
    <w:rsid w:val="00D23D59"/>
    <w:rsid w:val="00D2488A"/>
    <w:rsid w:val="00D24947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38F6"/>
    <w:rsid w:val="00D94D96"/>
    <w:rsid w:val="00D95ACB"/>
    <w:rsid w:val="00D96681"/>
    <w:rsid w:val="00D97627"/>
    <w:rsid w:val="00DA392B"/>
    <w:rsid w:val="00DA72F6"/>
    <w:rsid w:val="00DA7D51"/>
    <w:rsid w:val="00DB3691"/>
    <w:rsid w:val="00DB41FF"/>
    <w:rsid w:val="00DB4EC6"/>
    <w:rsid w:val="00DB5A91"/>
    <w:rsid w:val="00DC1773"/>
    <w:rsid w:val="00DC2B68"/>
    <w:rsid w:val="00DC4CA8"/>
    <w:rsid w:val="00DC717A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13A3B"/>
    <w:rsid w:val="00E163C1"/>
    <w:rsid w:val="00E16B13"/>
    <w:rsid w:val="00E205E9"/>
    <w:rsid w:val="00E22D69"/>
    <w:rsid w:val="00E23955"/>
    <w:rsid w:val="00E241B0"/>
    <w:rsid w:val="00E300F3"/>
    <w:rsid w:val="00E305B1"/>
    <w:rsid w:val="00E308E1"/>
    <w:rsid w:val="00E308FC"/>
    <w:rsid w:val="00E331B9"/>
    <w:rsid w:val="00E37D85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6A67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3FD"/>
    <w:rsid w:val="00F85FF0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nece.org/fileadmin/DAM/trade/untdid/d16b/tred/tred1001.htm" TargetMode="External"/><Relationship Id="rId18" Type="http://schemas.openxmlformats.org/officeDocument/2006/relationships/hyperlink" Target="http://docs.peppol.eu/poacc/billing/3.0/codelist/UNCL1001-inv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42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://docs.peppol.eu/poacc/upgrade-3/profiles/63-invoiceresponse/" TargetMode="External"/><Relationship Id="rId17" Type="http://schemas.openxmlformats.org/officeDocument/2006/relationships/hyperlink" Target="http://docs.peppol.eu/poacc/billing/3.0/syntax/ubl-invoice/cbc-InvoiceTypeCode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CustomizationID/" TargetMode="External"/><Relationship Id="rId20" Type="http://schemas.openxmlformats.org/officeDocument/2006/relationships/hyperlink" Target="http://docs.peppol.eu/poacc/billing/3.0/syntax/ubl-invoice/cbc-Note/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o.gov.au/Business/GST/Tax-invoices/" TargetMode="External"/><Relationship Id="rId24" Type="http://schemas.openxmlformats.org/officeDocument/2006/relationships/hyperlink" Target="http://docs.peppol.eu/poacc/billing/3.0/rules/PEPPOL-EN16931-R004/" TargetMode="Externa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://docs.peppol.eu/poacc/billing/3.0/rules/PEPPOL-EN16931-P0101/" TargetMode="External"/><Relationship Id="rId10" Type="http://schemas.openxmlformats.org/officeDocument/2006/relationships/hyperlink" Target="https://softwaredevelopers.ato.gov.au/sites/default/files/resource-attachments/A_NZ_Invoice_spec_BIS_Billing_extension.docx" TargetMode="External"/><Relationship Id="rId19" Type="http://schemas.openxmlformats.org/officeDocument/2006/relationships/hyperlink" Target="http://docs.peppol.eu/poacc/billing/3.0/rules/BR-CL-0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-NZ-PEPPOL" TargetMode="External"/><Relationship Id="rId14" Type="http://schemas.openxmlformats.org/officeDocument/2006/relationships/header" Target="header1.xml"/><Relationship Id="rId22" Type="http://schemas.openxmlformats.org/officeDocument/2006/relationships/hyperlink" Target="http://docs.peppol.eu/poacc/billing/3.0/rules/PEPPOL-EN16931-P0100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22C386AE-79F9-4DBE-852A-19FF930D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2019-11-14T22:27:00Z</dcterms:created>
  <dcterms:modified xsi:type="dcterms:W3CDTF">2019-11-14T22:46:00Z</dcterms:modified>
</cp:coreProperties>
</file>