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37F6C818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e</w:t>
      </w:r>
      <w:r w:rsidR="004134C3">
        <w:t>I</w:t>
      </w:r>
      <w:r>
        <w:t>nvoicing</w:t>
      </w:r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669E7699" w:rsidR="0044233D" w:rsidRPr="0044233D" w:rsidRDefault="0044233D" w:rsidP="00FE103E">
      <w:pPr>
        <w:rPr>
          <w:b/>
        </w:rPr>
      </w:pPr>
      <w:r w:rsidRPr="0044233D">
        <w:rPr>
          <w:b/>
        </w:rPr>
        <w:t xml:space="preserve">Version </w:t>
      </w:r>
      <w:r w:rsidRPr="00806901">
        <w:rPr>
          <w:bCs/>
        </w:rPr>
        <w:t>1.0.</w:t>
      </w:r>
      <w:r w:rsidR="003B2772">
        <w:rPr>
          <w:bCs/>
        </w:rPr>
        <w:t>1</w:t>
      </w:r>
      <w:r w:rsidR="00066E18">
        <w:rPr>
          <w:bCs/>
        </w:rPr>
        <w:t>2</w:t>
      </w:r>
    </w:p>
    <w:p w14:paraId="45D7275C" w14:textId="63736C45" w:rsidR="0044233D" w:rsidRDefault="00365D11" w:rsidP="00FE103E">
      <w:pPr>
        <w:rPr>
          <w:b/>
        </w:rPr>
      </w:pPr>
      <w:r>
        <w:rPr>
          <w:b/>
        </w:rPr>
        <w:t>Published</w:t>
      </w:r>
      <w:r w:rsidR="0044233D" w:rsidRPr="0044233D">
        <w:rPr>
          <w:b/>
        </w:rPr>
        <w:t xml:space="preserve">: </w:t>
      </w:r>
      <w:r w:rsidR="00A3610D">
        <w:rPr>
          <w:bCs/>
        </w:rPr>
        <w:t>0</w:t>
      </w:r>
      <w:r w:rsidR="0062109A">
        <w:rPr>
          <w:bCs/>
        </w:rPr>
        <w:t>9</w:t>
      </w:r>
      <w:r w:rsidR="00A3610D">
        <w:rPr>
          <w:bCs/>
        </w:rPr>
        <w:t>/</w:t>
      </w:r>
      <w:r w:rsidR="00066E18">
        <w:rPr>
          <w:bCs/>
        </w:rPr>
        <w:t>12</w:t>
      </w:r>
      <w:r w:rsidR="00A3610D">
        <w:rPr>
          <w:bCs/>
        </w:rPr>
        <w:t>/</w:t>
      </w:r>
      <w:r w:rsidR="00D67C93">
        <w:rPr>
          <w:bCs/>
        </w:rPr>
        <w:t>2024</w:t>
      </w:r>
    </w:p>
    <w:p w14:paraId="227357A7" w14:textId="49755CBD" w:rsidR="008C7676" w:rsidRDefault="008C7676" w:rsidP="00FE103E">
      <w:r>
        <w:rPr>
          <w:b/>
        </w:rPr>
        <w:t xml:space="preserve">Mandatory: </w:t>
      </w:r>
      <w:r w:rsidR="0062109A">
        <w:t>10</w:t>
      </w:r>
      <w:r w:rsidR="00A61512">
        <w:t>/03/2025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bookmarkStart w:id="1" w:name="_Toc118189881"/>
      <w:r w:rsidRPr="00437232">
        <w:rPr>
          <w:rFonts w:eastAsia="Arial"/>
        </w:rPr>
        <w:lastRenderedPageBreak/>
        <w:t>Version Control</w:t>
      </w:r>
      <w:bookmarkEnd w:id="0"/>
      <w:bookmarkEnd w:id="1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  <w:tr w:rsidR="00D929E7" w:rsidRPr="00437232" w14:paraId="78E439E3" w14:textId="77777777" w:rsidTr="00602DEA">
        <w:trPr>
          <w:trHeight w:val="850"/>
        </w:trPr>
        <w:tc>
          <w:tcPr>
            <w:tcW w:w="703" w:type="pct"/>
          </w:tcPr>
          <w:p w14:paraId="431B00CF" w14:textId="668DB2FF" w:rsidR="00D929E7" w:rsidRPr="00437232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1.0.2</w:t>
            </w:r>
          </w:p>
        </w:tc>
        <w:tc>
          <w:tcPr>
            <w:tcW w:w="1250" w:type="pct"/>
          </w:tcPr>
          <w:p w14:paraId="7DFAEF5F" w14:textId="721250B5" w:rsidR="00D929E7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2615DA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January 2020</w:t>
            </w:r>
          </w:p>
        </w:tc>
        <w:tc>
          <w:tcPr>
            <w:tcW w:w="3047" w:type="pct"/>
          </w:tcPr>
          <w:p w14:paraId="7A636086" w14:textId="26038D4C" w:rsidR="00D929E7" w:rsidRDefault="00D929E7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Corrected value for </w:t>
            </w:r>
            <w:proofErr w:type="spellStart"/>
            <w:proofErr w:type="gramStart"/>
            <w:r w:rsidRPr="00AE616A">
              <w:rPr>
                <w:rFonts w:eastAsia="Arial"/>
                <w:i/>
                <w:color w:val="000000"/>
              </w:rPr>
              <w:t>cbc:ProfileID</w:t>
            </w:r>
            <w:proofErr w:type="spellEnd"/>
            <w:proofErr w:type="gramEnd"/>
            <w:r>
              <w:rPr>
                <w:rFonts w:eastAsia="Arial"/>
                <w:color w:val="000000"/>
              </w:rPr>
              <w:t xml:space="preserve"> in the UBL example </w:t>
            </w:r>
            <w:r w:rsidR="00582673">
              <w:rPr>
                <w:rFonts w:eastAsia="Arial"/>
                <w:color w:val="000000"/>
              </w:rPr>
              <w:t xml:space="preserve">in Section 3, </w:t>
            </w:r>
            <w:r>
              <w:rPr>
                <w:rFonts w:eastAsia="Arial"/>
                <w:color w:val="000000"/>
              </w:rPr>
              <w:t xml:space="preserve">page </w:t>
            </w:r>
            <w:r w:rsidR="00582673">
              <w:rPr>
                <w:rFonts w:eastAsia="Arial"/>
                <w:color w:val="000000"/>
              </w:rPr>
              <w:t>7</w:t>
            </w:r>
            <w:r w:rsidR="0015433D">
              <w:rPr>
                <w:rFonts w:eastAsia="Arial"/>
                <w:color w:val="000000"/>
              </w:rPr>
              <w:t xml:space="preserve"> and reflected in rule </w:t>
            </w:r>
            <w:r w:rsidR="0015433D" w:rsidRPr="0015433D">
              <w:rPr>
                <w:rFonts w:eastAsia="Arial"/>
                <w:color w:val="000000"/>
              </w:rPr>
              <w:t>PEPPOL-EN16931-R007-AUNZ-SB</w:t>
            </w:r>
            <w:r w:rsidR="00582673">
              <w:rPr>
                <w:rFonts w:eastAsia="Arial"/>
                <w:color w:val="000000"/>
              </w:rPr>
              <w:t xml:space="preserve">. </w:t>
            </w:r>
          </w:p>
          <w:p w14:paraId="1EBDF81D" w14:textId="517AFFF8" w:rsidR="002A4858" w:rsidRPr="009D6DFC" w:rsidRDefault="002A4858" w:rsidP="00582673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corrections in formatting</w:t>
            </w:r>
          </w:p>
        </w:tc>
      </w:tr>
      <w:tr w:rsidR="00103DA5" w:rsidRPr="00437232" w14:paraId="11476115" w14:textId="77777777" w:rsidTr="00602DEA">
        <w:trPr>
          <w:trHeight w:val="850"/>
        </w:trPr>
        <w:tc>
          <w:tcPr>
            <w:tcW w:w="703" w:type="pct"/>
          </w:tcPr>
          <w:p w14:paraId="1FAE527A" w14:textId="7A642935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1.0.3</w:t>
            </w:r>
          </w:p>
        </w:tc>
        <w:tc>
          <w:tcPr>
            <w:tcW w:w="1250" w:type="pct"/>
          </w:tcPr>
          <w:p w14:paraId="7D9ECBF0" w14:textId="6F8DDA80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May 2020</w:t>
            </w:r>
          </w:p>
        </w:tc>
        <w:tc>
          <w:tcPr>
            <w:tcW w:w="3047" w:type="pct"/>
          </w:tcPr>
          <w:p w14:paraId="30045145" w14:textId="2864C575" w:rsidR="00103DA5" w:rsidRDefault="00103DA5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No changes related </w:t>
            </w:r>
            <w:r w:rsidR="0032145F">
              <w:rPr>
                <w:rFonts w:eastAsia="Arial"/>
                <w:color w:val="000000"/>
              </w:rPr>
              <w:t xml:space="preserve">specifically </w:t>
            </w:r>
            <w:r>
              <w:rPr>
                <w:rFonts w:eastAsia="Arial"/>
                <w:color w:val="000000"/>
              </w:rPr>
              <w:t>to self-</w:t>
            </w:r>
            <w:proofErr w:type="gramStart"/>
            <w:r>
              <w:rPr>
                <w:rFonts w:eastAsia="Arial"/>
                <w:color w:val="000000"/>
              </w:rPr>
              <w:t>billing</w:t>
            </w:r>
            <w:proofErr w:type="gramEnd"/>
          </w:p>
          <w:p w14:paraId="5002AA2D" w14:textId="04B7E194" w:rsidR="00103DA5" w:rsidRDefault="00103DA5" w:rsidP="00103DA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8E01AF" w:rsidRPr="00437232" w14:paraId="512F67A1" w14:textId="77777777" w:rsidTr="008E01AF">
        <w:trPr>
          <w:trHeight w:val="850"/>
        </w:trPr>
        <w:tc>
          <w:tcPr>
            <w:tcW w:w="703" w:type="pct"/>
          </w:tcPr>
          <w:p w14:paraId="6384FE8F" w14:textId="77777777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1.0.4</w:t>
            </w:r>
          </w:p>
        </w:tc>
        <w:tc>
          <w:tcPr>
            <w:tcW w:w="1250" w:type="pct"/>
          </w:tcPr>
          <w:p w14:paraId="0026A70B" w14:textId="70F10266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November 2020</w:t>
            </w:r>
          </w:p>
        </w:tc>
        <w:tc>
          <w:tcPr>
            <w:tcW w:w="3047" w:type="pct"/>
          </w:tcPr>
          <w:p w14:paraId="65E30478" w14:textId="5DBA73B9" w:rsidR="008E01AF" w:rsidRDefault="008E01AF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New version created to highlight updates to related </w:t>
            </w:r>
            <w:r w:rsidR="00785102">
              <w:rPr>
                <w:rFonts w:eastAsia="Arial"/>
                <w:color w:val="000000"/>
              </w:rPr>
              <w:t xml:space="preserve">validation </w:t>
            </w:r>
            <w:r>
              <w:rPr>
                <w:rFonts w:eastAsia="Arial"/>
                <w:color w:val="000000"/>
              </w:rPr>
              <w:t>artefacts (</w:t>
            </w:r>
            <w:r w:rsidR="00785102">
              <w:rPr>
                <w:rFonts w:eastAsia="Arial"/>
                <w:color w:val="000000"/>
              </w:rPr>
              <w:t>minor corrections and</w:t>
            </w:r>
            <w:r>
              <w:rPr>
                <w:rFonts w:eastAsia="Arial"/>
                <w:color w:val="000000"/>
              </w:rPr>
              <w:t xml:space="preserve"> code lists) that flow through from the A-NZ invoice extension</w:t>
            </w:r>
            <w:r w:rsidR="00915996">
              <w:rPr>
                <w:rFonts w:eastAsia="Arial"/>
                <w:color w:val="000000"/>
              </w:rPr>
              <w:t xml:space="preserve">. </w:t>
            </w:r>
          </w:p>
        </w:tc>
      </w:tr>
      <w:tr w:rsidR="00333C89" w:rsidRPr="00437232" w14:paraId="69F544E1" w14:textId="77777777" w:rsidTr="008E01AF">
        <w:trPr>
          <w:trHeight w:val="850"/>
        </w:trPr>
        <w:tc>
          <w:tcPr>
            <w:tcW w:w="703" w:type="pct"/>
          </w:tcPr>
          <w:p w14:paraId="72771250" w14:textId="2FC391F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1.0.5</w:t>
            </w:r>
          </w:p>
        </w:tc>
        <w:tc>
          <w:tcPr>
            <w:tcW w:w="1250" w:type="pct"/>
          </w:tcPr>
          <w:p w14:paraId="5D067C79" w14:textId="2D1E991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May 2021</w:t>
            </w:r>
          </w:p>
        </w:tc>
        <w:tc>
          <w:tcPr>
            <w:tcW w:w="3047" w:type="pct"/>
          </w:tcPr>
          <w:p w14:paraId="3E29B83F" w14:textId="77777777" w:rsidR="00333C89" w:rsidRDefault="00333C89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validation artefacts (minor corrections and code lists) that flow through from the A-NZ invoice extension.</w:t>
            </w:r>
          </w:p>
          <w:p w14:paraId="5CE22012" w14:textId="288CDCD6" w:rsidR="000123AC" w:rsidRDefault="000123AC" w:rsidP="000123A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color w:val="000000"/>
              </w:rPr>
            </w:pPr>
            <w:r w:rsidRPr="000123AC">
              <w:rPr>
                <w:rFonts w:eastAsia="Arial"/>
                <w:color w:val="000000"/>
              </w:rPr>
              <w:t xml:space="preserve">Updated description of </w:t>
            </w:r>
            <w:proofErr w:type="spellStart"/>
            <w:proofErr w:type="gramStart"/>
            <w:r w:rsidRPr="000123AC">
              <w:rPr>
                <w:rFonts w:eastAsia="Arial"/>
                <w:color w:val="000000"/>
              </w:rPr>
              <w:t>cbc:Note</w:t>
            </w:r>
            <w:proofErr w:type="spellEnd"/>
            <w:proofErr w:type="gramEnd"/>
            <w:r w:rsidRPr="000123AC">
              <w:rPr>
                <w:rFonts w:eastAsia="Arial"/>
                <w:color w:val="000000"/>
              </w:rPr>
              <w:t xml:space="preserve"> field.</w:t>
            </w:r>
          </w:p>
        </w:tc>
      </w:tr>
      <w:tr w:rsidR="008661DA" w:rsidRPr="00437232" w14:paraId="3140B533" w14:textId="77777777" w:rsidTr="008E01AF">
        <w:trPr>
          <w:trHeight w:val="850"/>
        </w:trPr>
        <w:tc>
          <w:tcPr>
            <w:tcW w:w="703" w:type="pct"/>
          </w:tcPr>
          <w:p w14:paraId="6C1AFE02" w14:textId="31D23CF3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1.0.6</w:t>
            </w:r>
          </w:p>
        </w:tc>
        <w:tc>
          <w:tcPr>
            <w:tcW w:w="1250" w:type="pct"/>
          </w:tcPr>
          <w:p w14:paraId="628F8165" w14:textId="27F41D7F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November 2021</w:t>
            </w:r>
          </w:p>
        </w:tc>
        <w:tc>
          <w:tcPr>
            <w:tcW w:w="3047" w:type="pct"/>
          </w:tcPr>
          <w:p w14:paraId="6FD10DB0" w14:textId="553AD477" w:rsidR="00DB3D9C" w:rsidRDefault="00DB3D9C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5EFF8DE7" w14:textId="18D50318" w:rsidR="008661DA" w:rsidRDefault="00AF3E9B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Addition of BT identifier</w:t>
            </w:r>
            <w:r w:rsidR="00236CAA">
              <w:rPr>
                <w:rFonts w:eastAsia="Arial"/>
                <w:color w:val="000000"/>
              </w:rPr>
              <w:t xml:space="preserve"> column</w:t>
            </w:r>
            <w:r>
              <w:rPr>
                <w:rFonts w:eastAsia="Arial"/>
                <w:color w:val="000000"/>
              </w:rPr>
              <w:t xml:space="preserve"> to </w:t>
            </w:r>
            <w:r w:rsidRPr="00AF3E9B">
              <w:rPr>
                <w:rFonts w:eastAsia="Arial"/>
                <w:color w:val="000000"/>
              </w:rPr>
              <w:t>Appendix A Syntax</w:t>
            </w:r>
            <w:r>
              <w:rPr>
                <w:rFonts w:eastAsia="Arial"/>
                <w:color w:val="000000"/>
              </w:rPr>
              <w:t xml:space="preserve"> table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3663E479" w14:textId="0CF3B315" w:rsidR="004134C3" w:rsidRDefault="004134C3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B0C7D" w:rsidRPr="00437232" w14:paraId="10E2A277" w14:textId="77777777" w:rsidTr="008E01AF">
        <w:trPr>
          <w:trHeight w:val="850"/>
        </w:trPr>
        <w:tc>
          <w:tcPr>
            <w:tcW w:w="703" w:type="pct"/>
          </w:tcPr>
          <w:p w14:paraId="464E7363" w14:textId="11CBE0A0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1.0.7</w:t>
            </w:r>
          </w:p>
        </w:tc>
        <w:tc>
          <w:tcPr>
            <w:tcW w:w="1250" w:type="pct"/>
          </w:tcPr>
          <w:p w14:paraId="4AAD79A7" w14:textId="7F0DD19C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30 May 2022</w:t>
            </w:r>
          </w:p>
        </w:tc>
        <w:tc>
          <w:tcPr>
            <w:tcW w:w="3047" w:type="pct"/>
          </w:tcPr>
          <w:p w14:paraId="7C20C997" w14:textId="0D2EF40A" w:rsidR="0034315C" w:rsidRPr="0034315C" w:rsidRDefault="003B0C7D" w:rsidP="0034315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4F5692" w:rsidRPr="000C4056" w14:paraId="112C4AA3" w14:textId="77777777" w:rsidTr="004F5692">
        <w:trPr>
          <w:trHeight w:val="850"/>
        </w:trPr>
        <w:tc>
          <w:tcPr>
            <w:tcW w:w="703" w:type="pct"/>
          </w:tcPr>
          <w:p w14:paraId="197AEC9F" w14:textId="5D8A2075" w:rsidR="004F5692" w:rsidRDefault="004F5692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>1.0.8</w:t>
            </w:r>
          </w:p>
        </w:tc>
        <w:tc>
          <w:tcPr>
            <w:tcW w:w="1250" w:type="pct"/>
          </w:tcPr>
          <w:p w14:paraId="1BD44B8F" w14:textId="5514349C" w:rsidR="004F5692" w:rsidRDefault="00770B7B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21 </w:t>
            </w:r>
            <w:r w:rsidR="004F5692">
              <w:rPr>
                <w:rFonts w:eastAsia="Arial"/>
                <w:color w:val="000000"/>
              </w:rPr>
              <w:t>November 2022</w:t>
            </w:r>
          </w:p>
        </w:tc>
        <w:tc>
          <w:tcPr>
            <w:tcW w:w="3047" w:type="pct"/>
          </w:tcPr>
          <w:p w14:paraId="7A4F55D5" w14:textId="77777777" w:rsidR="004F5692" w:rsidRDefault="004F5692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extension.</w:t>
            </w:r>
          </w:p>
          <w:p w14:paraId="3A635E7A" w14:textId="509CC71C" w:rsidR="00B0500A" w:rsidRPr="000C4056" w:rsidRDefault="00B0500A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A2F3C" w:rsidRPr="000C4056" w14:paraId="3E4D0DAF" w14:textId="77777777" w:rsidTr="004F5692">
        <w:trPr>
          <w:trHeight w:val="850"/>
        </w:trPr>
        <w:tc>
          <w:tcPr>
            <w:tcW w:w="703" w:type="pct"/>
          </w:tcPr>
          <w:p w14:paraId="16A6E0E7" w14:textId="281A3478" w:rsidR="003A2F3C" w:rsidRDefault="003A2F3C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1.0.9</w:t>
            </w:r>
          </w:p>
        </w:tc>
        <w:tc>
          <w:tcPr>
            <w:tcW w:w="1250" w:type="pct"/>
          </w:tcPr>
          <w:p w14:paraId="1B0EC22E" w14:textId="17756087" w:rsidR="003A2F3C" w:rsidRPr="008572BA" w:rsidRDefault="008572BA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29 May 2023</w:t>
            </w:r>
          </w:p>
        </w:tc>
        <w:tc>
          <w:tcPr>
            <w:tcW w:w="3047" w:type="pct"/>
          </w:tcPr>
          <w:p w14:paraId="7D07A31E" w14:textId="157F90F3" w:rsidR="009E19D4" w:rsidRDefault="003A2F3C" w:rsidP="009E19D4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  <w:r w:rsidR="009C76D1">
              <w:rPr>
                <w:rFonts w:eastAsia="Arial"/>
                <w:color w:val="000000"/>
              </w:rPr>
              <w:t>.</w:t>
            </w:r>
          </w:p>
          <w:p w14:paraId="52F869E5" w14:textId="15E2932C" w:rsidR="009C7D5B" w:rsidRPr="00C84559" w:rsidRDefault="00510CFB" w:rsidP="009E19D4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cs="Arial"/>
              </w:rPr>
              <w:t>Corrected</w:t>
            </w:r>
            <w:r w:rsidR="009C7D5B" w:rsidRPr="009E19D4">
              <w:rPr>
                <w:rFonts w:cs="Arial"/>
              </w:rPr>
              <w:t xml:space="preserve"> rule names </w:t>
            </w:r>
            <w:r w:rsidR="009C7D5B" w:rsidRPr="009E19D4">
              <w:t>PEPPOL-EN16931-P0100-SB</w:t>
            </w:r>
            <w:r w:rsidR="009E19D4">
              <w:t xml:space="preserve">, </w:t>
            </w:r>
            <w:r w:rsidR="009C7D5B" w:rsidRPr="009E19D4">
              <w:t>PEPPOL-EN16931-P0101-SB to include ‘-</w:t>
            </w:r>
            <w:r w:rsidR="00F43AEF">
              <w:t>AUNZ</w:t>
            </w:r>
            <w:r w:rsidR="009C7D5B" w:rsidRPr="009E19D4">
              <w:t xml:space="preserve">’ suffix </w:t>
            </w:r>
            <w:r>
              <w:t xml:space="preserve">in the validation </w:t>
            </w:r>
            <w:proofErr w:type="gramStart"/>
            <w:r>
              <w:t>artefacts</w:t>
            </w:r>
            <w:proofErr w:type="gramEnd"/>
          </w:p>
          <w:p w14:paraId="203C2466" w14:textId="51B9EB33" w:rsidR="00401BA0" w:rsidRPr="00C84559" w:rsidRDefault="00D63A82" w:rsidP="00401BA0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Update to section </w:t>
            </w:r>
            <w:r w:rsidR="00401BA0">
              <w:rPr>
                <w:rFonts w:eastAsia="Arial" w:cs="Arial"/>
                <w:color w:val="000000"/>
              </w:rPr>
              <w:t xml:space="preserve">2.1 </w:t>
            </w:r>
            <w:r w:rsidR="00173D95">
              <w:rPr>
                <w:rFonts w:eastAsia="Arial" w:cs="Arial"/>
                <w:color w:val="000000"/>
              </w:rPr>
              <w:t xml:space="preserve">Self-Billing </w:t>
            </w:r>
            <w:r w:rsidR="00401BA0">
              <w:rPr>
                <w:rFonts w:eastAsia="Arial" w:cs="Arial"/>
                <w:color w:val="000000"/>
              </w:rPr>
              <w:t xml:space="preserve">and removal of sections 2.1.1 RCTI and </w:t>
            </w:r>
            <w:r>
              <w:rPr>
                <w:rFonts w:eastAsia="Arial" w:cs="Arial"/>
                <w:color w:val="000000"/>
              </w:rPr>
              <w:t>2.1.2. BCTI</w:t>
            </w:r>
          </w:p>
        </w:tc>
      </w:tr>
      <w:tr w:rsidR="003B2772" w:rsidRPr="000C4056" w14:paraId="75CA9554" w14:textId="77777777" w:rsidTr="004F5692">
        <w:trPr>
          <w:trHeight w:val="850"/>
        </w:trPr>
        <w:tc>
          <w:tcPr>
            <w:tcW w:w="703" w:type="pct"/>
          </w:tcPr>
          <w:p w14:paraId="65CCE029" w14:textId="4FC530A1" w:rsidR="003B2772" w:rsidRDefault="003B2772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1.0.10</w:t>
            </w:r>
          </w:p>
        </w:tc>
        <w:tc>
          <w:tcPr>
            <w:tcW w:w="1250" w:type="pct"/>
          </w:tcPr>
          <w:p w14:paraId="7FC072D0" w14:textId="04DF10BE" w:rsidR="003B2772" w:rsidRDefault="00E54B4D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</w:t>
            </w:r>
            <w:r w:rsidR="003B2772">
              <w:rPr>
                <w:rFonts w:eastAsia="Arial"/>
                <w:color w:val="000000"/>
              </w:rPr>
              <w:t xml:space="preserve"> November 2023</w:t>
            </w:r>
          </w:p>
        </w:tc>
        <w:tc>
          <w:tcPr>
            <w:tcW w:w="3047" w:type="pct"/>
          </w:tcPr>
          <w:p w14:paraId="15018150" w14:textId="0E731627" w:rsidR="003B2772" w:rsidRPr="00E54B4D" w:rsidRDefault="003B2772" w:rsidP="009C76D1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057DD8" w:rsidRPr="000C4056" w14:paraId="1DA7BA55" w14:textId="77777777" w:rsidTr="004F5692">
        <w:trPr>
          <w:trHeight w:val="850"/>
        </w:trPr>
        <w:tc>
          <w:tcPr>
            <w:tcW w:w="703" w:type="pct"/>
          </w:tcPr>
          <w:p w14:paraId="5902E5D5" w14:textId="0AF326EF" w:rsidR="00057DD8" w:rsidRDefault="00057DD8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1.0.11</w:t>
            </w:r>
          </w:p>
        </w:tc>
        <w:tc>
          <w:tcPr>
            <w:tcW w:w="1250" w:type="pct"/>
          </w:tcPr>
          <w:p w14:paraId="5F37F7F1" w14:textId="6D29C015" w:rsidR="00057DD8" w:rsidRDefault="00D67C93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03 Jun 2024</w:t>
            </w:r>
          </w:p>
        </w:tc>
        <w:tc>
          <w:tcPr>
            <w:tcW w:w="3047" w:type="pct"/>
          </w:tcPr>
          <w:p w14:paraId="012FB10C" w14:textId="63FAAEFB" w:rsidR="00057DD8" w:rsidRDefault="00057DD8" w:rsidP="009C76D1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066E18" w:rsidRPr="000C4056" w14:paraId="22636225" w14:textId="77777777" w:rsidTr="004F5692">
        <w:trPr>
          <w:trHeight w:val="850"/>
        </w:trPr>
        <w:tc>
          <w:tcPr>
            <w:tcW w:w="703" w:type="pct"/>
          </w:tcPr>
          <w:p w14:paraId="69AF094F" w14:textId="176DADAF" w:rsidR="00066E18" w:rsidRDefault="00066E18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1.0.12</w:t>
            </w:r>
          </w:p>
        </w:tc>
        <w:tc>
          <w:tcPr>
            <w:tcW w:w="1250" w:type="pct"/>
          </w:tcPr>
          <w:p w14:paraId="7B051AB3" w14:textId="3673A3E4" w:rsidR="00066E18" w:rsidRDefault="00066E18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</w:t>
            </w:r>
            <w:r w:rsidR="00E75C22">
              <w:rPr>
                <w:rFonts w:eastAsia="Arial"/>
                <w:color w:val="000000"/>
              </w:rPr>
              <w:t>2</w:t>
            </w:r>
            <w:r>
              <w:rPr>
                <w:rFonts w:eastAsia="Arial"/>
                <w:color w:val="000000"/>
              </w:rPr>
              <w:t xml:space="preserve"> Dec 2024</w:t>
            </w:r>
          </w:p>
        </w:tc>
        <w:tc>
          <w:tcPr>
            <w:tcW w:w="3047" w:type="pct"/>
          </w:tcPr>
          <w:p w14:paraId="627BE7C7" w14:textId="6DB27E1D" w:rsidR="003F691C" w:rsidRDefault="003F691C" w:rsidP="009F0B70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eastAsia="Arial" w:cs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extension.</w:t>
            </w:r>
            <w:r w:rsidDel="003F691C">
              <w:rPr>
                <w:rFonts w:eastAsia="Arial" w:cs="Arial"/>
                <w:color w:val="000000"/>
              </w:rPr>
              <w:t xml:space="preserve"> </w:t>
            </w:r>
          </w:p>
          <w:p w14:paraId="0DDE40AA" w14:textId="12FDAFE4" w:rsidR="00066E18" w:rsidRDefault="009F0B70" w:rsidP="009F0B70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Version 1.0.12 is the final iteration of the A-NZ Self-Billing Extension. </w:t>
            </w:r>
            <w:r w:rsidR="00FF3757" w:rsidRPr="009C6BD6">
              <w:rPr>
                <w:rFonts w:eastAsia="Arial" w:cs="Arial"/>
                <w:color w:val="000000"/>
              </w:rPr>
              <w:t>A</w:t>
            </w:r>
            <w:r w:rsidR="00FF3757" w:rsidRPr="00414DC0">
              <w:rPr>
                <w:rFonts w:cs="Arial"/>
                <w:color w:val="1F2328"/>
                <w:shd w:val="clear" w:color="auto" w:fill="FFFFFF"/>
              </w:rPr>
              <w:t xml:space="preserve">fter 15 May 2025 the A-NZ </w:t>
            </w:r>
            <w:proofErr w:type="spellStart"/>
            <w:r w:rsidR="00FF3757" w:rsidRPr="00414DC0">
              <w:rPr>
                <w:rFonts w:cs="Arial"/>
                <w:color w:val="1F2328"/>
                <w:shd w:val="clear" w:color="auto" w:fill="FFFFFF"/>
              </w:rPr>
              <w:t>Peppol</w:t>
            </w:r>
            <w:proofErr w:type="spellEnd"/>
            <w:r w:rsidR="00FF3757" w:rsidRPr="00414DC0">
              <w:rPr>
                <w:rFonts w:cs="Arial"/>
                <w:color w:val="1F2328"/>
                <w:shd w:val="clear" w:color="auto" w:fill="FFFFFF"/>
              </w:rPr>
              <w:t xml:space="preserve"> BIS 3.0 extensions will be phased out and no longer available for use.</w:t>
            </w:r>
          </w:p>
        </w:tc>
      </w:tr>
    </w:tbl>
    <w:p w14:paraId="42BDE74C" w14:textId="4DA3CB67" w:rsidR="004F5692" w:rsidRDefault="004F5692"/>
    <w:p w14:paraId="1FBF190B" w14:textId="77777777" w:rsidR="004F5692" w:rsidRDefault="004F5692">
      <w:r>
        <w:br w:type="page"/>
      </w:r>
    </w:p>
    <w:p w14:paraId="761CE5AB" w14:textId="77777777" w:rsidR="00437232" w:rsidRDefault="00437232"/>
    <w:bookmarkStart w:id="2" w:name="_Toc118189882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  <w:bookmarkEnd w:id="2"/>
        </w:p>
        <w:p w14:paraId="2F58B65F" w14:textId="1A8EFDD3" w:rsidR="00AE2E3B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118189881" w:history="1">
            <w:r w:rsidR="00AE2E3B" w:rsidRPr="00851390">
              <w:rPr>
                <w:rStyle w:val="Hyperlink"/>
                <w:rFonts w:eastAsia="Arial"/>
                <w:noProof/>
              </w:rPr>
              <w:t>Version Control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2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593878" w14:textId="471FE7DA" w:rsidR="00AE2E3B" w:rsidRDefault="00625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2" w:history="1">
            <w:r w:rsidR="00AE2E3B" w:rsidRPr="00851390">
              <w:rPr>
                <w:rStyle w:val="Hyperlink"/>
                <w:noProof/>
              </w:rPr>
              <w:t>Table of Contents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4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6ED84B40" w14:textId="6AAA5661" w:rsidR="00AE2E3B" w:rsidRDefault="00625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3" w:history="1">
            <w:r w:rsidR="00AE2E3B" w:rsidRPr="00851390">
              <w:rPr>
                <w:rStyle w:val="Hyperlink"/>
                <w:noProof/>
              </w:rPr>
              <w:t>1. Introduction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5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CBD999" w14:textId="61DE02A4" w:rsidR="00AE2E3B" w:rsidRDefault="00625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4" w:history="1">
            <w:r w:rsidR="00AE2E3B" w:rsidRPr="00851390">
              <w:rPr>
                <w:rStyle w:val="Hyperlink"/>
                <w:noProof/>
              </w:rPr>
              <w:t>2. A-NZ Approach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_Toc118189884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67AC74" w14:textId="567CA320" w:rsidR="00AE2E3B" w:rsidRDefault="006256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5" w:history="1">
            <w:r w:rsidR="00AE2E3B" w:rsidRPr="00851390">
              <w:rPr>
                <w:rStyle w:val="Hyperlink"/>
                <w:noProof/>
              </w:rPr>
              <w:t>2.1 Self-Billing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_Toc118189885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194FD14F" w14:textId="3472DB58" w:rsidR="00AE2E3B" w:rsidRDefault="006256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6" w:history="1">
            <w:r w:rsidR="00AE2E3B" w:rsidRPr="00851390">
              <w:rPr>
                <w:rStyle w:val="Hyperlink"/>
                <w:noProof/>
              </w:rPr>
              <w:t>2.1.1 RCTI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_Toc118189886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61D7E38" w14:textId="26119886" w:rsidR="00AE2E3B" w:rsidRDefault="006256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7" w:history="1">
            <w:r w:rsidR="00AE2E3B" w:rsidRPr="00851390">
              <w:rPr>
                <w:rStyle w:val="Hyperlink"/>
                <w:noProof/>
              </w:rPr>
              <w:t>2.1.2 BCTI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_Toc118189887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547FFEDD" w14:textId="2CA94F82" w:rsidR="00AE2E3B" w:rsidRDefault="006256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8" w:history="1">
            <w:r w:rsidR="00AE2E3B" w:rsidRPr="00851390">
              <w:rPr>
                <w:rStyle w:val="Hyperlink"/>
                <w:noProof/>
              </w:rPr>
              <w:t>2.2 Acknowledging Invoices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_Toc118189888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6139ED" w14:textId="44D8088F" w:rsidR="00AE2E3B" w:rsidRDefault="00625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9" w:history="1">
            <w:r w:rsidR="00AE2E3B" w:rsidRPr="00851390">
              <w:rPr>
                <w:rStyle w:val="Hyperlink"/>
                <w:noProof/>
              </w:rPr>
              <w:t>3. Identifying the A-NZ Self-Billing Extension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_Toc118189889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5F82A8A" w14:textId="72D7D4B1" w:rsidR="00AE2E3B" w:rsidRDefault="006256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0" w:history="1">
            <w:r w:rsidR="00AE2E3B" w:rsidRPr="00851390">
              <w:rPr>
                <w:rStyle w:val="Hyperlink"/>
                <w:noProof/>
              </w:rPr>
              <w:t>3.1 Identifying the self-billing invoice or credit note in UBL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_Toc118189890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3C84CA1F" w14:textId="234148C5" w:rsidR="00AE2E3B" w:rsidRDefault="00625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1" w:history="1">
            <w:r w:rsidR="00AE2E3B" w:rsidRPr="00851390">
              <w:rPr>
                <w:rStyle w:val="Hyperlink"/>
                <w:noProof/>
              </w:rPr>
              <w:t xml:space="preserve">Appendix A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A-NZ Self-Billing Syntax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9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4AE6DF" w14:textId="4F3D3BB6" w:rsidR="00AE2E3B" w:rsidRDefault="00625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2" w:history="1">
            <w:r w:rsidR="00AE2E3B" w:rsidRPr="00851390">
              <w:rPr>
                <w:rStyle w:val="Hyperlink"/>
                <w:noProof/>
              </w:rPr>
              <w:t xml:space="preserve">Appendix B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Business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87CA29" w14:textId="7B378CEF" w:rsidR="00AE2E3B" w:rsidRDefault="006256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3" w:history="1">
            <w:r w:rsidR="00AE2E3B" w:rsidRPr="00851390">
              <w:rPr>
                <w:rStyle w:val="Hyperlink"/>
                <w:noProof/>
              </w:rPr>
              <w:t>Updated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971CBD" w14:textId="08CDDA8F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3" w:name="_Toc7164683"/>
      <w:bookmarkStart w:id="4" w:name="_Toc7166076"/>
      <w:bookmarkStart w:id="5" w:name="_Toc7169920"/>
      <w:bookmarkStart w:id="6" w:name="_Toc7170814"/>
      <w:bookmarkStart w:id="7" w:name="_Toc7171091"/>
      <w:bookmarkStart w:id="8" w:name="_Toc7171116"/>
      <w:bookmarkStart w:id="9" w:name="_Toc10185797"/>
      <w:bookmarkStart w:id="10" w:name="_Toc118189883"/>
      <w:r>
        <w:lastRenderedPageBreak/>
        <w:t xml:space="preserve">1. </w:t>
      </w:r>
      <w:r w:rsidR="00FE20BF" w:rsidRPr="007759C8"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5AC4DC0" w14:textId="416A1D67" w:rsidR="009F0B70" w:rsidRDefault="009F0B70" w:rsidP="009F0B7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Please note - </w:t>
      </w:r>
      <w:r>
        <w:rPr>
          <w:rFonts w:eastAsia="Arial" w:cs="Arial"/>
          <w:color w:val="000000"/>
        </w:rPr>
        <w:t xml:space="preserve">From the </w:t>
      </w:r>
      <w:proofErr w:type="gramStart"/>
      <w:r>
        <w:rPr>
          <w:rFonts w:eastAsia="Arial" w:cs="Arial"/>
          <w:color w:val="000000"/>
        </w:rPr>
        <w:t>25</w:t>
      </w:r>
      <w:r w:rsidRPr="00A214C0">
        <w:rPr>
          <w:rFonts w:eastAsia="Arial" w:cs="Arial"/>
          <w:color w:val="000000"/>
          <w:vertAlign w:val="superscript"/>
        </w:rPr>
        <w:t>th</w:t>
      </w:r>
      <w:proofErr w:type="gramEnd"/>
      <w:r>
        <w:rPr>
          <w:rFonts w:eastAsia="Arial" w:cs="Arial"/>
          <w:color w:val="000000"/>
        </w:rPr>
        <w:t xml:space="preserve"> May 2025 this specification will become </w:t>
      </w:r>
      <w:r w:rsidR="00FF3757">
        <w:rPr>
          <w:rFonts w:eastAsia="Arial" w:cs="Arial"/>
          <w:color w:val="000000"/>
        </w:rPr>
        <w:t>phased out</w:t>
      </w:r>
      <w:r>
        <w:rPr>
          <w:rFonts w:eastAsia="Arial" w:cs="Arial"/>
          <w:color w:val="000000"/>
        </w:rPr>
        <w:t xml:space="preserve">. After this date </w:t>
      </w:r>
      <w:r>
        <w:rPr>
          <w:rFonts w:cs="Arial"/>
        </w:rPr>
        <w:t>the PINT A-NZ specifications, based on the PINT model (</w:t>
      </w:r>
      <w:proofErr w:type="gramStart"/>
      <w:r>
        <w:rPr>
          <w:rFonts w:cs="Arial"/>
        </w:rPr>
        <w:t>taking into account</w:t>
      </w:r>
      <w:proofErr w:type="gramEnd"/>
      <w:r>
        <w:rPr>
          <w:rFonts w:cs="Arial"/>
        </w:rPr>
        <w:t xml:space="preserve"> local tax requirements i.e. tax), must be used to support the implementation of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>in</w:t>
      </w:r>
      <w:r w:rsidRPr="0075153F">
        <w:rPr>
          <w:rFonts w:cs="Arial"/>
        </w:rPr>
        <w:t xml:space="preserve"> </w:t>
      </w:r>
      <w:r>
        <w:rPr>
          <w:rFonts w:cs="Arial"/>
        </w:rPr>
        <w:t xml:space="preserve">A-NZ. The link to the current PINT A-NZ specification can be found </w:t>
      </w:r>
      <w:hyperlink r:id="rId8" w:history="1">
        <w:r w:rsidRPr="0031347C">
          <w:rPr>
            <w:rStyle w:val="Hyperlink"/>
            <w:rFonts w:cs="Arial"/>
          </w:rPr>
          <w:t>here</w:t>
        </w:r>
      </w:hyperlink>
      <w:r>
        <w:rPr>
          <w:rFonts w:cs="Arial"/>
        </w:rPr>
        <w:t xml:space="preserve">. </w:t>
      </w:r>
    </w:p>
    <w:p w14:paraId="0405237E" w14:textId="77777777" w:rsidR="009F0B70" w:rsidRDefault="009F0B70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A339C74" w14:textId="04386EF3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 xml:space="preserve">in A-NZ based on existing </w:t>
      </w:r>
      <w:proofErr w:type="spellStart"/>
      <w:r w:rsidR="0072280F">
        <w:rPr>
          <w:rFonts w:cs="Arial"/>
        </w:rPr>
        <w:t>Peppol</w:t>
      </w:r>
      <w:proofErr w:type="spellEnd"/>
      <w:r w:rsidR="0072280F">
        <w:rPr>
          <w:rFonts w:cs="Arial"/>
        </w:rPr>
        <w:t xml:space="preserve"> </w:t>
      </w:r>
      <w:r>
        <w:rPr>
          <w:rFonts w:cs="Arial"/>
        </w:rPr>
        <w:t>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2CFE8F25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</w:t>
      </w:r>
      <w:proofErr w:type="spellStart"/>
      <w:r w:rsidR="0072280F">
        <w:t>Peppol</w:t>
      </w:r>
      <w:proofErr w:type="spellEnd"/>
      <w:r w:rsidR="0038426E" w:rsidRPr="00BE0C1A">
        <w:t xml:space="preserve">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 xml:space="preserve">, </w:t>
      </w:r>
      <w:r w:rsidR="00CD3B64" w:rsidRPr="00BE0C1A">
        <w:t>remov</w:t>
      </w:r>
      <w:r w:rsidR="00CD3B64">
        <w:t>ing,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proofErr w:type="spellStart"/>
      <w:r w:rsidR="0072280F">
        <w:t>Peppol</w:t>
      </w:r>
      <w:proofErr w:type="spellEnd"/>
      <w:r>
        <w:t xml:space="preserve">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</w:t>
      </w:r>
      <w:r w:rsidR="00CD3B64">
        <w:t>BIS and</w:t>
      </w:r>
      <w:r w:rsidR="0038426E">
        <w:t xml:space="preserve"> use all components of that specification unless specifically extended or restricted by the extension.</w:t>
      </w:r>
    </w:p>
    <w:p w14:paraId="14CDBAD9" w14:textId="3CC63D62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</w:t>
      </w:r>
      <w:r w:rsidR="003101B3" w:rsidRPr="0038426E">
        <w:rPr>
          <w:rFonts w:cs="Arial"/>
        </w:rPr>
        <w:t>whether</w:t>
      </w:r>
      <w:r w:rsidRPr="0038426E">
        <w:rPr>
          <w:rFonts w:cs="Arial"/>
        </w:rPr>
        <w:t xml:space="preserve">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</w:t>
      </w:r>
      <w:r w:rsidR="003101B3">
        <w:rPr>
          <w:rFonts w:cs="Arial"/>
        </w:rPr>
        <w:t xml:space="preserve"> (SMP)</w:t>
      </w:r>
      <w:r w:rsidRPr="0038426E">
        <w:rPr>
          <w:rFonts w:cs="Arial"/>
        </w:rPr>
        <w:t>.</w:t>
      </w:r>
    </w:p>
    <w:p w14:paraId="23B1FECD" w14:textId="45F54A9C" w:rsidR="0038426E" w:rsidRDefault="0038426E" w:rsidP="00767485">
      <w:pPr>
        <w:pStyle w:val="NoSpacing"/>
      </w:pPr>
      <w:bookmarkStart w:id="11" w:name="_Toc7169921"/>
      <w:bookmarkStart w:id="12" w:name="_Toc7170815"/>
      <w:bookmarkStart w:id="13" w:name="_Toc7171092"/>
      <w:bookmarkStart w:id="14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1A020F5F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268BE">
        <w:rPr>
          <w:rFonts w:cs="Arial"/>
          <w:b/>
          <w:bCs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hyperlink r:id="rId9" w:history="1">
        <w:r w:rsidR="0038426E" w:rsidRPr="00A268BE">
          <w:rPr>
            <w:rStyle w:val="Hyperlink"/>
            <w:i/>
            <w:iCs/>
          </w:rPr>
          <w:t xml:space="preserve">See </w:t>
        </w:r>
        <w:r w:rsidR="009E07D7" w:rsidRPr="00A268BE">
          <w:rPr>
            <w:rStyle w:val="Hyperlink"/>
            <w:i/>
            <w:iCs/>
          </w:rPr>
          <w:t>A-NZ Invoice Specification</w:t>
        </w:r>
      </w:hyperlink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5" w:name="_Toc7164686"/>
      <w:bookmarkStart w:id="16" w:name="_Toc7166079"/>
      <w:bookmarkStart w:id="17" w:name="_Toc7169924"/>
      <w:bookmarkStart w:id="18" w:name="_Toc7170818"/>
      <w:bookmarkStart w:id="19" w:name="_Toc7171095"/>
      <w:bookmarkStart w:id="20" w:name="_Toc7171120"/>
      <w:bookmarkEnd w:id="11"/>
      <w:bookmarkEnd w:id="12"/>
      <w:bookmarkEnd w:id="13"/>
      <w:bookmarkEnd w:id="14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1" w:name="_Toc10185798"/>
      <w:bookmarkStart w:id="22" w:name="_Toc118189884"/>
      <w:r>
        <w:lastRenderedPageBreak/>
        <w:t xml:space="preserve">2. </w:t>
      </w:r>
      <w:bookmarkEnd w:id="15"/>
      <w:bookmarkEnd w:id="16"/>
      <w:bookmarkEnd w:id="17"/>
      <w:bookmarkEnd w:id="18"/>
      <w:bookmarkEnd w:id="19"/>
      <w:bookmarkEnd w:id="20"/>
      <w:r>
        <w:t>A-NZ Approach</w:t>
      </w:r>
      <w:bookmarkEnd w:id="21"/>
      <w:bookmarkEnd w:id="22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3" w:name="_Toc7170821"/>
      <w:bookmarkStart w:id="24" w:name="_Toc7171123"/>
      <w:bookmarkStart w:id="25" w:name="_Toc7164689"/>
      <w:bookmarkStart w:id="26" w:name="_Toc7166082"/>
      <w:bookmarkStart w:id="27" w:name="_Toc7169927"/>
      <w:bookmarkStart w:id="28" w:name="_Toc7171098"/>
      <w:bookmarkStart w:id="29" w:name="_Toc10185799"/>
      <w:bookmarkStart w:id="30" w:name="_Toc118189885"/>
      <w:r w:rsidRPr="00E946B8">
        <w:t xml:space="preserve">2.1 </w:t>
      </w:r>
      <w:r w:rsidR="001772B0" w:rsidRPr="00E946B8">
        <w:t>Self-Billing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1697950" w14:textId="7FEC0714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  <w:r w:rsidR="005C7241" w:rsidRPr="005C7241">
        <w:t>This process occurs</w:t>
      </w:r>
      <w:r w:rsidR="005C7241">
        <w:t xml:space="preserve"> </w:t>
      </w:r>
      <w:r w:rsidR="005C7241" w:rsidRPr="005C7241">
        <w:t>based on mutual agreement between the supplier and buyer, or the document can be used as the agreement itself.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48122FF3" w:rsidR="00D13A6B" w:rsidRPr="00E902F5" w:rsidRDefault="00D13A6B" w:rsidP="009540E1">
      <w:pPr>
        <w:pStyle w:val="ListBullet"/>
      </w:pPr>
      <w:r w:rsidRPr="00E902F5">
        <w:t>Recipient</w:t>
      </w:r>
      <w:r w:rsidR="00126D1C">
        <w:t xml:space="preserve"> </w:t>
      </w:r>
      <w:r w:rsidRPr="00E902F5">
        <w:t>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46C62F93" w14:textId="77777777" w:rsidR="007C7092" w:rsidRPr="00E902F5" w:rsidRDefault="007C7092" w:rsidP="006125B7">
      <w:pPr>
        <w:pStyle w:val="ListBullet"/>
        <w:numPr>
          <w:ilvl w:val="0"/>
          <w:numId w:val="0"/>
        </w:numPr>
        <w:ind w:left="644"/>
      </w:pPr>
    </w:p>
    <w:p w14:paraId="62C34C1A" w14:textId="747823EA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</w:t>
      </w:r>
      <w:proofErr w:type="spellStart"/>
      <w:r>
        <w:t>e</w:t>
      </w:r>
      <w:r w:rsidR="00277D2D">
        <w:t>I</w:t>
      </w:r>
      <w:r>
        <w:t>nvoices</w:t>
      </w:r>
      <w:proofErr w:type="spellEnd"/>
      <w:r>
        <w:t xml:space="preserve">. </w:t>
      </w:r>
      <w:r w:rsidR="00AB1C7C" w:rsidRPr="00FE103E">
        <w:t xml:space="preserve">One difference to highlight is that </w:t>
      </w:r>
      <w:r w:rsidR="004E4D4C">
        <w:t>s</w:t>
      </w:r>
      <w:r w:rsidR="00AB1C7C" w:rsidRPr="00FE103E">
        <w:t>elf-</w:t>
      </w:r>
      <w:r w:rsidR="004E4D4C">
        <w:t>b</w:t>
      </w:r>
      <w:r w:rsidR="00AB1C7C" w:rsidRPr="00FE103E">
        <w:t>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proofErr w:type="gramStart"/>
      <w:r w:rsidR="00293403" w:rsidRPr="00A25818">
        <w:rPr>
          <w:i/>
        </w:rPr>
        <w:t>cac:AccountingSupplierParty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 xml:space="preserve">occurs at </w:t>
      </w:r>
      <w:r w:rsidR="00DA3AE0">
        <w:t xml:space="preserve">message header (Standard Business Document Header, </w:t>
      </w:r>
      <w:r w:rsidR="00C840BC">
        <w:t>SBDH</w:t>
      </w:r>
      <w:r w:rsidR="00DA3AE0">
        <w:t>)</w:t>
      </w:r>
      <w:r w:rsidR="00C840BC">
        <w:t xml:space="preserve"> level.</w:t>
      </w:r>
    </w:p>
    <w:p w14:paraId="0CB1D94C" w14:textId="636EB4FF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 w:rsidRPr="00A268BE">
        <w:rPr>
          <w:b/>
          <w:bCs/>
        </w:rPr>
        <w:t xml:space="preserve">Appendix A </w:t>
      </w:r>
      <w:r w:rsidR="00225B62" w:rsidRPr="00A268BE">
        <w:rPr>
          <w:rFonts w:cs="Arial"/>
          <w:b/>
          <w:bCs/>
        </w:rPr>
        <w:t>−</w:t>
      </w:r>
      <w:r w:rsidR="003D3D8F" w:rsidRPr="00A268BE">
        <w:rPr>
          <w:rFonts w:cs="Arial"/>
          <w:b/>
          <w:bCs/>
        </w:rPr>
        <w:t xml:space="preserve"> </w:t>
      </w:r>
      <w:r w:rsidR="007E6D07" w:rsidRPr="00A268BE">
        <w:rPr>
          <w:b/>
          <w:bCs/>
        </w:rPr>
        <w:t>A-NZ</w:t>
      </w:r>
      <w:r w:rsidR="00104B98" w:rsidRPr="00A268BE">
        <w:rPr>
          <w:b/>
          <w:bCs/>
        </w:rPr>
        <w:t xml:space="preserve"> Invoices Syntax</w:t>
      </w:r>
      <w:r w:rsidR="00104B98">
        <w:t xml:space="preserve"> </w:t>
      </w:r>
      <w:r w:rsidR="009274C3">
        <w:t xml:space="preserve">in the </w:t>
      </w:r>
      <w:hyperlink r:id="rId10" w:history="1">
        <w:r w:rsidR="00DA3AE0" w:rsidRPr="005C3F37">
          <w:rPr>
            <w:rStyle w:val="Hyperlink"/>
          </w:rPr>
          <w:t>A-NZ Invoice Specification</w:t>
        </w:r>
      </w:hyperlink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>and differences</w:t>
      </w:r>
      <w:r w:rsidR="002A7067">
        <w:t xml:space="preserve"> between the extensions</w:t>
      </w:r>
      <w:r w:rsidR="00104B98">
        <w:t xml:space="preserve">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41B4B2EE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SMP).</w:t>
      </w:r>
      <w:r>
        <w:t xml:space="preserve"> </w:t>
      </w:r>
    </w:p>
    <w:p w14:paraId="7BCAEF71" w14:textId="5F2FB947" w:rsidR="007C7092" w:rsidRDefault="007C7092" w:rsidP="007C7092">
      <w:r>
        <w:t>Information relating to Australian (AU) recipient-created tax invoice requirements can be found at</w:t>
      </w:r>
      <w:r w:rsidR="0065389E">
        <w:t xml:space="preserve"> </w:t>
      </w:r>
      <w:hyperlink r:id="rId11" w:anchor="RCTI_1" w:history="1">
        <w:r w:rsidR="0065389E" w:rsidRPr="0065389E">
          <w:rPr>
            <w:rStyle w:val="Hyperlink"/>
          </w:rPr>
          <w:t>https://www.ato.gov.au/Business/GST/Tax-invoices/#RCTI_1</w:t>
        </w:r>
      </w:hyperlink>
      <w:r>
        <w:t>.</w:t>
      </w:r>
    </w:p>
    <w:p w14:paraId="3350C879" w14:textId="60DD2B52" w:rsidR="007C7092" w:rsidRDefault="007C7092" w:rsidP="007C7092">
      <w:pPr>
        <w:rPr>
          <w:rStyle w:val="Hyperlink"/>
          <w:rFonts w:cs="Arial"/>
          <w:lang w:eastAsia="en-NZ"/>
        </w:rPr>
      </w:pPr>
      <w:r>
        <w:t>Information relating to New Zealand (NZ) buyer-created tax invoice requirements can be found at</w:t>
      </w:r>
      <w:r w:rsidR="0065389E">
        <w:t xml:space="preserve"> </w:t>
      </w:r>
      <w:hyperlink r:id="rId12" w:history="1">
        <w:r w:rsidR="0065389E" w:rsidRPr="0065389E">
          <w:rPr>
            <w:rStyle w:val="Hyperlink"/>
          </w:rPr>
          <w:t>https://www.ird.govt.nz/gst/tax-invoices-for-gst/buyer-created-taxable-supply-information</w:t>
        </w:r>
      </w:hyperlink>
      <w:r>
        <w:rPr>
          <w:rStyle w:val="Hyperlink"/>
          <w:rFonts w:cs="Arial"/>
          <w:lang w:eastAsia="en-NZ"/>
        </w:rPr>
        <w:t>.</w:t>
      </w:r>
    </w:p>
    <w:p w14:paraId="4C412F93" w14:textId="7635C63C" w:rsidR="007C7092" w:rsidRDefault="007C7092" w:rsidP="00900FC6">
      <w:r w:rsidRPr="009904E2">
        <w:t xml:space="preserve">The free text notes field </w:t>
      </w:r>
      <w:r w:rsidR="00067F4A">
        <w:t xml:space="preserve">can be </w:t>
      </w:r>
      <w:r w:rsidR="00067F4A" w:rsidRPr="00067F4A">
        <w:t xml:space="preserve">used to </w:t>
      </w:r>
      <w:r w:rsidR="00067F4A">
        <w:t>meet additional data requirements for RCTI and BCTI.</w:t>
      </w:r>
    </w:p>
    <w:p w14:paraId="6CB7B389" w14:textId="2B07C46A" w:rsidR="00027BAA" w:rsidRPr="00061522" w:rsidRDefault="0068367D" w:rsidP="00027BAA">
      <w:pPr>
        <w:pStyle w:val="Heading2"/>
      </w:pPr>
      <w:bookmarkStart w:id="31" w:name="_Toc330469249"/>
      <w:bookmarkStart w:id="32" w:name="_Toc457475322"/>
      <w:bookmarkStart w:id="33" w:name="_Toc7164693"/>
      <w:bookmarkStart w:id="34" w:name="_Toc7166086"/>
      <w:bookmarkStart w:id="35" w:name="_Toc7169931"/>
      <w:bookmarkStart w:id="36" w:name="_Toc7170825"/>
      <w:bookmarkStart w:id="37" w:name="_Toc7171102"/>
      <w:bookmarkStart w:id="38" w:name="_Toc7171127"/>
      <w:bookmarkStart w:id="39" w:name="_Toc10185802"/>
      <w:bookmarkStart w:id="40" w:name="_Toc118189888"/>
      <w:r>
        <w:lastRenderedPageBreak/>
        <w:t xml:space="preserve">2.2 </w:t>
      </w:r>
      <w:r w:rsidR="00027BAA" w:rsidRPr="00061522">
        <w:t>Acknowledging Invoices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2502257" w14:textId="2F628DC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790816F2" w:rsidR="00FA1B3F" w:rsidRPr="00303CD3" w:rsidRDefault="00FA1B3F" w:rsidP="00FA1B3F">
      <w:pPr>
        <w:keepNext/>
      </w:pPr>
      <w:r w:rsidRPr="00255063">
        <w:t xml:space="preserve">See the </w:t>
      </w:r>
      <w:hyperlink r:id="rId13" w:history="1">
        <w:proofErr w:type="spellStart"/>
        <w:r w:rsidR="0072280F">
          <w:rPr>
            <w:rStyle w:val="Hyperlink"/>
          </w:rPr>
          <w:t>Peppol</w:t>
        </w:r>
        <w:proofErr w:type="spellEnd"/>
        <w:r w:rsidRPr="0094027B">
          <w:rPr>
            <w:rStyle w:val="Hyperlink"/>
          </w:rPr>
          <w:t xml:space="preserve">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A268BE">
        <w:rPr>
          <w:b/>
          <w:bCs/>
        </w:rPr>
        <w:t>Note</w:t>
      </w:r>
      <w:r w:rsidRPr="00303CD3">
        <w:t xml:space="preserve">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1" w:name="_Toc10185803"/>
      <w:bookmarkStart w:id="42" w:name="_Toc118189889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1"/>
      <w:bookmarkEnd w:id="42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proofErr w:type="gramStart"/>
      <w:r w:rsidRPr="0076496E">
        <w:rPr>
          <w:i/>
        </w:rPr>
        <w:t>cbc:ProfileID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5401ACD5" w:rsidR="00225B62" w:rsidRDefault="00225B62" w:rsidP="00225B62">
      <w:r>
        <w:t xml:space="preserve">The UBL element </w:t>
      </w:r>
      <w:proofErr w:type="spellStart"/>
      <w:proofErr w:type="gramStart"/>
      <w:r w:rsidRPr="006125B7">
        <w:rPr>
          <w:i/>
        </w:rPr>
        <w:t>cbc:customizationID</w:t>
      </w:r>
      <w:proofErr w:type="spellEnd"/>
      <w:proofErr w:type="gram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proofErr w:type="gramStart"/>
            <w:r>
              <w:t>urn:fdc</w:t>
            </w:r>
            <w:proofErr w:type="gramEnd"/>
            <w:r>
              <w:t>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>Australian and New Zealand Self-</w:t>
            </w:r>
            <w:proofErr w:type="gramStart"/>
            <w:r>
              <w:t>billing</w:t>
            </w:r>
            <w:proofErr w:type="gramEnd"/>
            <w:r>
              <w:t xml:space="preserve">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proofErr w:type="gramStart"/>
            <w:r>
              <w:t>urn:cen.eu</w:t>
            </w:r>
            <w:proofErr w:type="gramEnd"/>
            <w:r>
              <w:t>:en16931:2017#conformant#urn:fdc:peppol.eu:2017:po</w:t>
            </w:r>
          </w:p>
          <w:p w14:paraId="5D16338E" w14:textId="4F2BB96B" w:rsidR="00225B62" w:rsidRDefault="00225B62" w:rsidP="00C818ED">
            <w:proofErr w:type="gramStart"/>
            <w:r>
              <w:t>acc:</w:t>
            </w:r>
            <w:r w:rsidR="00C818ED">
              <w:t>self</w:t>
            </w:r>
            <w:r>
              <w:t>billing</w:t>
            </w:r>
            <w:proofErr w:type="gramEnd"/>
            <w:r>
              <w:t>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5F503EE5" w:rsidR="00225B62" w:rsidRDefault="0068367D" w:rsidP="00225B62">
      <w:r w:rsidRPr="0068367D">
        <w:t>According to the eInvoicing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3B12DB0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&lt;cbc:ProfileID&gt; </w:t>
      </w:r>
      <w:r w:rsidR="00D929E7" w:rsidRPr="00D929E7">
        <w:rPr>
          <w:rFonts w:ascii="CourierNew" w:hAnsi="CourierNew" w:cs="CourierNew"/>
        </w:rPr>
        <w:t>urn:fdc:peppol.eu:2017:poacc:selfbilling:01:1.0</w:t>
      </w:r>
      <w:r>
        <w:rPr>
          <w:rFonts w:ascii="CourierNew" w:hAnsi="CourierNew" w:cs="CourierNew"/>
        </w:rPr>
        <w:t>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3" w:name="_Toc10185804"/>
      <w:bookmarkStart w:id="44" w:name="_Toc118189890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</w:t>
      </w:r>
      <w:proofErr w:type="gramStart"/>
      <w:r w:rsidR="00225B62">
        <w:t>UBL</w:t>
      </w:r>
      <w:bookmarkEnd w:id="43"/>
      <w:bookmarkEnd w:id="44"/>
      <w:proofErr w:type="gramEnd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4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79880729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</w:t>
      </w:r>
      <w:r w:rsidR="00C211B4">
        <w:t>S</w:t>
      </w:r>
      <w:r w:rsidRPr="00255063">
        <w:t xml:space="preserve">elf-billed </w:t>
      </w:r>
      <w:r>
        <w:t>credit note</w:t>
      </w:r>
    </w:p>
    <w:p w14:paraId="0CB60D5F" w14:textId="7287A4DB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 xml:space="preserve">389 – </w:t>
      </w:r>
      <w:r w:rsidR="00C211B4">
        <w:t>S</w:t>
      </w:r>
      <w:r w:rsidRPr="00255063">
        <w:t>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45" w:name="_Toc10185805"/>
      <w:bookmarkStart w:id="46" w:name="_Toc118189891"/>
      <w:bookmarkStart w:id="47" w:name="_Toc7170832"/>
      <w:bookmarkStart w:id="48" w:name="_Toc7171109"/>
      <w:bookmarkStart w:id="49" w:name="_Toc7171134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45"/>
      <w:bookmarkEnd w:id="46"/>
      <w:r w:rsidR="009A2444">
        <w:t xml:space="preserve"> </w:t>
      </w:r>
      <w:bookmarkEnd w:id="47"/>
      <w:bookmarkEnd w:id="48"/>
      <w:bookmarkEnd w:id="49"/>
    </w:p>
    <w:p w14:paraId="76B37A08" w14:textId="5BF399ED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  <w:r w:rsidR="00115DE3">
        <w:t>.</w:t>
      </w:r>
    </w:p>
    <w:p w14:paraId="2DE33A51" w14:textId="4E6B78BA" w:rsidR="001747A0" w:rsidRDefault="001747A0" w:rsidP="001747A0">
      <w:r w:rsidRPr="00A268BE">
        <w:rPr>
          <w:b/>
          <w:bCs/>
        </w:rPr>
        <w:t>Note</w:t>
      </w:r>
      <w:r>
        <w:t xml:space="preserve">: </w:t>
      </w:r>
      <w:r w:rsidR="007265A3">
        <w:t>T</w:t>
      </w:r>
      <w:r>
        <w:t xml:space="preserve">he </w:t>
      </w:r>
      <w:proofErr w:type="spellStart"/>
      <w:r w:rsidR="0072280F">
        <w:t>Peppol</w:t>
      </w:r>
      <w:proofErr w:type="spellEnd"/>
      <w:r>
        <w:t xml:space="preserve">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0A5FEFAD" w:rsidR="00870F91" w:rsidRDefault="00415769" w:rsidP="00B631E7">
      <w:pPr>
        <w:pStyle w:val="ListBullet"/>
      </w:pPr>
      <w:r w:rsidRPr="007373C4">
        <w:t>Cardinality is expressed as &lt;lowest number of occurrences allowed</w:t>
      </w:r>
      <w:proofErr w:type="gramStart"/>
      <w:r w:rsidRPr="007373C4">
        <w:t>&gt;..</w:t>
      </w:r>
      <w:proofErr w:type="gramEnd"/>
      <w:r w:rsidRPr="007373C4">
        <w:t>&lt;highest number of occurrences allowed&gt; with ‘0’ meaning nil and ‘n’ meaning ‘any number’. For example</w:t>
      </w:r>
      <w:r w:rsidR="00A422D2">
        <w:t xml:space="preserve"> </w:t>
      </w:r>
      <w:proofErr w:type="gramStart"/>
      <w:r w:rsidRPr="007373C4">
        <w:t>1..</w:t>
      </w:r>
      <w:proofErr w:type="gramEnd"/>
      <w:r w:rsidRPr="007373C4">
        <w:t xml:space="preserve">1 means there must be exactly one occurrence of the element. 0..1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46B53CA5" w14:textId="77777777" w:rsidR="00447D12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proofErr w:type="gramStart"/>
      <w:r w:rsidRPr="007373C4">
        <w:t>cac:ExternalReference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is </w:t>
      </w:r>
      <w:r>
        <w:t>not provided</w:t>
      </w:r>
      <w:r w:rsidRPr="007373C4">
        <w:t>, 43 is not required.</w:t>
      </w:r>
    </w:p>
    <w:p w14:paraId="31E472F7" w14:textId="77777777" w:rsidR="00447D12" w:rsidRPr="007373C4" w:rsidRDefault="00447D12" w:rsidP="00447D12">
      <w:pPr>
        <w:pStyle w:val="ListBullet"/>
      </w:pPr>
      <w:r>
        <w:t>Business Term (BT) IDs have been provided in column 3 for cross reference to the applicable UBL EN16931 business term.</w:t>
      </w:r>
    </w:p>
    <w:p w14:paraId="03981319" w14:textId="72C6BC5C" w:rsidR="00870F91" w:rsidRDefault="00870F91" w:rsidP="00447D12">
      <w:pPr>
        <w:pStyle w:val="ListBullet"/>
        <w:numPr>
          <w:ilvl w:val="0"/>
          <w:numId w:val="0"/>
        </w:numPr>
        <w:ind w:left="644"/>
      </w:pP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523"/>
        <w:gridCol w:w="557"/>
        <w:gridCol w:w="542"/>
        <w:gridCol w:w="2532"/>
        <w:gridCol w:w="1038"/>
        <w:gridCol w:w="5271"/>
        <w:gridCol w:w="3495"/>
      </w:tblGrid>
      <w:tr w:rsidR="000565F6" w:rsidRPr="00DA7972" w14:paraId="1EC69D58" w14:textId="77777777" w:rsidTr="00E2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2FE89E31" w14:textId="77777777" w:rsidR="000565F6" w:rsidRPr="00DA7972" w:rsidRDefault="000565F6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174" w:type="pct"/>
            <w:hideMark/>
          </w:tcPr>
          <w:p w14:paraId="0A097B8C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170" w:type="pct"/>
          </w:tcPr>
          <w:p w14:paraId="6B726FA1" w14:textId="719D7F28" w:rsidR="000565F6" w:rsidRPr="00AF3E9B" w:rsidRDefault="00AF3E9B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AF3E9B">
              <w:rPr>
                <w:rFonts w:eastAsia="Times New Roman" w:cs="Arial"/>
                <w:sz w:val="16"/>
                <w:szCs w:val="16"/>
                <w:lang w:eastAsia="en-AU"/>
              </w:rPr>
              <w:t>BT</w:t>
            </w:r>
          </w:p>
        </w:tc>
        <w:tc>
          <w:tcPr>
            <w:tcW w:w="794" w:type="pct"/>
            <w:hideMark/>
          </w:tcPr>
          <w:p w14:paraId="28D550C0" w14:textId="4FEDA8D2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26" w:type="pct"/>
            <w:hideMark/>
          </w:tcPr>
          <w:p w14:paraId="1A8793A5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652" w:type="pct"/>
            <w:hideMark/>
          </w:tcPr>
          <w:p w14:paraId="5E37D5C4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096" w:type="pct"/>
            <w:hideMark/>
          </w:tcPr>
          <w:p w14:paraId="1F109C38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0565F6" w:rsidRPr="00E27919" w14:paraId="6357E781" w14:textId="77777777" w:rsidTr="00E2546F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4C32DC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74" w:type="pct"/>
            <w:hideMark/>
          </w:tcPr>
          <w:p w14:paraId="5EC0085A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23B7647B" w14:textId="5A8A6C81" w:rsidR="000565F6" w:rsidRPr="00E2546F" w:rsidRDefault="00AF3E9B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794" w:type="pct"/>
            <w:hideMark/>
          </w:tcPr>
          <w:p w14:paraId="080D5577" w14:textId="2031708C" w:rsidR="000565F6" w:rsidRPr="00E27919" w:rsidRDefault="0062568E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1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029477DF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14C75DFC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</w:t>
            </w:r>
            <w:proofErr w:type="gramStart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cardinalities</w:t>
            </w:r>
            <w:proofErr w:type="gramEnd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and business rules to which the data contained in the instance document conforms. </w:t>
            </w:r>
          </w:p>
        </w:tc>
        <w:tc>
          <w:tcPr>
            <w:tcW w:w="1096" w:type="pct"/>
            <w:hideMark/>
          </w:tcPr>
          <w:p w14:paraId="145ED42C" w14:textId="77777777" w:rsidR="000565F6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  <w:p w14:paraId="3F6D5A53" w14:textId="14FE61E5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BR-01</w:t>
            </w:r>
          </w:p>
        </w:tc>
      </w:tr>
      <w:tr w:rsidR="000565F6" w:rsidRPr="00DA7972" w14:paraId="71B69D8A" w14:textId="77777777" w:rsidTr="00E2546F">
        <w:trPr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</w:tcPr>
          <w:p w14:paraId="0676F48B" w14:textId="221E58B3" w:rsidR="000565F6" w:rsidRPr="00DA7972" w:rsidRDefault="000565F6" w:rsidP="0068281D">
            <w:pPr>
              <w:spacing w:before="120" w:after="12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74" w:type="pct"/>
          </w:tcPr>
          <w:p w14:paraId="1C90332B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</w:p>
        </w:tc>
        <w:tc>
          <w:tcPr>
            <w:tcW w:w="170" w:type="pct"/>
          </w:tcPr>
          <w:p w14:paraId="242B076F" w14:textId="0617B253" w:rsidR="000565F6" w:rsidRPr="00E2546F" w:rsidRDefault="00AF3E9B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794" w:type="pct"/>
          </w:tcPr>
          <w:p w14:paraId="6307B4B6" w14:textId="4D96904F" w:rsidR="000565F6" w:rsidRPr="00DA7972" w:rsidRDefault="0062568E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hyperlink r:id="rId22" w:history="1">
              <w:proofErr w:type="spellStart"/>
              <w:proofErr w:type="gramStart"/>
              <w:r w:rsidR="000565F6"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cbc:ProfileID</w:t>
              </w:r>
              <w:proofErr w:type="spellEnd"/>
              <w:proofErr w:type="gramEnd"/>
            </w:hyperlink>
          </w:p>
        </w:tc>
        <w:tc>
          <w:tcPr>
            <w:tcW w:w="326" w:type="pct"/>
          </w:tcPr>
          <w:p w14:paraId="39AC9DE2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</w:tcPr>
          <w:p w14:paraId="2E31B2EE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Identifies the business process context in which the transaction appears, to enable the Buyer to process the Invoice in an appropriate way.</w:t>
            </w:r>
          </w:p>
        </w:tc>
        <w:tc>
          <w:tcPr>
            <w:tcW w:w="1096" w:type="pct"/>
          </w:tcPr>
          <w:p w14:paraId="33B9F808" w14:textId="006D0CC6" w:rsidR="000565F6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PEPPOL-EN16931-R001</w:t>
            </w:r>
          </w:p>
          <w:p w14:paraId="43AA2768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>-AUNZ-SB</w:t>
            </w:r>
          </w:p>
        </w:tc>
      </w:tr>
      <w:tr w:rsidR="000565F6" w:rsidRPr="00E27919" w14:paraId="050349C1" w14:textId="77777777" w:rsidTr="00E2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1F610824" w14:textId="77777777" w:rsidR="000565F6" w:rsidRPr="00E27919" w:rsidRDefault="000565F6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7</w:t>
            </w:r>
          </w:p>
        </w:tc>
        <w:tc>
          <w:tcPr>
            <w:tcW w:w="174" w:type="pct"/>
            <w:hideMark/>
          </w:tcPr>
          <w:p w14:paraId="688219BA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3541E92B" w14:textId="5620D4D2" w:rsidR="000565F6" w:rsidRPr="00E2546F" w:rsidRDefault="00AF3E9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4" w:type="pct"/>
            <w:hideMark/>
          </w:tcPr>
          <w:p w14:paraId="397D5A6D" w14:textId="21C8F3E9" w:rsidR="000565F6" w:rsidRDefault="0062568E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3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  <w:proofErr w:type="gramEnd"/>
            </w:hyperlink>
          </w:p>
          <w:p w14:paraId="6221EDCD" w14:textId="0D12865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066E18">
              <w:rPr>
                <w:color w:val="auto"/>
              </w:rPr>
              <w:fldChar w:fldCharType="begin"/>
            </w:r>
            <w:r w:rsidR="00066E18">
              <w:instrText>HYPERLINK "http://docs.peppol.eu/poacc/billing/3.0/syntax/ubl-creditnote/cbc-CreditNoteTypeCode/"</w:instrText>
            </w:r>
            <w:r w:rsidR="00066E18">
              <w:rPr>
                <w:color w:val="auto"/>
              </w:rPr>
              <w:fldChar w:fldCharType="separate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r w:rsidR="00066E18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26" w:type="pct"/>
            <w:hideMark/>
          </w:tcPr>
          <w:p w14:paraId="4AACCDA1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62597280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0565F6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24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2489B70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i.e. RCTI / BCTI) for self-billed </w:t>
            </w:r>
            <w:proofErr w:type="spellStart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e</w:t>
            </w:r>
            <w:r w:rsidR="00277D2D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I</w:t>
            </w: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nvoices</w:t>
            </w:r>
            <w:proofErr w:type="spellEnd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; or </w:t>
            </w:r>
          </w:p>
          <w:p w14:paraId="0ADA9109" w14:textId="5A0DF9E9" w:rsidR="000565F6" w:rsidRPr="00E27919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096" w:type="pct"/>
            <w:hideMark/>
          </w:tcPr>
          <w:p w14:paraId="7DFAAA02" w14:textId="0ECCA70A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0565F6" w:rsidRDefault="000565F6" w:rsidP="000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0565F6" w:rsidRDefault="0062568E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25" w:history="1">
              <w:r w:rsidR="000565F6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28CCE28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0565F6" w:rsidRPr="00E27919" w14:paraId="3BDE7290" w14:textId="77777777" w:rsidTr="00E2546F">
        <w:tblPrEx>
          <w:tblCellMar>
            <w:top w:w="28" w:type="dxa"/>
            <w:bottom w:w="28" w:type="dxa"/>
          </w:tblCellMar>
        </w:tblPrEx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634BCB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74" w:type="pct"/>
            <w:hideMark/>
          </w:tcPr>
          <w:p w14:paraId="4038A20E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1CB4AB50" w14:textId="17EC92CA" w:rsidR="000565F6" w:rsidRPr="00E2546F" w:rsidRDefault="00AF3E9B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794" w:type="pct"/>
            <w:hideMark/>
          </w:tcPr>
          <w:p w14:paraId="57ADCA4D" w14:textId="3C9AE0F3" w:rsidR="000565F6" w:rsidRPr="00E27919" w:rsidRDefault="0062568E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6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4136D64C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652" w:type="pct"/>
            <w:hideMark/>
          </w:tcPr>
          <w:p w14:paraId="6A789D0A" w14:textId="77777777" w:rsidR="000565F6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6FC7F1C8" w14:textId="70F7ADD0" w:rsidR="000565F6" w:rsidRPr="00F94165" w:rsidRDefault="000565F6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Note: For Australia and New Zealand, this field is </w:t>
            </w:r>
            <w:bookmarkStart w:id="50" w:name="_Hlk134797017"/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used to include the agreement between the buyer and supplier for issuing a self-billed invoice</w:t>
            </w:r>
            <w:bookmarkEnd w:id="50"/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.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096" w:type="pct"/>
            <w:hideMark/>
          </w:tcPr>
          <w:p w14:paraId="64936D21" w14:textId="25EE0A8D" w:rsidR="000565F6" w:rsidRPr="00E27919" w:rsidRDefault="000565F6" w:rsidP="00E1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7"/>
          <w:footerReference w:type="default" r:id="rId2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1" w:name="_Toc7170833"/>
      <w:bookmarkStart w:id="52" w:name="_Toc7171111"/>
      <w:bookmarkStart w:id="53" w:name="_Toc7171135"/>
      <w:bookmarkStart w:id="54" w:name="_Toc10185806"/>
      <w:bookmarkStart w:id="55" w:name="_Toc118189892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1"/>
      <w:bookmarkEnd w:id="52"/>
      <w:bookmarkEnd w:id="53"/>
      <w:bookmarkEnd w:id="54"/>
      <w:bookmarkEnd w:id="55"/>
    </w:p>
    <w:p w14:paraId="722F3B49" w14:textId="5C0B9405" w:rsidR="004E325B" w:rsidRDefault="004E325B" w:rsidP="004E325B">
      <w:bookmarkStart w:id="56" w:name="_Toc10022787"/>
      <w:bookmarkStart w:id="57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2AFDE534" w:rsidR="003B20D5" w:rsidRDefault="00D25B90" w:rsidP="003B20D5">
      <w:pPr>
        <w:pStyle w:val="Heading2"/>
      </w:pPr>
      <w:bookmarkStart w:id="58" w:name="_Toc10185807"/>
      <w:bookmarkStart w:id="59" w:name="_Toc118189893"/>
      <w:r>
        <w:t xml:space="preserve">Updated </w:t>
      </w:r>
      <w:r w:rsidR="003B20D5">
        <w:t>rules</w:t>
      </w:r>
      <w:bookmarkEnd w:id="56"/>
      <w:bookmarkEnd w:id="57"/>
      <w:bookmarkEnd w:id="58"/>
      <w:bookmarkEnd w:id="59"/>
    </w:p>
    <w:p w14:paraId="65F1AC9B" w14:textId="6E4755D2" w:rsidR="003B20D5" w:rsidRDefault="003B20D5" w:rsidP="003B20D5">
      <w:r>
        <w:t>The f</w:t>
      </w:r>
      <w:r w:rsidR="00F45648">
        <w:t xml:space="preserve">ollowing table includes all </w:t>
      </w:r>
      <w:r>
        <w:t>rules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either a different error message </w:t>
      </w:r>
      <w:proofErr w:type="gramStart"/>
      <w:r w:rsidR="004E325B" w:rsidRPr="004E325B">
        <w:t>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547790" w14:paraId="5DB5AFEA" w14:textId="77777777" w:rsidTr="0054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67E45E65" w14:textId="77777777" w:rsidR="00527CA4" w:rsidRPr="00547790" w:rsidRDefault="00527CA4" w:rsidP="00547790">
            <w:pPr>
              <w:spacing w:line="220" w:lineRule="atLeast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hideMark/>
          </w:tcPr>
          <w:p w14:paraId="3F0640E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</w:tcPr>
          <w:p w14:paraId="6DF3B8B3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</w:tcPr>
          <w:p w14:paraId="3A01976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hideMark/>
          </w:tcPr>
          <w:p w14:paraId="6A190A86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547790" w:rsidRPr="00547790" w14:paraId="00E844A4" w14:textId="77777777" w:rsidTr="00461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8F89CC" w14:textId="77777777" w:rsidR="00547790" w:rsidRPr="00547790" w:rsidRDefault="0062568E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9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58A65344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7FD530C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[PEPPOL-EN16931-P0100-AUNZ-SB]</w:t>
            </w:r>
            <w:r w:rsidRPr="00547790">
              <w:rPr>
                <w:sz w:val="16"/>
                <w:szCs w:val="16"/>
              </w:rPr>
              <w:t xml:space="preserve"> Self-billed invoice type code MUST be set according to the A-NZ profile.</w:t>
            </w:r>
          </w:p>
          <w:p w14:paraId="30BDB476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InvoiceTypeCode</w:t>
            </w:r>
            <w:proofErr w:type="spellEnd"/>
            <w:r w:rsidRPr="00547790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78C0EF1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1CA1A94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47790" w:rsidRPr="00547790" w14:paraId="3C6A51D9" w14:textId="77777777" w:rsidTr="00461D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9E095D" w14:textId="77777777" w:rsidR="00547790" w:rsidRPr="00547790" w:rsidRDefault="0062568E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30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EDA210E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41330D7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[PEPPOL-EN16931-P0101-AUNZ-SB]</w:t>
            </w:r>
            <w:r w:rsidRPr="00547790">
              <w:rPr>
                <w:sz w:val="16"/>
                <w:szCs w:val="16"/>
              </w:rPr>
              <w:t xml:space="preserve"> Self-billed credit note type code MUST be set according to the A-NZ profile.</w:t>
            </w:r>
          </w:p>
          <w:p w14:paraId="5E97B5E3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CreditNoteTypeCode</w:t>
            </w:r>
            <w:proofErr w:type="spellEnd"/>
            <w:r w:rsidRPr="00547790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7D29BFBF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45ADED0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DD032D" w:rsidRPr="00547790" w14:paraId="357CDD96" w14:textId="77777777" w:rsidTr="0054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7465F0" w14:textId="77777777" w:rsidR="00DD032D" w:rsidRPr="00547790" w:rsidRDefault="0062568E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31" w:history="1">
              <w:r w:rsidR="00DD032D" w:rsidRPr="00547790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0A776050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 xml:space="preserve">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:en16931:2017#compliant#urn:fdc:peppol.eu:2017:poacc:billing:3.0</w:t>
            </w:r>
          </w:p>
        </w:tc>
        <w:tc>
          <w:tcPr>
            <w:tcW w:w="5174" w:type="dxa"/>
          </w:tcPr>
          <w:p w14:paraId="20B6926A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[PEPPOL-EN16931-R004-AUNZ-SB]</w:t>
            </w:r>
            <w:r w:rsidRPr="00547790">
              <w:rPr>
                <w:sz w:val="16"/>
                <w:szCs w:val="16"/>
              </w:rPr>
              <w:t xml:space="preserve"> 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:en16931:2017#conformant#urn:fdc:peppol.eu:2017:po</w:t>
            </w:r>
          </w:p>
          <w:p w14:paraId="171BAC93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547790">
              <w:rPr>
                <w:sz w:val="16"/>
                <w:szCs w:val="16"/>
              </w:rPr>
              <w:t>acc:selfbilling</w:t>
            </w:r>
            <w:proofErr w:type="gramEnd"/>
            <w:r w:rsidRPr="00547790">
              <w:rPr>
                <w:sz w:val="16"/>
                <w:szCs w:val="16"/>
              </w:rPr>
              <w:t>:international:aunz:3.0.</w:t>
            </w:r>
          </w:p>
        </w:tc>
        <w:tc>
          <w:tcPr>
            <w:tcW w:w="992" w:type="dxa"/>
          </w:tcPr>
          <w:p w14:paraId="1BB8427F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 w:rsidDel="00A73F99">
              <w:rPr>
                <w:rFonts w:cs="Arial"/>
                <w:sz w:val="16"/>
                <w:szCs w:val="16"/>
              </w:rPr>
              <w:t>Changed</w:t>
            </w:r>
            <w:r w:rsidRPr="00547790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06DBB35E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547790" w14:paraId="2FC709A9" w14:textId="77777777" w:rsidTr="005477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FBFCA4" w14:textId="571B1B53" w:rsidR="00443585" w:rsidRPr="00547790" w:rsidDel="009D6DFC" w:rsidRDefault="0062568E" w:rsidP="00547790">
            <w:pPr>
              <w:spacing w:line="220" w:lineRule="atLeast"/>
              <w:rPr>
                <w:rFonts w:cs="Arial"/>
                <w:sz w:val="16"/>
                <w:szCs w:val="16"/>
              </w:rPr>
            </w:pPr>
            <w:hyperlink r:id="rId32" w:history="1">
              <w:r w:rsidR="000707B0" w:rsidRPr="00547790">
                <w:rPr>
                  <w:rStyle w:val="Hyperlink"/>
                  <w:rFonts w:eastAsia="Times New Roman" w:cs="Arial"/>
                  <w:b w:val="0"/>
                  <w:bCs w:val="0"/>
                  <w:sz w:val="16"/>
                  <w:szCs w:val="16"/>
                  <w:lang w:eastAsia="en-AU"/>
                </w:rPr>
                <w:t>PEPPOL-EN16931-R007</w:t>
              </w:r>
            </w:hyperlink>
          </w:p>
        </w:tc>
        <w:tc>
          <w:tcPr>
            <w:tcW w:w="5174" w:type="dxa"/>
          </w:tcPr>
          <w:p w14:paraId="77181D14" w14:textId="5C668A70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Business process MUST be in the format '</w:t>
            </w:r>
            <w:proofErr w:type="gramStart"/>
            <w:r w:rsidRPr="00547790">
              <w:rPr>
                <w:sz w:val="16"/>
                <w:szCs w:val="16"/>
              </w:rPr>
              <w:t>urn:fdc</w:t>
            </w:r>
            <w:proofErr w:type="gramEnd"/>
            <w:r w:rsidRPr="00547790">
              <w:rPr>
                <w:sz w:val="16"/>
                <w:szCs w:val="16"/>
              </w:rPr>
              <w:t>:peppol.eu:2017:poacc:billing:NN:1.0' where NN indicates the process number.</w:t>
            </w:r>
          </w:p>
        </w:tc>
        <w:tc>
          <w:tcPr>
            <w:tcW w:w="5174" w:type="dxa"/>
          </w:tcPr>
          <w:p w14:paraId="7320920E" w14:textId="587CA1AF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[PEPPOL-EN16931-R007-AUNZ-SB] Business process MUST be in the format '</w:t>
            </w:r>
            <w:proofErr w:type="gramStart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urn:fdc</w:t>
            </w:r>
            <w:proofErr w:type="gramEnd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:peppol.eu:2017:poacc:selfbilling:NN:1.0' where NN indicates the process number.</w:t>
            </w:r>
          </w:p>
        </w:tc>
        <w:tc>
          <w:tcPr>
            <w:tcW w:w="992" w:type="dxa"/>
          </w:tcPr>
          <w:p w14:paraId="439024C9" w14:textId="2511E2F6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</w:tcPr>
          <w:p w14:paraId="0BE01D0C" w14:textId="3A3CB4F5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3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614B" w14:textId="77777777" w:rsidR="00634A22" w:rsidRDefault="00634A22" w:rsidP="00A8740B">
      <w:pPr>
        <w:spacing w:after="0" w:line="240" w:lineRule="auto"/>
      </w:pPr>
      <w:r>
        <w:separator/>
      </w:r>
    </w:p>
  </w:endnote>
  <w:endnote w:type="continuationSeparator" w:id="0">
    <w:p w14:paraId="6574F39F" w14:textId="77777777" w:rsidR="00634A22" w:rsidRDefault="00634A22" w:rsidP="00A8740B">
      <w:pPr>
        <w:spacing w:after="0" w:line="240" w:lineRule="auto"/>
      </w:pPr>
      <w:r>
        <w:continuationSeparator/>
      </w:r>
    </w:p>
  </w:endnote>
  <w:endnote w:type="continuationNotice" w:id="1">
    <w:p w14:paraId="3AA89837" w14:textId="77777777" w:rsidR="00634A22" w:rsidRDefault="00634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448C" w14:textId="77777777" w:rsidR="00675CB4" w:rsidRDefault="00675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6BFE" w14:textId="063FC6E9" w:rsidR="00FD50E9" w:rsidRDefault="005866B7" w:rsidP="005809FB">
    <w:pPr>
      <w:pStyle w:val="Footer"/>
      <w:pBdr>
        <w:top w:val="single" w:sz="4" w:space="1" w:color="auto"/>
      </w:pBdr>
      <w:tabs>
        <w:tab w:val="clear" w:pos="4513"/>
        <w:tab w:val="center" w:pos="4536"/>
      </w:tabs>
    </w:pPr>
    <w:r>
      <w:t>OFFICIAL</w:t>
    </w:r>
    <w:r w:rsidR="00547790">
      <w:tab/>
    </w:r>
    <w:r w:rsidR="00FD50E9">
      <w:t xml:space="preserve">A-NZ Self-Billing </w:t>
    </w:r>
    <w:r w:rsidR="00045D4F">
      <w:t>Extension</w:t>
    </w:r>
    <w:r w:rsidR="00FD50E9">
      <w:ptab w:relativeTo="margin" w:alignment="right" w:leader="none"/>
    </w:r>
    <w:r w:rsidR="00FD50E9">
      <w:fldChar w:fldCharType="begin"/>
    </w:r>
    <w:r w:rsidR="00FD50E9">
      <w:instrText xml:space="preserve"> PAGE   \* MERGEFORMAT </w:instrText>
    </w:r>
    <w:r w:rsidR="00FD50E9">
      <w:fldChar w:fldCharType="separate"/>
    </w:r>
    <w:r w:rsidR="00F45648">
      <w:rPr>
        <w:noProof/>
      </w:rPr>
      <w:t>10</w:t>
    </w:r>
    <w:r w:rsidR="00FD50E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9A1D" w14:textId="77777777" w:rsidR="00675CB4" w:rsidRDefault="00675C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4DA1" w14:textId="3E962CDE" w:rsidR="00547790" w:rsidRDefault="008C7676" w:rsidP="00547790">
    <w:pPr>
      <w:pStyle w:val="Footer"/>
      <w:pBdr>
        <w:top w:val="single" w:sz="4" w:space="1" w:color="auto"/>
      </w:pBdr>
      <w:tabs>
        <w:tab w:val="clear" w:pos="4513"/>
        <w:tab w:val="center" w:pos="6946"/>
      </w:tabs>
    </w:pPr>
    <w:r>
      <w:t>OFFICIAL</w:t>
    </w:r>
    <w:r w:rsidR="00547790">
      <w:tab/>
      <w:t>A-NZ Self-Billing Extension</w:t>
    </w:r>
    <w:r w:rsidR="00547790">
      <w:ptab w:relativeTo="margin" w:alignment="right" w:leader="none"/>
    </w:r>
    <w:r w:rsidR="00547790">
      <w:fldChar w:fldCharType="begin"/>
    </w:r>
    <w:r w:rsidR="00547790">
      <w:instrText xml:space="preserve"> PAGE   \* MERGEFORMAT </w:instrText>
    </w:r>
    <w:r w:rsidR="00547790">
      <w:fldChar w:fldCharType="separate"/>
    </w:r>
    <w:r w:rsidR="00547790">
      <w:rPr>
        <w:noProof/>
      </w:rPr>
      <w:t>10</w:t>
    </w:r>
    <w:r w:rsidR="0054779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7B8A" w14:textId="77777777" w:rsidR="00634A22" w:rsidRDefault="00634A22" w:rsidP="00A8740B">
      <w:pPr>
        <w:spacing w:after="0" w:line="240" w:lineRule="auto"/>
      </w:pPr>
      <w:r>
        <w:separator/>
      </w:r>
    </w:p>
  </w:footnote>
  <w:footnote w:type="continuationSeparator" w:id="0">
    <w:p w14:paraId="29CD26BA" w14:textId="77777777" w:rsidR="00634A22" w:rsidRDefault="00634A22" w:rsidP="00A8740B">
      <w:pPr>
        <w:spacing w:after="0" w:line="240" w:lineRule="auto"/>
      </w:pPr>
      <w:r>
        <w:continuationSeparator/>
      </w:r>
    </w:p>
  </w:footnote>
  <w:footnote w:type="continuationNotice" w:id="1">
    <w:p w14:paraId="226DDC20" w14:textId="77777777" w:rsidR="00634A22" w:rsidRDefault="00634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C527" w14:textId="77777777" w:rsidR="00675CB4" w:rsidRDefault="00675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5E8C" w14:textId="77777777" w:rsidR="00675CB4" w:rsidRDefault="00675C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6978"/>
      <w:gridCol w:w="6970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6978"/>
      <w:gridCol w:w="6970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 w15:restartNumberingAfterBreak="0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E7D7553"/>
    <w:multiLevelType w:val="hybridMultilevel"/>
    <w:tmpl w:val="5A70F26A"/>
    <w:lvl w:ilvl="0" w:tplc="48928928">
      <w:start w:val="29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7" w:hanging="360"/>
      </w:pPr>
    </w:lvl>
    <w:lvl w:ilvl="2" w:tplc="0C09001B" w:tentative="1">
      <w:start w:val="1"/>
      <w:numFmt w:val="lowerRoman"/>
      <w:lvlText w:val="%3."/>
      <w:lvlJc w:val="right"/>
      <w:pPr>
        <w:ind w:left="2027" w:hanging="180"/>
      </w:pPr>
    </w:lvl>
    <w:lvl w:ilvl="3" w:tplc="0C09000F" w:tentative="1">
      <w:start w:val="1"/>
      <w:numFmt w:val="decimal"/>
      <w:lvlText w:val="%4."/>
      <w:lvlJc w:val="left"/>
      <w:pPr>
        <w:ind w:left="2747" w:hanging="360"/>
      </w:pPr>
    </w:lvl>
    <w:lvl w:ilvl="4" w:tplc="0C090019" w:tentative="1">
      <w:start w:val="1"/>
      <w:numFmt w:val="lowerLetter"/>
      <w:lvlText w:val="%5."/>
      <w:lvlJc w:val="left"/>
      <w:pPr>
        <w:ind w:left="3467" w:hanging="360"/>
      </w:pPr>
    </w:lvl>
    <w:lvl w:ilvl="5" w:tplc="0C09001B" w:tentative="1">
      <w:start w:val="1"/>
      <w:numFmt w:val="lowerRoman"/>
      <w:lvlText w:val="%6."/>
      <w:lvlJc w:val="right"/>
      <w:pPr>
        <w:ind w:left="4187" w:hanging="180"/>
      </w:pPr>
    </w:lvl>
    <w:lvl w:ilvl="6" w:tplc="0C09000F" w:tentative="1">
      <w:start w:val="1"/>
      <w:numFmt w:val="decimal"/>
      <w:lvlText w:val="%7."/>
      <w:lvlJc w:val="left"/>
      <w:pPr>
        <w:ind w:left="4907" w:hanging="360"/>
      </w:pPr>
    </w:lvl>
    <w:lvl w:ilvl="7" w:tplc="0C090019" w:tentative="1">
      <w:start w:val="1"/>
      <w:numFmt w:val="lowerLetter"/>
      <w:lvlText w:val="%8."/>
      <w:lvlJc w:val="left"/>
      <w:pPr>
        <w:ind w:left="5627" w:hanging="360"/>
      </w:pPr>
    </w:lvl>
    <w:lvl w:ilvl="8" w:tplc="0C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44E703C5"/>
    <w:multiLevelType w:val="hybridMultilevel"/>
    <w:tmpl w:val="34D2D5E2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6ED107B7"/>
    <w:multiLevelType w:val="hybridMultilevel"/>
    <w:tmpl w:val="B8E490DE"/>
    <w:lvl w:ilvl="0" w:tplc="3522E3D4">
      <w:start w:val="1"/>
      <w:numFmt w:val="decimal"/>
      <w:lvlText w:val="%1."/>
      <w:lvlJc w:val="left"/>
      <w:pPr>
        <w:ind w:left="465" w:hanging="465"/>
      </w:pPr>
      <w:rPr>
        <w:rFonts w:hint="default"/>
        <w:sz w:val="5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B4EC7"/>
    <w:multiLevelType w:val="hybridMultilevel"/>
    <w:tmpl w:val="E71E0960"/>
    <w:lvl w:ilvl="0" w:tplc="0C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17191439">
    <w:abstractNumId w:val="1"/>
  </w:num>
  <w:num w:numId="2" w16cid:durableId="1354768771">
    <w:abstractNumId w:val="5"/>
  </w:num>
  <w:num w:numId="3" w16cid:durableId="1312252010">
    <w:abstractNumId w:val="0"/>
    <w:lvlOverride w:ilvl="0">
      <w:startOverride w:val="1"/>
    </w:lvlOverride>
  </w:num>
  <w:num w:numId="4" w16cid:durableId="711228185">
    <w:abstractNumId w:val="2"/>
  </w:num>
  <w:num w:numId="5" w16cid:durableId="931665304">
    <w:abstractNumId w:val="6"/>
  </w:num>
  <w:num w:numId="6" w16cid:durableId="852106650">
    <w:abstractNumId w:val="7"/>
  </w:num>
  <w:num w:numId="7" w16cid:durableId="1304189439">
    <w:abstractNumId w:val="4"/>
  </w:num>
  <w:num w:numId="8" w16cid:durableId="1594320562">
    <w:abstractNumId w:val="9"/>
  </w:num>
  <w:num w:numId="9" w16cid:durableId="590243399">
    <w:abstractNumId w:val="3"/>
  </w:num>
  <w:num w:numId="10" w16cid:durableId="64108177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DateAndTime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B"/>
    <w:rsid w:val="00005B25"/>
    <w:rsid w:val="00005C0C"/>
    <w:rsid w:val="000123A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565F6"/>
    <w:rsid w:val="00057DD8"/>
    <w:rsid w:val="00061522"/>
    <w:rsid w:val="00062681"/>
    <w:rsid w:val="0006599B"/>
    <w:rsid w:val="00065F05"/>
    <w:rsid w:val="00066E18"/>
    <w:rsid w:val="00067F4A"/>
    <w:rsid w:val="000707B0"/>
    <w:rsid w:val="00071775"/>
    <w:rsid w:val="00074498"/>
    <w:rsid w:val="00074916"/>
    <w:rsid w:val="00076A34"/>
    <w:rsid w:val="00076E88"/>
    <w:rsid w:val="000777D8"/>
    <w:rsid w:val="000804EF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3D56"/>
    <w:rsid w:val="000A4C7C"/>
    <w:rsid w:val="000A5263"/>
    <w:rsid w:val="000A7014"/>
    <w:rsid w:val="000A7AB3"/>
    <w:rsid w:val="000A7B9C"/>
    <w:rsid w:val="000B18CC"/>
    <w:rsid w:val="000B1B35"/>
    <w:rsid w:val="000B287D"/>
    <w:rsid w:val="000B3EE4"/>
    <w:rsid w:val="000B4140"/>
    <w:rsid w:val="000C123F"/>
    <w:rsid w:val="000C4056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3DA5"/>
    <w:rsid w:val="00104182"/>
    <w:rsid w:val="00104B98"/>
    <w:rsid w:val="00111443"/>
    <w:rsid w:val="00111D38"/>
    <w:rsid w:val="001135F9"/>
    <w:rsid w:val="001159BD"/>
    <w:rsid w:val="00115DE3"/>
    <w:rsid w:val="00123BCB"/>
    <w:rsid w:val="00124971"/>
    <w:rsid w:val="00124F9F"/>
    <w:rsid w:val="00124FD0"/>
    <w:rsid w:val="00125363"/>
    <w:rsid w:val="00125B8C"/>
    <w:rsid w:val="00126D1C"/>
    <w:rsid w:val="001271D3"/>
    <w:rsid w:val="001303CE"/>
    <w:rsid w:val="00130BCD"/>
    <w:rsid w:val="00131A44"/>
    <w:rsid w:val="00131B4A"/>
    <w:rsid w:val="00131EC1"/>
    <w:rsid w:val="00135299"/>
    <w:rsid w:val="00136614"/>
    <w:rsid w:val="0013670B"/>
    <w:rsid w:val="0014548B"/>
    <w:rsid w:val="00145547"/>
    <w:rsid w:val="00145945"/>
    <w:rsid w:val="001468A3"/>
    <w:rsid w:val="00150E43"/>
    <w:rsid w:val="0015245E"/>
    <w:rsid w:val="0015433D"/>
    <w:rsid w:val="0015505B"/>
    <w:rsid w:val="0015607A"/>
    <w:rsid w:val="00157A14"/>
    <w:rsid w:val="00160EFB"/>
    <w:rsid w:val="00165731"/>
    <w:rsid w:val="00167F1B"/>
    <w:rsid w:val="00170E63"/>
    <w:rsid w:val="0017124F"/>
    <w:rsid w:val="001715CD"/>
    <w:rsid w:val="00173D95"/>
    <w:rsid w:val="001747A0"/>
    <w:rsid w:val="001772B0"/>
    <w:rsid w:val="00183FF0"/>
    <w:rsid w:val="0018486E"/>
    <w:rsid w:val="001879E6"/>
    <w:rsid w:val="00190D65"/>
    <w:rsid w:val="00192142"/>
    <w:rsid w:val="00193598"/>
    <w:rsid w:val="0019529C"/>
    <w:rsid w:val="00197520"/>
    <w:rsid w:val="00197B58"/>
    <w:rsid w:val="001A27AD"/>
    <w:rsid w:val="001A7B03"/>
    <w:rsid w:val="001B1A6A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6CAA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15DA"/>
    <w:rsid w:val="002666D3"/>
    <w:rsid w:val="002669F4"/>
    <w:rsid w:val="00272B5D"/>
    <w:rsid w:val="00273383"/>
    <w:rsid w:val="002752D0"/>
    <w:rsid w:val="00277A0B"/>
    <w:rsid w:val="00277D2D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858"/>
    <w:rsid w:val="002A4D49"/>
    <w:rsid w:val="002A61C8"/>
    <w:rsid w:val="002A6F23"/>
    <w:rsid w:val="002A7067"/>
    <w:rsid w:val="002B1A03"/>
    <w:rsid w:val="002B3565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E5452"/>
    <w:rsid w:val="002F1EDE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1B3"/>
    <w:rsid w:val="0031070D"/>
    <w:rsid w:val="00316358"/>
    <w:rsid w:val="0032145F"/>
    <w:rsid w:val="00325D91"/>
    <w:rsid w:val="00333A0E"/>
    <w:rsid w:val="00333C89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315C"/>
    <w:rsid w:val="00346A2D"/>
    <w:rsid w:val="0034737F"/>
    <w:rsid w:val="00353DD1"/>
    <w:rsid w:val="0036180C"/>
    <w:rsid w:val="00363EF5"/>
    <w:rsid w:val="003644DD"/>
    <w:rsid w:val="00365493"/>
    <w:rsid w:val="00365D11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0D04"/>
    <w:rsid w:val="003A2F3C"/>
    <w:rsid w:val="003A53F1"/>
    <w:rsid w:val="003A5902"/>
    <w:rsid w:val="003A6DC5"/>
    <w:rsid w:val="003B0C7D"/>
    <w:rsid w:val="003B1EF2"/>
    <w:rsid w:val="003B20D5"/>
    <w:rsid w:val="003B274D"/>
    <w:rsid w:val="003B2772"/>
    <w:rsid w:val="003B51D8"/>
    <w:rsid w:val="003B55ED"/>
    <w:rsid w:val="003B67BC"/>
    <w:rsid w:val="003C1907"/>
    <w:rsid w:val="003C1927"/>
    <w:rsid w:val="003C49B4"/>
    <w:rsid w:val="003D07B1"/>
    <w:rsid w:val="003D3AE9"/>
    <w:rsid w:val="003D3D8F"/>
    <w:rsid w:val="003D4EC9"/>
    <w:rsid w:val="003D6939"/>
    <w:rsid w:val="003E2133"/>
    <w:rsid w:val="003E2E96"/>
    <w:rsid w:val="003E60E9"/>
    <w:rsid w:val="003F03EA"/>
    <w:rsid w:val="003F0F7E"/>
    <w:rsid w:val="003F13DE"/>
    <w:rsid w:val="003F691C"/>
    <w:rsid w:val="003F75ED"/>
    <w:rsid w:val="0040147A"/>
    <w:rsid w:val="004017E3"/>
    <w:rsid w:val="00401BA0"/>
    <w:rsid w:val="00401D9A"/>
    <w:rsid w:val="0040563B"/>
    <w:rsid w:val="00407581"/>
    <w:rsid w:val="00407679"/>
    <w:rsid w:val="004134C3"/>
    <w:rsid w:val="00413B5D"/>
    <w:rsid w:val="0041420E"/>
    <w:rsid w:val="00415769"/>
    <w:rsid w:val="00417287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1E37"/>
    <w:rsid w:val="0043217B"/>
    <w:rsid w:val="00434B9C"/>
    <w:rsid w:val="0043531C"/>
    <w:rsid w:val="004355A5"/>
    <w:rsid w:val="0043599E"/>
    <w:rsid w:val="00436C39"/>
    <w:rsid w:val="00436E27"/>
    <w:rsid w:val="00437232"/>
    <w:rsid w:val="0044233D"/>
    <w:rsid w:val="00442B9D"/>
    <w:rsid w:val="00443585"/>
    <w:rsid w:val="00444FF0"/>
    <w:rsid w:val="00445F7D"/>
    <w:rsid w:val="00447D12"/>
    <w:rsid w:val="00453551"/>
    <w:rsid w:val="004543D5"/>
    <w:rsid w:val="004559C1"/>
    <w:rsid w:val="00457585"/>
    <w:rsid w:val="00462CA0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C659E"/>
    <w:rsid w:val="004D39D7"/>
    <w:rsid w:val="004D492C"/>
    <w:rsid w:val="004D505F"/>
    <w:rsid w:val="004D5728"/>
    <w:rsid w:val="004D781E"/>
    <w:rsid w:val="004D7C5E"/>
    <w:rsid w:val="004E325B"/>
    <w:rsid w:val="004E4D4C"/>
    <w:rsid w:val="004F5692"/>
    <w:rsid w:val="004F7351"/>
    <w:rsid w:val="004F789B"/>
    <w:rsid w:val="00500479"/>
    <w:rsid w:val="00503121"/>
    <w:rsid w:val="00503AA7"/>
    <w:rsid w:val="005044B7"/>
    <w:rsid w:val="00506514"/>
    <w:rsid w:val="005070AA"/>
    <w:rsid w:val="00510CFB"/>
    <w:rsid w:val="00512160"/>
    <w:rsid w:val="005122E7"/>
    <w:rsid w:val="005143B8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47790"/>
    <w:rsid w:val="00550326"/>
    <w:rsid w:val="00551669"/>
    <w:rsid w:val="00551876"/>
    <w:rsid w:val="00555938"/>
    <w:rsid w:val="00557CBB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9FB"/>
    <w:rsid w:val="00580E23"/>
    <w:rsid w:val="00581683"/>
    <w:rsid w:val="00582673"/>
    <w:rsid w:val="005827F8"/>
    <w:rsid w:val="0058441F"/>
    <w:rsid w:val="005848B9"/>
    <w:rsid w:val="00585867"/>
    <w:rsid w:val="00586155"/>
    <w:rsid w:val="005866B7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3F37"/>
    <w:rsid w:val="005C5039"/>
    <w:rsid w:val="005C63D7"/>
    <w:rsid w:val="005C7241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2DEA"/>
    <w:rsid w:val="00603079"/>
    <w:rsid w:val="00605915"/>
    <w:rsid w:val="00605A65"/>
    <w:rsid w:val="00606833"/>
    <w:rsid w:val="00606B4C"/>
    <w:rsid w:val="00607ACD"/>
    <w:rsid w:val="006125B7"/>
    <w:rsid w:val="00616355"/>
    <w:rsid w:val="00616398"/>
    <w:rsid w:val="00620C53"/>
    <w:rsid w:val="0062109A"/>
    <w:rsid w:val="00624715"/>
    <w:rsid w:val="0062568E"/>
    <w:rsid w:val="0062796E"/>
    <w:rsid w:val="006306A7"/>
    <w:rsid w:val="00631A7F"/>
    <w:rsid w:val="00634A22"/>
    <w:rsid w:val="0063658C"/>
    <w:rsid w:val="00637631"/>
    <w:rsid w:val="00641C95"/>
    <w:rsid w:val="00641F06"/>
    <w:rsid w:val="00643033"/>
    <w:rsid w:val="0064735F"/>
    <w:rsid w:val="006515DC"/>
    <w:rsid w:val="006516F8"/>
    <w:rsid w:val="00652F28"/>
    <w:rsid w:val="0065389E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75CB4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180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E482F"/>
    <w:rsid w:val="006F39A1"/>
    <w:rsid w:val="006F5612"/>
    <w:rsid w:val="00701D91"/>
    <w:rsid w:val="00702A0D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55E3"/>
    <w:rsid w:val="00716F85"/>
    <w:rsid w:val="0072063B"/>
    <w:rsid w:val="00720ADB"/>
    <w:rsid w:val="0072263E"/>
    <w:rsid w:val="0072280F"/>
    <w:rsid w:val="00724024"/>
    <w:rsid w:val="0072435B"/>
    <w:rsid w:val="007265A3"/>
    <w:rsid w:val="00731C7C"/>
    <w:rsid w:val="00734705"/>
    <w:rsid w:val="00735534"/>
    <w:rsid w:val="0073575D"/>
    <w:rsid w:val="00736C3E"/>
    <w:rsid w:val="007371BF"/>
    <w:rsid w:val="007460DB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0B7B"/>
    <w:rsid w:val="00772AF0"/>
    <w:rsid w:val="00772D18"/>
    <w:rsid w:val="0077355E"/>
    <w:rsid w:val="007759C8"/>
    <w:rsid w:val="00775FFF"/>
    <w:rsid w:val="00780794"/>
    <w:rsid w:val="00783AC1"/>
    <w:rsid w:val="00784AEA"/>
    <w:rsid w:val="00785102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C7092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2037"/>
    <w:rsid w:val="007F5C49"/>
    <w:rsid w:val="007F7A18"/>
    <w:rsid w:val="00800088"/>
    <w:rsid w:val="0080086B"/>
    <w:rsid w:val="00802A60"/>
    <w:rsid w:val="0080322F"/>
    <w:rsid w:val="00805B77"/>
    <w:rsid w:val="00806901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097"/>
    <w:rsid w:val="008572BA"/>
    <w:rsid w:val="00857E23"/>
    <w:rsid w:val="008601A2"/>
    <w:rsid w:val="0086108B"/>
    <w:rsid w:val="00861706"/>
    <w:rsid w:val="008628E9"/>
    <w:rsid w:val="008661DA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975A6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6"/>
    <w:rsid w:val="008C767B"/>
    <w:rsid w:val="008D26DF"/>
    <w:rsid w:val="008D3317"/>
    <w:rsid w:val="008D33D5"/>
    <w:rsid w:val="008D38B4"/>
    <w:rsid w:val="008D4B02"/>
    <w:rsid w:val="008D7B1D"/>
    <w:rsid w:val="008E01AF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12D4F"/>
    <w:rsid w:val="00915996"/>
    <w:rsid w:val="00923D56"/>
    <w:rsid w:val="009248E2"/>
    <w:rsid w:val="0092569A"/>
    <w:rsid w:val="009274C3"/>
    <w:rsid w:val="00930B3C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6476F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55EA"/>
    <w:rsid w:val="009A61B2"/>
    <w:rsid w:val="009B03B5"/>
    <w:rsid w:val="009B2773"/>
    <w:rsid w:val="009B3F56"/>
    <w:rsid w:val="009B5708"/>
    <w:rsid w:val="009B6CD2"/>
    <w:rsid w:val="009C0ADC"/>
    <w:rsid w:val="009C1554"/>
    <w:rsid w:val="009C15F5"/>
    <w:rsid w:val="009C23ED"/>
    <w:rsid w:val="009C3136"/>
    <w:rsid w:val="009C3203"/>
    <w:rsid w:val="009C4615"/>
    <w:rsid w:val="009C76D1"/>
    <w:rsid w:val="009C7D5B"/>
    <w:rsid w:val="009D0851"/>
    <w:rsid w:val="009D1D17"/>
    <w:rsid w:val="009D2D6C"/>
    <w:rsid w:val="009D6DFC"/>
    <w:rsid w:val="009D7854"/>
    <w:rsid w:val="009E07D7"/>
    <w:rsid w:val="009E1220"/>
    <w:rsid w:val="009E19D4"/>
    <w:rsid w:val="009E2073"/>
    <w:rsid w:val="009E27EC"/>
    <w:rsid w:val="009E67E2"/>
    <w:rsid w:val="009F08E1"/>
    <w:rsid w:val="009F0B70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68BE"/>
    <w:rsid w:val="00A277AB"/>
    <w:rsid w:val="00A278FD"/>
    <w:rsid w:val="00A3502D"/>
    <w:rsid w:val="00A3610D"/>
    <w:rsid w:val="00A377B7"/>
    <w:rsid w:val="00A407F7"/>
    <w:rsid w:val="00A422D2"/>
    <w:rsid w:val="00A426F3"/>
    <w:rsid w:val="00A471A3"/>
    <w:rsid w:val="00A51486"/>
    <w:rsid w:val="00A540E3"/>
    <w:rsid w:val="00A55F58"/>
    <w:rsid w:val="00A61512"/>
    <w:rsid w:val="00A62F8F"/>
    <w:rsid w:val="00A64BB9"/>
    <w:rsid w:val="00A7110A"/>
    <w:rsid w:val="00A73F99"/>
    <w:rsid w:val="00A768AE"/>
    <w:rsid w:val="00A80763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A4859"/>
    <w:rsid w:val="00AA6C2E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E3B"/>
    <w:rsid w:val="00AE2F7F"/>
    <w:rsid w:val="00AE4996"/>
    <w:rsid w:val="00AE49BE"/>
    <w:rsid w:val="00AE5B27"/>
    <w:rsid w:val="00AE6135"/>
    <w:rsid w:val="00AE616A"/>
    <w:rsid w:val="00AE6EB0"/>
    <w:rsid w:val="00AE7D5E"/>
    <w:rsid w:val="00AF2FCB"/>
    <w:rsid w:val="00AF3E9B"/>
    <w:rsid w:val="00AF4479"/>
    <w:rsid w:val="00AF5415"/>
    <w:rsid w:val="00AF598A"/>
    <w:rsid w:val="00AF62BB"/>
    <w:rsid w:val="00AF62C4"/>
    <w:rsid w:val="00B01B50"/>
    <w:rsid w:val="00B0371B"/>
    <w:rsid w:val="00B0500A"/>
    <w:rsid w:val="00B1053D"/>
    <w:rsid w:val="00B13F88"/>
    <w:rsid w:val="00B201CE"/>
    <w:rsid w:val="00B23C0B"/>
    <w:rsid w:val="00B24429"/>
    <w:rsid w:val="00B2463E"/>
    <w:rsid w:val="00B254F9"/>
    <w:rsid w:val="00B3150D"/>
    <w:rsid w:val="00B344CC"/>
    <w:rsid w:val="00B35C2C"/>
    <w:rsid w:val="00B37316"/>
    <w:rsid w:val="00B40A2B"/>
    <w:rsid w:val="00B41CF8"/>
    <w:rsid w:val="00B43539"/>
    <w:rsid w:val="00B45087"/>
    <w:rsid w:val="00B451C6"/>
    <w:rsid w:val="00B45657"/>
    <w:rsid w:val="00B45F86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5AD5"/>
    <w:rsid w:val="00B96577"/>
    <w:rsid w:val="00B970B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4E1"/>
    <w:rsid w:val="00BF5AEE"/>
    <w:rsid w:val="00C006CF"/>
    <w:rsid w:val="00C0095B"/>
    <w:rsid w:val="00C014EE"/>
    <w:rsid w:val="00C051A9"/>
    <w:rsid w:val="00C05F72"/>
    <w:rsid w:val="00C1263B"/>
    <w:rsid w:val="00C1368E"/>
    <w:rsid w:val="00C161A1"/>
    <w:rsid w:val="00C211B4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4559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3B64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61E6"/>
    <w:rsid w:val="00D17913"/>
    <w:rsid w:val="00D2390F"/>
    <w:rsid w:val="00D23D59"/>
    <w:rsid w:val="00D2488A"/>
    <w:rsid w:val="00D24947"/>
    <w:rsid w:val="00D25B90"/>
    <w:rsid w:val="00D33438"/>
    <w:rsid w:val="00D341EF"/>
    <w:rsid w:val="00D372C4"/>
    <w:rsid w:val="00D37730"/>
    <w:rsid w:val="00D4017C"/>
    <w:rsid w:val="00D40B06"/>
    <w:rsid w:val="00D414FC"/>
    <w:rsid w:val="00D43F25"/>
    <w:rsid w:val="00D47B2F"/>
    <w:rsid w:val="00D54847"/>
    <w:rsid w:val="00D54A47"/>
    <w:rsid w:val="00D55194"/>
    <w:rsid w:val="00D55248"/>
    <w:rsid w:val="00D6124B"/>
    <w:rsid w:val="00D63A82"/>
    <w:rsid w:val="00D673DC"/>
    <w:rsid w:val="00D679ED"/>
    <w:rsid w:val="00D67C93"/>
    <w:rsid w:val="00D70EBE"/>
    <w:rsid w:val="00D759BC"/>
    <w:rsid w:val="00D84F72"/>
    <w:rsid w:val="00D8556E"/>
    <w:rsid w:val="00D901D5"/>
    <w:rsid w:val="00D91D84"/>
    <w:rsid w:val="00D929E7"/>
    <w:rsid w:val="00D938F6"/>
    <w:rsid w:val="00D94D96"/>
    <w:rsid w:val="00D95ACB"/>
    <w:rsid w:val="00D96681"/>
    <w:rsid w:val="00D97627"/>
    <w:rsid w:val="00DA392B"/>
    <w:rsid w:val="00DA3AE0"/>
    <w:rsid w:val="00DA72F6"/>
    <w:rsid w:val="00DA7D51"/>
    <w:rsid w:val="00DB3691"/>
    <w:rsid w:val="00DB3D9C"/>
    <w:rsid w:val="00DB41FF"/>
    <w:rsid w:val="00DB4EC6"/>
    <w:rsid w:val="00DB5A91"/>
    <w:rsid w:val="00DC1773"/>
    <w:rsid w:val="00DC2B68"/>
    <w:rsid w:val="00DC4CA8"/>
    <w:rsid w:val="00DC717A"/>
    <w:rsid w:val="00DD032D"/>
    <w:rsid w:val="00DD0597"/>
    <w:rsid w:val="00DD1582"/>
    <w:rsid w:val="00DD2EFB"/>
    <w:rsid w:val="00DD2F3B"/>
    <w:rsid w:val="00DD57DE"/>
    <w:rsid w:val="00DD743B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06AB0"/>
    <w:rsid w:val="00E13A3B"/>
    <w:rsid w:val="00E163C1"/>
    <w:rsid w:val="00E16B13"/>
    <w:rsid w:val="00E205E9"/>
    <w:rsid w:val="00E22D69"/>
    <w:rsid w:val="00E241B0"/>
    <w:rsid w:val="00E2546F"/>
    <w:rsid w:val="00E300F3"/>
    <w:rsid w:val="00E305B1"/>
    <w:rsid w:val="00E308E1"/>
    <w:rsid w:val="00E308FC"/>
    <w:rsid w:val="00E331B9"/>
    <w:rsid w:val="00E37D85"/>
    <w:rsid w:val="00E37E01"/>
    <w:rsid w:val="00E37F1D"/>
    <w:rsid w:val="00E37F3B"/>
    <w:rsid w:val="00E409B4"/>
    <w:rsid w:val="00E4421C"/>
    <w:rsid w:val="00E45D14"/>
    <w:rsid w:val="00E4737B"/>
    <w:rsid w:val="00E51498"/>
    <w:rsid w:val="00E54B4D"/>
    <w:rsid w:val="00E56E05"/>
    <w:rsid w:val="00E62264"/>
    <w:rsid w:val="00E623C3"/>
    <w:rsid w:val="00E6246D"/>
    <w:rsid w:val="00E64BA4"/>
    <w:rsid w:val="00E70D5B"/>
    <w:rsid w:val="00E7333E"/>
    <w:rsid w:val="00E748D2"/>
    <w:rsid w:val="00E752CA"/>
    <w:rsid w:val="00E75C22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42F3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2F1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37DD5"/>
    <w:rsid w:val="00F43AEF"/>
    <w:rsid w:val="00F45648"/>
    <w:rsid w:val="00F45F42"/>
    <w:rsid w:val="00F46C03"/>
    <w:rsid w:val="00F526B7"/>
    <w:rsid w:val="00F52CA0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0B2"/>
    <w:rsid w:val="00F853FD"/>
    <w:rsid w:val="00F85FF0"/>
    <w:rsid w:val="00F9127D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6890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1EC3"/>
    <w:rsid w:val="00FF2AE3"/>
    <w:rsid w:val="00FF3757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0AB65EAC"/>
  <w15:docId w15:val="{593931E7-7C4F-4657-86CC-39D560BC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1EC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F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eppol.eu/poac/aunz/" TargetMode="External"/><Relationship Id="rId13" Type="http://schemas.openxmlformats.org/officeDocument/2006/relationships/hyperlink" Target="https://docs.peppol.eu/poacc/upgrade-3/2022-Q4/profiles/63-invoiceresponse/" TargetMode="External"/><Relationship Id="rId18" Type="http://schemas.openxmlformats.org/officeDocument/2006/relationships/footer" Target="footer2.xml"/><Relationship Id="rId26" Type="http://schemas.openxmlformats.org/officeDocument/2006/relationships/hyperlink" Target="http://docs.peppol.eu/poacc/billing/3.0/syntax/ubl-invoice/cbc-Note/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peppol.eu/poacc/billing/3.0/syntax/ubl-invoice/cbc-CustomizationID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rd.govt.nz/gst/tax-invoices-for-gst/buyer-created-taxable-supply-information" TargetMode="External"/><Relationship Id="rId17" Type="http://schemas.openxmlformats.org/officeDocument/2006/relationships/footer" Target="footer1.xml"/><Relationship Id="rId25" Type="http://schemas.openxmlformats.org/officeDocument/2006/relationships/hyperlink" Target="http://docs.peppol.eu/poacc/billing/3.0/rules/BR-CL-01/" TargetMode="External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://docs.peppol.eu/poacc/billing/3.0/rules/PEPPOL-EN16931-P01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o.gov.au/Business/GST/Tax-invoices/" TargetMode="External"/><Relationship Id="rId24" Type="http://schemas.openxmlformats.org/officeDocument/2006/relationships/hyperlink" Target="http://docs.peppol.eu/poacc/billing/3.0/codelist/UNCL1001-inv/" TargetMode="External"/><Relationship Id="rId32" Type="http://schemas.openxmlformats.org/officeDocument/2006/relationships/hyperlink" Target="https://docs.peppol.eu/poacc/billing/3.0/rules/PEPPOL-EN16931-R00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://docs.peppol.eu/poacc/billing/3.0/syntax/ubl-invoice/cbc-InvoiceTypeCode/" TargetMode="External"/><Relationship Id="rId28" Type="http://schemas.openxmlformats.org/officeDocument/2006/relationships/footer" Target="footer4.xml"/><Relationship Id="rId10" Type="http://schemas.openxmlformats.org/officeDocument/2006/relationships/hyperlink" Target="https://github.com/A-NZ-PEPPOL/A-NZ-PEPPOL-BIS-3.0/tree/master/Specifications" TargetMode="External"/><Relationship Id="rId19" Type="http://schemas.openxmlformats.org/officeDocument/2006/relationships/header" Target="header3.xml"/><Relationship Id="rId31" Type="http://schemas.openxmlformats.org/officeDocument/2006/relationships/hyperlink" Target="http://docs.peppol.eu/poacc/billing/3.0/rules/PEPPOL-EN16931-R0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NZ-PEPPOL/A-NZ-PEPPOL-BIS-3.0/tree/master/Specifications" TargetMode="External"/><Relationship Id="rId14" Type="http://schemas.openxmlformats.org/officeDocument/2006/relationships/hyperlink" Target="http://www.unece.org/fileadmin/DAM/trade/untdid/d16b/tred/tred1001.htm" TargetMode="External"/><Relationship Id="rId22" Type="http://schemas.openxmlformats.org/officeDocument/2006/relationships/hyperlink" Target="https://docs.peppol.eu/poacc/billing/3.0/syntax/ubl-invoice/cbc-ProfileID/" TargetMode="External"/><Relationship Id="rId27" Type="http://schemas.openxmlformats.org/officeDocument/2006/relationships/header" Target="header4.xml"/><Relationship Id="rId30" Type="http://schemas.openxmlformats.org/officeDocument/2006/relationships/hyperlink" Target="http://docs.peppol.eu/poacc/billing/3.0/rules/PEPPOL-EN16931-P0101/" TargetMode="Externa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3A3AA391-E5BC-4EBE-BF16-E77DA435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Gearing</dc:creator>
  <cp:lastModifiedBy>Rawan Abuyosef</cp:lastModifiedBy>
  <cp:revision>3</cp:revision>
  <dcterms:created xsi:type="dcterms:W3CDTF">2024-12-09T21:48:00Z</dcterms:created>
  <dcterms:modified xsi:type="dcterms:W3CDTF">2024-12-09T21:49:00Z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BRSLetter">
    <vt:bool>false</vt:bool>
  </property>
</Properties>
</file>