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7C56" w14:textId="77777777" w:rsidR="00C23038" w:rsidRPr="00C23038" w:rsidRDefault="00C23038" w:rsidP="00C23038">
      <w:pPr>
        <w:pStyle w:val="InternalExternal"/>
        <w:framePr w:wrap="around"/>
        <w:rPr>
          <w:rStyle w:val="Classification"/>
          <w:b w:val="0"/>
          <w:sz w:val="16"/>
          <w:lang w:val="en-AU"/>
        </w:rPr>
      </w:pPr>
    </w:p>
    <w:p w14:paraId="6BD6A4D0" w14:textId="77777777" w:rsidR="00DF5A0D" w:rsidRDefault="00530D3E" w:rsidP="00DF5A0D">
      <w:pPr>
        <w:pStyle w:val="InternalExternal"/>
        <w:framePr w:wrap="around"/>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841145" w:rsidRPr="00841145">
            <w:rPr>
              <w:rStyle w:val="Classification"/>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841145">
            <w:t>External</w:t>
          </w:r>
        </w:sdtContent>
      </w:sdt>
      <w:r w:rsidR="00DF5A0D">
        <w:t xml:space="preserve"> </w:t>
      </w:r>
    </w:p>
    <w:p w14:paraId="247DBAE6" w14:textId="77777777" w:rsidR="00904BC1" w:rsidRDefault="00D72025" w:rsidP="00D72025">
      <w:pPr>
        <w:pStyle w:val="Heading1"/>
        <w:framePr w:wrap="notBeside"/>
      </w:pPr>
      <w:r>
        <w:t>A-NZ PEPPOL FRAMEWORK GUIDANCE NOTE</w:t>
      </w:r>
    </w:p>
    <w:p w14:paraId="0677BC6F" w14:textId="291FF533" w:rsidR="00D72025" w:rsidRDefault="0002745C" w:rsidP="00D72025">
      <w:pPr>
        <w:pStyle w:val="Heading2"/>
      </w:pPr>
      <w:r w:rsidRPr="0002745C">
        <w:rPr>
          <w:highlight w:val="yellow"/>
        </w:rPr>
        <w:t>Routing invoices to the desired receiving system</w:t>
      </w:r>
    </w:p>
    <w:p w14:paraId="3A84AE9D" w14:textId="77777777" w:rsidR="00D72025" w:rsidRDefault="00861073" w:rsidP="00D72025">
      <w:r w:rsidRPr="00861073">
        <w:rPr>
          <w:b/>
        </w:rPr>
        <w:t>Guidance note</w:t>
      </w:r>
      <w:r>
        <w:t xml:space="preserve"> </w:t>
      </w:r>
      <w:r w:rsidR="00EB55D5" w:rsidRPr="00861073">
        <w:rPr>
          <w:highlight w:val="yellow"/>
        </w:rPr>
        <w:t>[</w:t>
      </w:r>
      <w:r w:rsidRPr="00861073">
        <w:rPr>
          <w:highlight w:val="yellow"/>
        </w:rPr>
        <w:t>#]</w:t>
      </w:r>
    </w:p>
    <w:p w14:paraId="0F2B9108"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097C3B" w:rsidRPr="0010233E" w14:paraId="539CFCCA" w14:textId="77777777" w:rsidTr="00097C3B">
        <w:tc>
          <w:tcPr>
            <w:tcW w:w="3007" w:type="dxa"/>
            <w:tcBorders>
              <w:bottom w:val="single" w:sz="4" w:space="0" w:color="auto"/>
            </w:tcBorders>
          </w:tcPr>
          <w:p w14:paraId="1567AB23" w14:textId="77777777" w:rsidR="00097C3B" w:rsidRPr="0010233E" w:rsidRDefault="00097C3B" w:rsidP="00D72025">
            <w:pPr>
              <w:rPr>
                <w:b/>
              </w:rPr>
            </w:pPr>
            <w:r w:rsidRPr="0010233E">
              <w:rPr>
                <w:b/>
              </w:rPr>
              <w:t>Issue date</w:t>
            </w:r>
          </w:p>
        </w:tc>
        <w:tc>
          <w:tcPr>
            <w:tcW w:w="1388" w:type="dxa"/>
          </w:tcPr>
          <w:p w14:paraId="451D1F47" w14:textId="77777777" w:rsidR="00097C3B" w:rsidRPr="0010233E" w:rsidRDefault="00097C3B" w:rsidP="00D72025">
            <w:pPr>
              <w:rPr>
                <w:b/>
              </w:rPr>
            </w:pPr>
          </w:p>
        </w:tc>
        <w:tc>
          <w:tcPr>
            <w:tcW w:w="3110" w:type="dxa"/>
            <w:tcBorders>
              <w:bottom w:val="single" w:sz="4" w:space="0" w:color="auto"/>
            </w:tcBorders>
          </w:tcPr>
          <w:p w14:paraId="0945BE2A" w14:textId="77777777" w:rsidR="00097C3B" w:rsidRPr="0010233E" w:rsidRDefault="00097C3B" w:rsidP="00D72025">
            <w:pPr>
              <w:rPr>
                <w:b/>
              </w:rPr>
            </w:pPr>
            <w:r w:rsidRPr="0010233E">
              <w:rPr>
                <w:b/>
              </w:rPr>
              <w:t>Version</w:t>
            </w:r>
          </w:p>
        </w:tc>
      </w:tr>
      <w:tr w:rsidR="00097C3B" w14:paraId="6753A337" w14:textId="77777777" w:rsidTr="00097C3B">
        <w:tc>
          <w:tcPr>
            <w:tcW w:w="3007" w:type="dxa"/>
            <w:tcBorders>
              <w:top w:val="single" w:sz="4" w:space="0" w:color="auto"/>
              <w:left w:val="single" w:sz="4" w:space="0" w:color="auto"/>
              <w:bottom w:val="single" w:sz="4" w:space="0" w:color="auto"/>
              <w:right w:val="single" w:sz="4" w:space="0" w:color="auto"/>
            </w:tcBorders>
          </w:tcPr>
          <w:p w14:paraId="489ABFAD" w14:textId="77777777" w:rsidR="00097C3B" w:rsidRDefault="00861073" w:rsidP="00D72025">
            <w:r w:rsidRPr="00861073">
              <w:rPr>
                <w:highlight w:val="yellow"/>
              </w:rPr>
              <w:t>XX Month Year</w:t>
            </w:r>
          </w:p>
        </w:tc>
        <w:tc>
          <w:tcPr>
            <w:tcW w:w="1388" w:type="dxa"/>
            <w:tcBorders>
              <w:left w:val="single" w:sz="4" w:space="0" w:color="auto"/>
              <w:right w:val="single" w:sz="4" w:space="0" w:color="auto"/>
            </w:tcBorders>
          </w:tcPr>
          <w:p w14:paraId="73B83812" w14:textId="77777777" w:rsidR="00097C3B" w:rsidRDefault="00097C3B" w:rsidP="00D72025"/>
        </w:tc>
        <w:tc>
          <w:tcPr>
            <w:tcW w:w="3110" w:type="dxa"/>
            <w:tcBorders>
              <w:top w:val="single" w:sz="4" w:space="0" w:color="auto"/>
              <w:left w:val="single" w:sz="4" w:space="0" w:color="auto"/>
              <w:bottom w:val="single" w:sz="4" w:space="0" w:color="auto"/>
              <w:right w:val="single" w:sz="4" w:space="0" w:color="auto"/>
            </w:tcBorders>
          </w:tcPr>
          <w:p w14:paraId="7D4BFDC6" w14:textId="77777777" w:rsidR="00097C3B" w:rsidRDefault="00861073" w:rsidP="00D72025">
            <w:r>
              <w:t>1.0</w:t>
            </w:r>
          </w:p>
        </w:tc>
      </w:tr>
      <w:tr w:rsidR="00097C3B" w:rsidRPr="0010233E" w14:paraId="633C3707" w14:textId="77777777" w:rsidTr="00097C3B">
        <w:tc>
          <w:tcPr>
            <w:tcW w:w="3007" w:type="dxa"/>
            <w:tcBorders>
              <w:top w:val="single" w:sz="4" w:space="0" w:color="auto"/>
              <w:bottom w:val="single" w:sz="4" w:space="0" w:color="auto"/>
            </w:tcBorders>
          </w:tcPr>
          <w:p w14:paraId="0EA972CA" w14:textId="77777777" w:rsidR="00097C3B" w:rsidRPr="0010233E" w:rsidRDefault="00097C3B" w:rsidP="00D72025">
            <w:pPr>
              <w:rPr>
                <w:b/>
              </w:rPr>
            </w:pPr>
            <w:r w:rsidRPr="0010233E">
              <w:rPr>
                <w:b/>
              </w:rPr>
              <w:t>Operative From</w:t>
            </w:r>
          </w:p>
        </w:tc>
        <w:tc>
          <w:tcPr>
            <w:tcW w:w="1388" w:type="dxa"/>
          </w:tcPr>
          <w:p w14:paraId="15A561E3" w14:textId="77777777" w:rsidR="00097C3B" w:rsidRPr="0010233E" w:rsidRDefault="00097C3B" w:rsidP="00D72025">
            <w:pPr>
              <w:rPr>
                <w:b/>
              </w:rPr>
            </w:pPr>
          </w:p>
        </w:tc>
        <w:tc>
          <w:tcPr>
            <w:tcW w:w="3110" w:type="dxa"/>
            <w:tcBorders>
              <w:top w:val="single" w:sz="4" w:space="0" w:color="auto"/>
              <w:bottom w:val="single" w:sz="4" w:space="0" w:color="auto"/>
            </w:tcBorders>
          </w:tcPr>
          <w:p w14:paraId="04A90547" w14:textId="77777777" w:rsidR="00097C3B" w:rsidRPr="0010233E" w:rsidRDefault="00097C3B" w:rsidP="00D72025">
            <w:pPr>
              <w:rPr>
                <w:b/>
              </w:rPr>
            </w:pPr>
            <w:r w:rsidRPr="0010233E">
              <w:rPr>
                <w:b/>
              </w:rPr>
              <w:t>Artefacts affected</w:t>
            </w:r>
          </w:p>
        </w:tc>
      </w:tr>
      <w:tr w:rsidR="00097C3B" w14:paraId="5C3BE569" w14:textId="77777777" w:rsidTr="00097C3B">
        <w:tc>
          <w:tcPr>
            <w:tcW w:w="3007" w:type="dxa"/>
            <w:tcBorders>
              <w:top w:val="single" w:sz="4" w:space="0" w:color="auto"/>
              <w:left w:val="single" w:sz="4" w:space="0" w:color="auto"/>
              <w:bottom w:val="single" w:sz="4" w:space="0" w:color="auto"/>
              <w:right w:val="single" w:sz="4" w:space="0" w:color="auto"/>
            </w:tcBorders>
          </w:tcPr>
          <w:p w14:paraId="1817F744" w14:textId="77777777" w:rsidR="00097C3B" w:rsidRDefault="00861073" w:rsidP="00D72025">
            <w:r w:rsidRPr="00861073">
              <w:rPr>
                <w:highlight w:val="yellow"/>
              </w:rPr>
              <w:t>Month Year</w:t>
            </w:r>
          </w:p>
        </w:tc>
        <w:tc>
          <w:tcPr>
            <w:tcW w:w="1388" w:type="dxa"/>
            <w:tcBorders>
              <w:left w:val="single" w:sz="4" w:space="0" w:color="auto"/>
              <w:right w:val="single" w:sz="4" w:space="0" w:color="auto"/>
            </w:tcBorders>
          </w:tcPr>
          <w:p w14:paraId="6A759882" w14:textId="77777777" w:rsidR="00097C3B" w:rsidRDefault="00097C3B" w:rsidP="00D72025"/>
        </w:tc>
        <w:tc>
          <w:tcPr>
            <w:tcW w:w="3110" w:type="dxa"/>
            <w:tcBorders>
              <w:top w:val="single" w:sz="4" w:space="0" w:color="auto"/>
              <w:left w:val="single" w:sz="4" w:space="0" w:color="auto"/>
              <w:bottom w:val="single" w:sz="4" w:space="0" w:color="auto"/>
              <w:right w:val="single" w:sz="4" w:space="0" w:color="auto"/>
            </w:tcBorders>
          </w:tcPr>
          <w:p w14:paraId="04376575" w14:textId="0E8611F6" w:rsidR="00861073" w:rsidRDefault="0002745C" w:rsidP="00861073">
            <w:r>
              <w:t>NA</w:t>
            </w:r>
          </w:p>
        </w:tc>
      </w:tr>
    </w:tbl>
    <w:p w14:paraId="00DCD7EC" w14:textId="77777777" w:rsidR="00E7653D" w:rsidRDefault="00E7653D" w:rsidP="00E7653D"/>
    <w:p w14:paraId="335425FE" w14:textId="77777777" w:rsidR="0025016C" w:rsidRPr="00861073" w:rsidRDefault="002A5E26" w:rsidP="001A2C52">
      <w:pPr>
        <w:pStyle w:val="Heading4"/>
        <w:rPr>
          <w:b w:val="0"/>
          <w:sz w:val="34"/>
          <w:szCs w:val="34"/>
        </w:rPr>
      </w:pPr>
      <w:r w:rsidRPr="00861073">
        <w:rPr>
          <w:b w:val="0"/>
          <w:sz w:val="34"/>
          <w:szCs w:val="34"/>
        </w:rPr>
        <w:t>Introduction</w:t>
      </w:r>
    </w:p>
    <w:p w14:paraId="3E425006" w14:textId="530B07AA" w:rsidR="0025016C" w:rsidRDefault="0002745C" w:rsidP="0025016C">
      <w:r>
        <w:rPr>
          <w:rStyle w:val="hscoswrapper"/>
        </w:rPr>
        <w:t xml:space="preserve">PEPPOL’s ‘four corner model’ </w:t>
      </w:r>
      <w:r w:rsidR="00EA2B65">
        <w:rPr>
          <w:rStyle w:val="hscoswrapper"/>
        </w:rPr>
        <w:t xml:space="preserve">allows </w:t>
      </w:r>
      <w:r>
        <w:rPr>
          <w:rStyle w:val="hscoswrapper"/>
        </w:rPr>
        <w:t>supplier</w:t>
      </w:r>
      <w:r w:rsidR="00B7317C">
        <w:rPr>
          <w:rStyle w:val="hscoswrapper"/>
        </w:rPr>
        <w:t>s to invoice buyers</w:t>
      </w:r>
      <w:r>
        <w:rPr>
          <w:rStyle w:val="hscoswrapper"/>
        </w:rPr>
        <w:t xml:space="preserve"> </w:t>
      </w:r>
      <w:r w:rsidR="00EA2B65">
        <w:rPr>
          <w:rStyle w:val="hscoswrapper"/>
        </w:rPr>
        <w:t xml:space="preserve">that are </w:t>
      </w:r>
      <w:r>
        <w:rPr>
          <w:rStyle w:val="hscoswrapper"/>
        </w:rPr>
        <w:t>connected to the PEPPOL network</w:t>
      </w:r>
      <w:r w:rsidR="00B7317C">
        <w:rPr>
          <w:rStyle w:val="hscoswrapper"/>
        </w:rPr>
        <w:t xml:space="preserve">. This is achieved by looking up the buyer’s electronic address using the appropriate Peppol participant ID. </w:t>
      </w:r>
    </w:p>
    <w:p w14:paraId="10A75B71" w14:textId="4D49F15B" w:rsidR="00861073" w:rsidRDefault="003950C3" w:rsidP="0025016C">
      <w:r>
        <w:t xml:space="preserve">There are a variety of business management tools for both small and large businesses (such as for asset management, travel management, or labour hire management) that buyers (corner 4) use to manage procurement and accounts payables. </w:t>
      </w:r>
      <w:r w:rsidR="00682524">
        <w:t>Additionally, large businesses often have several segregated business units, each operating their own invoicing system.</w:t>
      </w:r>
      <w:r>
        <w:t xml:space="preserve"> This </w:t>
      </w:r>
      <w:r w:rsidR="00682524">
        <w:t xml:space="preserve">adds </w:t>
      </w:r>
      <w:r>
        <w:t>complexity for buyers to manage inbound invoices to ensure they arrive at</w:t>
      </w:r>
      <w:r w:rsidR="00682524">
        <w:t>, and processed by,</w:t>
      </w:r>
      <w:r>
        <w:t xml:space="preserve"> the </w:t>
      </w:r>
      <w:r w:rsidR="00682524">
        <w:t>correct system</w:t>
      </w:r>
      <w:r>
        <w:t xml:space="preserve">.  </w:t>
      </w:r>
    </w:p>
    <w:p w14:paraId="0F4569BA" w14:textId="335B3696" w:rsidR="008F1A65" w:rsidRPr="008F1A65" w:rsidRDefault="008F1A65" w:rsidP="008F1A65">
      <w:pPr>
        <w:pStyle w:val="Heading4"/>
        <w:rPr>
          <w:b w:val="0"/>
          <w:sz w:val="34"/>
          <w:szCs w:val="34"/>
        </w:rPr>
      </w:pPr>
      <w:r w:rsidRPr="008F1A65">
        <w:rPr>
          <w:b w:val="0"/>
          <w:sz w:val="34"/>
          <w:szCs w:val="34"/>
        </w:rPr>
        <w:t xml:space="preserve">Issue </w:t>
      </w:r>
      <w:r>
        <w:rPr>
          <w:b w:val="0"/>
          <w:sz w:val="34"/>
          <w:szCs w:val="34"/>
        </w:rPr>
        <w:t>Statement</w:t>
      </w:r>
    </w:p>
    <w:p w14:paraId="7DCE3000" w14:textId="3F934073" w:rsidR="008F1A65" w:rsidRDefault="008F1A65" w:rsidP="0025016C">
      <w:r>
        <w:t xml:space="preserve">Peppol uses the Service Metadata Locator (SML) and Service Metadata Publisher (SMP) to enable invoice senders (suppliers) to look up </w:t>
      </w:r>
      <w:r w:rsidR="00682524">
        <w:t>receivers’ (</w:t>
      </w:r>
      <w:r>
        <w:t>buyers’</w:t>
      </w:r>
      <w:r w:rsidR="00682524">
        <w:t>)</w:t>
      </w:r>
      <w:r>
        <w:t xml:space="preserve"> address and capability. </w:t>
      </w:r>
    </w:p>
    <w:p w14:paraId="2A4FCD06" w14:textId="6931E99C" w:rsidR="008F1A65" w:rsidRDefault="003C6B7F" w:rsidP="0025016C">
      <w:r>
        <w:t>Each ‘message receiver’, i.e. corner 4, can have one or more Peppol participant ID</w:t>
      </w:r>
      <w:r w:rsidR="00682524">
        <w:t>s</w:t>
      </w:r>
      <w:r>
        <w:t xml:space="preserve"> published </w:t>
      </w:r>
      <w:r w:rsidR="00682524">
        <w:t>i</w:t>
      </w:r>
      <w:r>
        <w:t xml:space="preserve">n </w:t>
      </w:r>
      <w:r w:rsidR="00682524">
        <w:t xml:space="preserve">the </w:t>
      </w:r>
      <w:r>
        <w:t xml:space="preserve">SML, with each unique </w:t>
      </w:r>
      <w:r w:rsidR="0064457A">
        <w:t>p</w:t>
      </w:r>
      <w:r>
        <w:t xml:space="preserve">articipant ID directing to a SMP that contains delivery details. </w:t>
      </w:r>
      <w:r w:rsidR="00EA72A7">
        <w:t xml:space="preserve">This means that for each type of document (e.g. invoice or purchase order), each participant ID can only direct to one single delivery address. </w:t>
      </w:r>
    </w:p>
    <w:p w14:paraId="0CB2DED3" w14:textId="1D7A005B" w:rsidR="00EA72A7" w:rsidRDefault="00EA72A7" w:rsidP="0025016C">
      <w:r>
        <w:t>Some buyers use multiple business management applications to manage different ‘types’ of procurement</w:t>
      </w:r>
      <w:r w:rsidR="00F56B74">
        <w:t xml:space="preserve"> </w:t>
      </w:r>
      <w:r>
        <w:t>and require corresponding invoices to be sent to the appropriate business management application for matching/processing.</w:t>
      </w:r>
      <w:r w:rsidR="006C1E18">
        <w:t xml:space="preserve"> An example is illustrated below. </w:t>
      </w:r>
      <w:r w:rsidR="009D420A">
        <w:t xml:space="preserve"> </w:t>
      </w:r>
    </w:p>
    <w:p w14:paraId="18A17A43" w14:textId="40B7AD04" w:rsidR="009D420A" w:rsidRDefault="009D420A" w:rsidP="0025016C">
      <w:r w:rsidRPr="009D420A">
        <w:rPr>
          <w:noProof/>
        </w:rPr>
        <w:lastRenderedPageBreak/>
        <w:drawing>
          <wp:inline distT="0" distB="0" distL="0" distR="0" wp14:anchorId="68E62CB1" wp14:editId="585485F7">
            <wp:extent cx="3257550" cy="17296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31" cy="1743865"/>
                    </a:xfrm>
                    <a:prstGeom prst="rect">
                      <a:avLst/>
                    </a:prstGeom>
                    <a:noFill/>
                    <a:ln>
                      <a:noFill/>
                    </a:ln>
                  </pic:spPr>
                </pic:pic>
              </a:graphicData>
            </a:graphic>
          </wp:inline>
        </w:drawing>
      </w:r>
    </w:p>
    <w:p w14:paraId="61753A3C" w14:textId="130EE2A5" w:rsidR="006C1E18" w:rsidRPr="006C1E18" w:rsidRDefault="006C1E18" w:rsidP="0025016C">
      <w:pPr>
        <w:rPr>
          <w:color w:val="053E91" w:themeColor="accent3" w:themeShade="80"/>
          <w:sz w:val="20"/>
          <w:szCs w:val="18"/>
        </w:rPr>
      </w:pPr>
      <w:r w:rsidRPr="006C1E18">
        <w:rPr>
          <w:color w:val="053E91" w:themeColor="accent3" w:themeShade="80"/>
          <w:sz w:val="20"/>
          <w:szCs w:val="18"/>
        </w:rPr>
        <w:t>Figure 1 – a buyer using multiple expense management tools</w:t>
      </w:r>
    </w:p>
    <w:p w14:paraId="1BA723B4" w14:textId="761169B5" w:rsidR="00682524" w:rsidRDefault="00682524" w:rsidP="00682524"/>
    <w:p w14:paraId="7F6BBBF1" w14:textId="336A9A1D" w:rsidR="00861073" w:rsidRPr="00861073" w:rsidRDefault="00861073" w:rsidP="00861073">
      <w:pPr>
        <w:pStyle w:val="Heading3"/>
        <w:rPr>
          <w:color w:val="000000" w:themeColor="text1"/>
        </w:rPr>
      </w:pPr>
      <w:r w:rsidRPr="00861073">
        <w:rPr>
          <w:color w:val="000000" w:themeColor="text1"/>
        </w:rPr>
        <w:t>Guidance</w:t>
      </w:r>
    </w:p>
    <w:p w14:paraId="4108BD44" w14:textId="2F003B8D" w:rsidR="00C82708" w:rsidRDefault="00926227" w:rsidP="009D420A">
      <w:r>
        <w:t>T</w:t>
      </w:r>
      <w:r w:rsidRPr="00C82708">
        <w:t xml:space="preserve">here are two </w:t>
      </w:r>
      <w:r w:rsidR="00086773">
        <w:t xml:space="preserve">broad </w:t>
      </w:r>
      <w:r w:rsidRPr="00C82708">
        <w:t>options</w:t>
      </w:r>
      <w:r>
        <w:t xml:space="preserve"> to route </w:t>
      </w:r>
      <w:r w:rsidR="00C82708">
        <w:t xml:space="preserve">inbound invoices </w:t>
      </w:r>
      <w:r>
        <w:t xml:space="preserve">to </w:t>
      </w:r>
      <w:r w:rsidR="00C82708">
        <w:t>different application</w:t>
      </w:r>
      <w:r>
        <w:t>s</w:t>
      </w:r>
      <w:r w:rsidR="00A04B3E">
        <w:t xml:space="preserve">. </w:t>
      </w:r>
    </w:p>
    <w:p w14:paraId="7007A19E" w14:textId="6C218651" w:rsidR="00086773" w:rsidRPr="001D218A" w:rsidRDefault="00086773" w:rsidP="001D218A">
      <w:pPr>
        <w:pStyle w:val="ListParagraph"/>
        <w:numPr>
          <w:ilvl w:val="0"/>
          <w:numId w:val="24"/>
        </w:numPr>
        <w:spacing w:before="120" w:after="120" w:line="240" w:lineRule="auto"/>
        <w:ind w:left="714" w:hanging="357"/>
        <w:contextualSpacing w:val="0"/>
        <w:rPr>
          <w:b/>
          <w:bCs/>
        </w:rPr>
      </w:pPr>
      <w:bookmarkStart w:id="0" w:name="_Hlk58486881"/>
      <w:r w:rsidRPr="001D218A">
        <w:rPr>
          <w:b/>
          <w:bCs/>
        </w:rPr>
        <w:t>Separate Participant Identifiers for each invoice receiving ap</w:t>
      </w:r>
      <w:bookmarkStart w:id="1" w:name="_GoBack"/>
      <w:bookmarkEnd w:id="1"/>
      <w:r w:rsidRPr="001D218A">
        <w:rPr>
          <w:b/>
          <w:bCs/>
        </w:rPr>
        <w:t>plication</w:t>
      </w:r>
    </w:p>
    <w:p w14:paraId="75096624" w14:textId="3ADBF23E" w:rsidR="00086773" w:rsidRPr="001D218A" w:rsidRDefault="0064457A" w:rsidP="001D218A">
      <w:pPr>
        <w:pStyle w:val="ListParagraph"/>
        <w:numPr>
          <w:ilvl w:val="0"/>
          <w:numId w:val="24"/>
        </w:numPr>
        <w:spacing w:before="120" w:after="120" w:line="240" w:lineRule="auto"/>
        <w:ind w:left="714" w:hanging="357"/>
        <w:contextualSpacing w:val="0"/>
        <w:rPr>
          <w:b/>
          <w:bCs/>
        </w:rPr>
      </w:pPr>
      <w:bookmarkStart w:id="2" w:name="_Hlk58486990"/>
      <w:bookmarkEnd w:id="0"/>
      <w:r>
        <w:rPr>
          <w:b/>
          <w:bCs/>
        </w:rPr>
        <w:t>A s</w:t>
      </w:r>
      <w:r w:rsidR="00086773" w:rsidRPr="001D218A">
        <w:rPr>
          <w:b/>
          <w:bCs/>
        </w:rPr>
        <w:t>ingle Participant Identifier exposed with internal routing to the correct application</w:t>
      </w:r>
      <w:r w:rsidR="001D218A" w:rsidRPr="001D218A">
        <w:rPr>
          <w:b/>
          <w:bCs/>
        </w:rPr>
        <w:t xml:space="preserve"> on the buyer’s side</w:t>
      </w:r>
      <w:r w:rsidR="001D218A">
        <w:rPr>
          <w:b/>
          <w:bCs/>
        </w:rPr>
        <w:t xml:space="preserve"> (C4)</w:t>
      </w:r>
    </w:p>
    <w:bookmarkEnd w:id="2"/>
    <w:p w14:paraId="2EC7ECCC" w14:textId="649348B9" w:rsidR="00086773" w:rsidRDefault="00086773" w:rsidP="00086773">
      <w:r w:rsidRPr="00C300CD">
        <w:rPr>
          <w:u w:val="single"/>
        </w:rPr>
        <w:t>Note:</w:t>
      </w:r>
      <w:r>
        <w:t xml:space="preserve"> A combination of both options may be the best solution for some businesses.</w:t>
      </w:r>
    </w:p>
    <w:p w14:paraId="103D00BC" w14:textId="77777777" w:rsidR="00C300CD" w:rsidRDefault="000F6C3A" w:rsidP="00086773">
      <w:r>
        <w:t>The two options are illustrated below in the Peppol context.</w:t>
      </w:r>
    </w:p>
    <w:p w14:paraId="57149D71" w14:textId="735147D1" w:rsidR="00C82708" w:rsidRDefault="000F6C3A" w:rsidP="00086773">
      <w:r>
        <w:t xml:space="preserve"> </w:t>
      </w:r>
    </w:p>
    <w:p w14:paraId="218FA79C" w14:textId="19B581F4" w:rsidR="00AD6C7D" w:rsidRPr="0008735C" w:rsidRDefault="000F6C3A" w:rsidP="009D420A">
      <w:pPr>
        <w:rPr>
          <w:b/>
          <w:bCs/>
          <w:color w:val="003A6C" w:themeColor="accent2" w:themeTint="E6"/>
        </w:rPr>
      </w:pPr>
      <w:r w:rsidRPr="0008735C">
        <w:rPr>
          <w:b/>
          <w:bCs/>
          <w:color w:val="003A6C" w:themeColor="accent2" w:themeTint="E6"/>
        </w:rPr>
        <w:t xml:space="preserve">Option 1 - </w:t>
      </w:r>
      <w:r w:rsidR="00353EB8" w:rsidRPr="00353EB8">
        <w:rPr>
          <w:b/>
          <w:bCs/>
          <w:color w:val="003A6C" w:themeColor="accent2" w:themeTint="E6"/>
        </w:rPr>
        <w:t>Separate Participant Identifiers for each invoice receiving application</w:t>
      </w:r>
    </w:p>
    <w:p w14:paraId="6BA0ED13" w14:textId="269E2025" w:rsidR="00AD6C7D" w:rsidRDefault="00C82708" w:rsidP="009D420A">
      <w:r w:rsidRPr="00C82708">
        <w:rPr>
          <w:noProof/>
        </w:rPr>
        <w:drawing>
          <wp:inline distT="0" distB="0" distL="0" distR="0" wp14:anchorId="14F02894" wp14:editId="70863FAA">
            <wp:extent cx="5759450" cy="1647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647190"/>
                    </a:xfrm>
                    <a:prstGeom prst="rect">
                      <a:avLst/>
                    </a:prstGeom>
                    <a:noFill/>
                    <a:ln>
                      <a:noFill/>
                    </a:ln>
                  </pic:spPr>
                </pic:pic>
              </a:graphicData>
            </a:graphic>
          </wp:inline>
        </w:drawing>
      </w:r>
    </w:p>
    <w:p w14:paraId="3855DC54" w14:textId="589643D9" w:rsidR="00AD6C7D" w:rsidRPr="00C67C24" w:rsidRDefault="00C67C24" w:rsidP="009D420A">
      <w:pPr>
        <w:rPr>
          <w:color w:val="053E91" w:themeColor="accent3" w:themeShade="80"/>
          <w:sz w:val="20"/>
          <w:szCs w:val="18"/>
        </w:rPr>
      </w:pPr>
      <w:r w:rsidRPr="00C67C24">
        <w:rPr>
          <w:color w:val="053E91" w:themeColor="accent3" w:themeShade="80"/>
          <w:sz w:val="20"/>
          <w:szCs w:val="18"/>
        </w:rPr>
        <w:t xml:space="preserve">Figure 2 </w:t>
      </w:r>
      <w:r>
        <w:rPr>
          <w:color w:val="053E91" w:themeColor="accent3" w:themeShade="80"/>
          <w:sz w:val="20"/>
          <w:szCs w:val="18"/>
        </w:rPr>
        <w:t>–</w:t>
      </w:r>
      <w:r w:rsidRPr="00C67C24">
        <w:rPr>
          <w:color w:val="053E91" w:themeColor="accent3" w:themeShade="80"/>
          <w:sz w:val="20"/>
          <w:szCs w:val="18"/>
        </w:rPr>
        <w:t xml:space="preserve"> </w:t>
      </w:r>
      <w:r>
        <w:rPr>
          <w:color w:val="053E91" w:themeColor="accent3" w:themeShade="80"/>
          <w:sz w:val="20"/>
          <w:szCs w:val="18"/>
        </w:rPr>
        <w:t xml:space="preserve">a buyer registers each ‘receiving </w:t>
      </w:r>
      <w:r w:rsidR="00E94B3E">
        <w:rPr>
          <w:color w:val="053E91" w:themeColor="accent3" w:themeShade="80"/>
          <w:sz w:val="20"/>
          <w:szCs w:val="18"/>
        </w:rPr>
        <w:t>application</w:t>
      </w:r>
      <w:r>
        <w:rPr>
          <w:color w:val="053E91" w:themeColor="accent3" w:themeShade="80"/>
          <w:sz w:val="20"/>
          <w:szCs w:val="18"/>
        </w:rPr>
        <w:t xml:space="preserve"> with a unique Peppol ID</w:t>
      </w:r>
    </w:p>
    <w:p w14:paraId="06D8EC73" w14:textId="22F25A4D" w:rsidR="002935B8" w:rsidRDefault="002935B8" w:rsidP="009D420A">
      <w:pPr>
        <w:rPr>
          <w:b/>
          <w:bCs/>
        </w:rPr>
      </w:pPr>
    </w:p>
    <w:p w14:paraId="356D44D1" w14:textId="4E321D14" w:rsidR="002935B8" w:rsidRDefault="002935B8" w:rsidP="00FA0D19">
      <w:r>
        <w:t>This is the easiest technical solution however</w:t>
      </w:r>
      <w:r w:rsidR="00FA0D19">
        <w:t xml:space="preserve"> C4 businesses</w:t>
      </w:r>
      <w:r>
        <w:t xml:space="preserve"> </w:t>
      </w:r>
      <w:r w:rsidR="00FA0D19">
        <w:t xml:space="preserve">will need to consider business </w:t>
      </w:r>
      <w:r>
        <w:t>impacts and user experience issues. This is particularly the case in Australia and New Zealand where the default user experience for supplier</w:t>
      </w:r>
      <w:r w:rsidR="00331D99">
        <w:t>s</w:t>
      </w:r>
      <w:r>
        <w:t xml:space="preserve"> is to use the ABN or NZBN.</w:t>
      </w:r>
    </w:p>
    <w:p w14:paraId="7FEF85F1" w14:textId="77777777" w:rsidR="002935B8" w:rsidRDefault="002935B8" w:rsidP="009D420A">
      <w:pPr>
        <w:rPr>
          <w:b/>
          <w:bCs/>
        </w:rPr>
      </w:pPr>
    </w:p>
    <w:p w14:paraId="58E8996B" w14:textId="4AF3A436" w:rsidR="00AD6C7D" w:rsidRPr="00086773" w:rsidRDefault="00086773" w:rsidP="009D420A">
      <w:pPr>
        <w:rPr>
          <w:b/>
          <w:bCs/>
        </w:rPr>
      </w:pPr>
      <w:r w:rsidRPr="00086773">
        <w:rPr>
          <w:b/>
          <w:bCs/>
        </w:rPr>
        <w:t>Pros</w:t>
      </w:r>
    </w:p>
    <w:p w14:paraId="107086EF" w14:textId="34ED7882" w:rsidR="00086773" w:rsidRDefault="00086773" w:rsidP="00086773">
      <w:pPr>
        <w:pStyle w:val="ListParagraph"/>
        <w:numPr>
          <w:ilvl w:val="0"/>
          <w:numId w:val="27"/>
        </w:numPr>
      </w:pPr>
      <w:r>
        <w:t>I</w:t>
      </w:r>
      <w:r w:rsidRPr="00CA5054">
        <w:t xml:space="preserve">nvoices </w:t>
      </w:r>
      <w:r>
        <w:t>are delivered to the desired application directly</w:t>
      </w:r>
    </w:p>
    <w:p w14:paraId="033A547B" w14:textId="2372D524" w:rsidR="00086773" w:rsidRDefault="00086773" w:rsidP="00086773">
      <w:pPr>
        <w:pStyle w:val="ListParagraph"/>
        <w:numPr>
          <w:ilvl w:val="0"/>
          <w:numId w:val="27"/>
        </w:numPr>
      </w:pPr>
      <w:r>
        <w:t>Flexibility for C4 to use different service providers</w:t>
      </w:r>
    </w:p>
    <w:p w14:paraId="09B70FE6" w14:textId="1534D671" w:rsidR="00086773" w:rsidRDefault="00086773" w:rsidP="00086773">
      <w:pPr>
        <w:pStyle w:val="ListParagraph"/>
        <w:numPr>
          <w:ilvl w:val="0"/>
          <w:numId w:val="27"/>
        </w:numPr>
      </w:pPr>
      <w:r>
        <w:t>No complex integrations required for C4</w:t>
      </w:r>
      <w:r w:rsidR="00124F22">
        <w:t>, between different internal systems/applications</w:t>
      </w:r>
    </w:p>
    <w:p w14:paraId="4C12CBA9" w14:textId="17790716" w:rsidR="00086773" w:rsidRDefault="00086773" w:rsidP="00086773"/>
    <w:p w14:paraId="19119AE1" w14:textId="7FD0CFAF" w:rsidR="00086773" w:rsidRDefault="00086773" w:rsidP="00086773">
      <w:pPr>
        <w:rPr>
          <w:b/>
          <w:bCs/>
        </w:rPr>
      </w:pPr>
      <w:r w:rsidRPr="00086773">
        <w:rPr>
          <w:b/>
          <w:bCs/>
        </w:rPr>
        <w:t>Cons</w:t>
      </w:r>
    </w:p>
    <w:p w14:paraId="1214F662" w14:textId="46027796" w:rsidR="00086773" w:rsidRDefault="00086773" w:rsidP="00086773">
      <w:pPr>
        <w:pStyle w:val="ListParagraph"/>
        <w:numPr>
          <w:ilvl w:val="0"/>
          <w:numId w:val="28"/>
        </w:numPr>
      </w:pPr>
      <w:r>
        <w:t>Effort required for supplier on-boarding</w:t>
      </w:r>
      <w:r w:rsidR="00124F22">
        <w:t>, to ensure they use the appropriate identifier when sending invoices</w:t>
      </w:r>
    </w:p>
    <w:p w14:paraId="08BC66DC" w14:textId="4475583F" w:rsidR="00086773" w:rsidRPr="00353EB8" w:rsidRDefault="00086773" w:rsidP="00124F22">
      <w:pPr>
        <w:pStyle w:val="ListParagraph"/>
        <w:numPr>
          <w:ilvl w:val="1"/>
          <w:numId w:val="28"/>
        </w:numPr>
        <w:rPr>
          <w:b/>
          <w:bCs/>
        </w:rPr>
      </w:pPr>
      <w:r>
        <w:t>Some suppliers will need to use other identifiers (rather than ABN/NZBN) to trade with the buyer</w:t>
      </w:r>
      <w:r w:rsidR="00353EB8">
        <w:t>.</w:t>
      </w:r>
    </w:p>
    <w:p w14:paraId="64C73037" w14:textId="01A24581" w:rsidR="00353EB8" w:rsidRPr="00353EB8" w:rsidRDefault="00124F22" w:rsidP="00124F22">
      <w:pPr>
        <w:pStyle w:val="ListParagraph"/>
        <w:numPr>
          <w:ilvl w:val="1"/>
          <w:numId w:val="28"/>
        </w:numPr>
        <w:rPr>
          <w:b/>
          <w:bCs/>
        </w:rPr>
      </w:pPr>
      <w:r>
        <w:t>There is a risk that some s</w:t>
      </w:r>
      <w:r w:rsidR="00353EB8">
        <w:t xml:space="preserve">uppliers </w:t>
      </w:r>
      <w:r>
        <w:t xml:space="preserve">may </w:t>
      </w:r>
      <w:r w:rsidR="00353EB8">
        <w:t xml:space="preserve">send invoices </w:t>
      </w:r>
      <w:r>
        <w:t xml:space="preserve">using </w:t>
      </w:r>
      <w:r w:rsidR="00353EB8">
        <w:t>incorrect identifier</w:t>
      </w:r>
      <w:r w:rsidR="0064457A">
        <w:t>s</w:t>
      </w:r>
      <w:r>
        <w:t xml:space="preserve"> (</w:t>
      </w:r>
      <w:r w:rsidR="00353EB8">
        <w:t>particularly to the ABN/NZBN</w:t>
      </w:r>
      <w:r>
        <w:t xml:space="preserve">) and as a result delivering invoices to incorrect applications. </w:t>
      </w:r>
    </w:p>
    <w:p w14:paraId="1BE18670" w14:textId="4951216E" w:rsidR="00353EB8" w:rsidRPr="00353EB8" w:rsidRDefault="00353EB8" w:rsidP="00086773">
      <w:pPr>
        <w:pStyle w:val="ListParagraph"/>
        <w:numPr>
          <w:ilvl w:val="0"/>
          <w:numId w:val="28"/>
        </w:numPr>
      </w:pPr>
      <w:r w:rsidRPr="00353EB8">
        <w:t xml:space="preserve">Cost of </w:t>
      </w:r>
      <w:r w:rsidR="00124F22">
        <w:t>maintaining</w:t>
      </w:r>
      <w:r w:rsidRPr="00353EB8">
        <w:t xml:space="preserve"> multiple Access Points</w:t>
      </w:r>
      <w:r>
        <w:t xml:space="preserve"> and Identifiers</w:t>
      </w:r>
      <w:r w:rsidR="0064457A">
        <w:t>.</w:t>
      </w:r>
      <w:r>
        <w:t xml:space="preserve"> </w:t>
      </w:r>
    </w:p>
    <w:p w14:paraId="45935838" w14:textId="2DBDC8D4" w:rsidR="00433879" w:rsidRDefault="00433879" w:rsidP="009D420A"/>
    <w:p w14:paraId="4A75248D" w14:textId="7D2D5468" w:rsidR="00AD6C7D" w:rsidRPr="0008735C" w:rsidRDefault="00360422" w:rsidP="009D420A">
      <w:pPr>
        <w:rPr>
          <w:b/>
          <w:bCs/>
          <w:color w:val="003A6C" w:themeColor="accent2" w:themeTint="E6"/>
        </w:rPr>
      </w:pPr>
      <w:r w:rsidRPr="0008735C">
        <w:rPr>
          <w:b/>
          <w:bCs/>
          <w:color w:val="003A6C" w:themeColor="accent2" w:themeTint="E6"/>
        </w:rPr>
        <w:t xml:space="preserve">Option 2 - </w:t>
      </w:r>
      <w:r w:rsidR="00353EB8" w:rsidRPr="00353EB8">
        <w:rPr>
          <w:b/>
          <w:bCs/>
          <w:color w:val="003A6C" w:themeColor="accent2" w:themeTint="E6"/>
        </w:rPr>
        <w:t xml:space="preserve">Single Participant Identifier exposed with internal routing </w:t>
      </w:r>
      <w:r w:rsidR="000D30D7">
        <w:rPr>
          <w:b/>
          <w:bCs/>
          <w:color w:val="003A6C" w:themeColor="accent2" w:themeTint="E6"/>
        </w:rPr>
        <w:t>capability within buyer</w:t>
      </w:r>
      <w:r w:rsidR="0064457A">
        <w:rPr>
          <w:b/>
          <w:bCs/>
          <w:color w:val="003A6C" w:themeColor="accent2" w:themeTint="E6"/>
        </w:rPr>
        <w:t>’</w:t>
      </w:r>
      <w:r w:rsidR="000D30D7">
        <w:rPr>
          <w:b/>
          <w:bCs/>
          <w:color w:val="003A6C" w:themeColor="accent2" w:themeTint="E6"/>
        </w:rPr>
        <w:t xml:space="preserve">s </w:t>
      </w:r>
      <w:r w:rsidR="00353EB8" w:rsidRPr="00353EB8">
        <w:rPr>
          <w:b/>
          <w:bCs/>
          <w:color w:val="003A6C" w:themeColor="accent2" w:themeTint="E6"/>
        </w:rPr>
        <w:t xml:space="preserve">side </w:t>
      </w:r>
    </w:p>
    <w:p w14:paraId="438E43C6" w14:textId="3F2DBDA2" w:rsidR="0098703F" w:rsidRDefault="00C6640C" w:rsidP="009D420A">
      <w:r w:rsidRPr="00C6640C">
        <w:rPr>
          <w:noProof/>
        </w:rPr>
        <w:drawing>
          <wp:inline distT="0" distB="0" distL="0" distR="0" wp14:anchorId="654D1D15" wp14:editId="149DA8C8">
            <wp:extent cx="5610225" cy="16948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598" cy="1696443"/>
                    </a:xfrm>
                    <a:prstGeom prst="rect">
                      <a:avLst/>
                    </a:prstGeom>
                    <a:noFill/>
                    <a:ln>
                      <a:noFill/>
                    </a:ln>
                  </pic:spPr>
                </pic:pic>
              </a:graphicData>
            </a:graphic>
          </wp:inline>
        </w:drawing>
      </w:r>
    </w:p>
    <w:p w14:paraId="56E935BB" w14:textId="4BBF2E2F" w:rsidR="0098703F" w:rsidRDefault="0098703F" w:rsidP="009D420A"/>
    <w:p w14:paraId="50C6AF14" w14:textId="4638F2A7" w:rsidR="00E733FE" w:rsidRPr="00C67C24" w:rsidRDefault="00E733FE" w:rsidP="00E733FE">
      <w:pPr>
        <w:rPr>
          <w:color w:val="053E91" w:themeColor="accent3" w:themeShade="80"/>
          <w:sz w:val="20"/>
          <w:szCs w:val="18"/>
        </w:rPr>
      </w:pPr>
      <w:r w:rsidRPr="00C67C24">
        <w:rPr>
          <w:color w:val="053E91" w:themeColor="accent3" w:themeShade="80"/>
          <w:sz w:val="20"/>
          <w:szCs w:val="18"/>
        </w:rPr>
        <w:t xml:space="preserve">Figure 2 </w:t>
      </w:r>
      <w:r>
        <w:rPr>
          <w:color w:val="053E91" w:themeColor="accent3" w:themeShade="80"/>
          <w:sz w:val="20"/>
          <w:szCs w:val="18"/>
        </w:rPr>
        <w:t>–</w:t>
      </w:r>
      <w:r w:rsidRPr="00C67C24">
        <w:rPr>
          <w:color w:val="053E91" w:themeColor="accent3" w:themeShade="80"/>
          <w:sz w:val="20"/>
          <w:szCs w:val="18"/>
        </w:rPr>
        <w:t xml:space="preserve"> </w:t>
      </w:r>
      <w:r w:rsidR="00AD51DD">
        <w:rPr>
          <w:color w:val="053E91" w:themeColor="accent3" w:themeShade="80"/>
          <w:sz w:val="20"/>
          <w:szCs w:val="18"/>
        </w:rPr>
        <w:t xml:space="preserve">the </w:t>
      </w:r>
      <w:r>
        <w:rPr>
          <w:color w:val="053E91" w:themeColor="accent3" w:themeShade="80"/>
          <w:sz w:val="20"/>
          <w:szCs w:val="18"/>
        </w:rPr>
        <w:t xml:space="preserve">buyer </w:t>
      </w:r>
      <w:r w:rsidR="00AD51DD">
        <w:rPr>
          <w:color w:val="053E91" w:themeColor="accent3" w:themeShade="80"/>
          <w:sz w:val="20"/>
          <w:szCs w:val="18"/>
        </w:rPr>
        <w:t xml:space="preserve">uses one Peppol </w:t>
      </w:r>
      <w:r w:rsidR="0064457A">
        <w:rPr>
          <w:color w:val="053E91" w:themeColor="accent3" w:themeShade="80"/>
          <w:sz w:val="20"/>
          <w:szCs w:val="18"/>
        </w:rPr>
        <w:t>A</w:t>
      </w:r>
      <w:r w:rsidR="00AD51DD">
        <w:rPr>
          <w:color w:val="053E91" w:themeColor="accent3" w:themeShade="80"/>
          <w:sz w:val="20"/>
          <w:szCs w:val="18"/>
        </w:rPr>
        <w:t xml:space="preserve">ccess </w:t>
      </w:r>
      <w:r w:rsidR="0064457A">
        <w:rPr>
          <w:color w:val="053E91" w:themeColor="accent3" w:themeShade="80"/>
          <w:sz w:val="20"/>
          <w:szCs w:val="18"/>
        </w:rPr>
        <w:t>P</w:t>
      </w:r>
      <w:r w:rsidR="00AD51DD">
        <w:rPr>
          <w:color w:val="053E91" w:themeColor="accent3" w:themeShade="80"/>
          <w:sz w:val="20"/>
          <w:szCs w:val="18"/>
        </w:rPr>
        <w:t>oint to receive all invoices and route internally</w:t>
      </w:r>
    </w:p>
    <w:p w14:paraId="005BA675" w14:textId="6D627B6D" w:rsidR="0098703F" w:rsidRDefault="0098703F" w:rsidP="009D420A"/>
    <w:p w14:paraId="7625FD4E" w14:textId="73654BF8" w:rsidR="00353EB8" w:rsidRPr="00353EB8" w:rsidRDefault="00353EB8" w:rsidP="009D420A">
      <w:pPr>
        <w:rPr>
          <w:b/>
          <w:bCs/>
        </w:rPr>
      </w:pPr>
      <w:r w:rsidRPr="00353EB8">
        <w:rPr>
          <w:b/>
          <w:bCs/>
        </w:rPr>
        <w:t>Pros</w:t>
      </w:r>
    </w:p>
    <w:p w14:paraId="1B1AE60E" w14:textId="266EAD8F" w:rsidR="00353EB8" w:rsidRDefault="00353EB8" w:rsidP="000900C7">
      <w:pPr>
        <w:pStyle w:val="ListParagraph"/>
        <w:numPr>
          <w:ilvl w:val="0"/>
          <w:numId w:val="29"/>
        </w:numPr>
      </w:pPr>
      <w:r>
        <w:t>Simpler supplier experience (uses ABN/NZBN as the default identifier)</w:t>
      </w:r>
    </w:p>
    <w:p w14:paraId="42E192E9" w14:textId="77777777" w:rsidR="00353EB8" w:rsidRDefault="00353EB8" w:rsidP="009D420A"/>
    <w:p w14:paraId="39AEA773" w14:textId="48E89618" w:rsidR="00353EB8" w:rsidRPr="00353EB8" w:rsidRDefault="00353EB8" w:rsidP="009D420A">
      <w:pPr>
        <w:rPr>
          <w:b/>
          <w:bCs/>
        </w:rPr>
      </w:pPr>
      <w:r w:rsidRPr="00353EB8">
        <w:rPr>
          <w:b/>
          <w:bCs/>
        </w:rPr>
        <w:t>Cons</w:t>
      </w:r>
    </w:p>
    <w:p w14:paraId="2DAE2DB6" w14:textId="063A54A0" w:rsidR="00353EB8" w:rsidRDefault="00353EB8" w:rsidP="00353EB8">
      <w:pPr>
        <w:pStyle w:val="ListParagraph"/>
        <w:numPr>
          <w:ilvl w:val="0"/>
          <w:numId w:val="30"/>
        </w:numPr>
      </w:pPr>
      <w:r>
        <w:t xml:space="preserve">Build effort to enable routing between multiple </w:t>
      </w:r>
      <w:r w:rsidR="0055661A">
        <w:t xml:space="preserve">C4 </w:t>
      </w:r>
      <w:r>
        <w:t>applications.</w:t>
      </w:r>
    </w:p>
    <w:p w14:paraId="7711296D" w14:textId="1B18134A" w:rsidR="00353EB8" w:rsidRDefault="00353EB8" w:rsidP="00353EB8">
      <w:pPr>
        <w:pStyle w:val="ListParagraph"/>
        <w:numPr>
          <w:ilvl w:val="0"/>
          <w:numId w:val="30"/>
        </w:numPr>
      </w:pPr>
      <w:r>
        <w:t>Supplier on-boarding effort still required to ensure suppliers provide adequate information to enable C4 to route an invoice to the right application.</w:t>
      </w:r>
    </w:p>
    <w:p w14:paraId="05A8B69B" w14:textId="532C4744" w:rsidR="00353EB8" w:rsidRDefault="00353EB8" w:rsidP="00353EB8">
      <w:pPr>
        <w:pStyle w:val="ListParagraph"/>
        <w:numPr>
          <w:ilvl w:val="0"/>
          <w:numId w:val="30"/>
        </w:numPr>
      </w:pPr>
      <w:r>
        <w:t xml:space="preserve">C4 can only use one </w:t>
      </w:r>
      <w:r w:rsidR="000C158F">
        <w:t>A</w:t>
      </w:r>
      <w:r>
        <w:t xml:space="preserve">ccess </w:t>
      </w:r>
      <w:r w:rsidR="000C158F">
        <w:t>P</w:t>
      </w:r>
      <w:r>
        <w:t xml:space="preserve">oint provider to receive invoices (but can use a different </w:t>
      </w:r>
      <w:r w:rsidR="0064457A">
        <w:t>A</w:t>
      </w:r>
      <w:r>
        <w:t xml:space="preserve">ccess </w:t>
      </w:r>
      <w:r w:rsidR="0064457A">
        <w:t>P</w:t>
      </w:r>
      <w:r>
        <w:t xml:space="preserve">oint for </w:t>
      </w:r>
      <w:r w:rsidR="000C158F">
        <w:t xml:space="preserve">different </w:t>
      </w:r>
      <w:r>
        <w:t>documents, e.g. Order).</w:t>
      </w:r>
    </w:p>
    <w:p w14:paraId="30D875AA" w14:textId="7B26CED3" w:rsidR="00353EB8" w:rsidRDefault="00353EB8" w:rsidP="009D420A"/>
    <w:p w14:paraId="03B2CCE2" w14:textId="08DB40B2" w:rsidR="00353EB8" w:rsidRDefault="00671A14" w:rsidP="00353EB8">
      <w:pPr>
        <w:pStyle w:val="Heading4"/>
        <w:rPr>
          <w:sz w:val="34"/>
          <w:szCs w:val="34"/>
        </w:rPr>
      </w:pPr>
      <w:r>
        <w:rPr>
          <w:sz w:val="34"/>
          <w:szCs w:val="34"/>
        </w:rPr>
        <w:t>Recommendations</w:t>
      </w:r>
    </w:p>
    <w:p w14:paraId="5E4DAE3A" w14:textId="3E6C9141" w:rsidR="008B2494" w:rsidRPr="008B2494" w:rsidRDefault="008B2494" w:rsidP="008B2494">
      <w:r>
        <w:t xml:space="preserve">The following recommendations should be considered to achieve greater efficiency in managing and processing invoices. </w:t>
      </w:r>
    </w:p>
    <w:p w14:paraId="65DFA50A" w14:textId="4767CB67" w:rsidR="00353EB8" w:rsidRDefault="000900C7" w:rsidP="0099164B">
      <w:pPr>
        <w:pStyle w:val="ListParagraph"/>
        <w:numPr>
          <w:ilvl w:val="0"/>
          <w:numId w:val="31"/>
        </w:numPr>
        <w:spacing w:before="120" w:after="120"/>
        <w:contextualSpacing w:val="0"/>
      </w:pPr>
      <w:r>
        <w:t xml:space="preserve">Where practical, businesses should centralise their accounts payable functions and use an invoice management solution </w:t>
      </w:r>
      <w:r w:rsidR="008B2494">
        <w:t xml:space="preserve">(i.e. automation) </w:t>
      </w:r>
      <w:r>
        <w:t>to manage the approval and processing of invoices.</w:t>
      </w:r>
    </w:p>
    <w:p w14:paraId="638EA819" w14:textId="30E86F97" w:rsidR="00721828" w:rsidRDefault="00721828" w:rsidP="0099164B">
      <w:pPr>
        <w:pStyle w:val="ListParagraph"/>
        <w:numPr>
          <w:ilvl w:val="0"/>
          <w:numId w:val="31"/>
        </w:numPr>
        <w:spacing w:before="120" w:after="120"/>
        <w:contextualSpacing w:val="0"/>
      </w:pPr>
      <w:r>
        <w:lastRenderedPageBreak/>
        <w:t xml:space="preserve">Systems that only handle specific types of invoices (e.g. from a specific group of suppliers, or of </w:t>
      </w:r>
      <w:r w:rsidRPr="00721828">
        <w:t>specif</w:t>
      </w:r>
      <w:r>
        <w:t xml:space="preserve">ic industry/business requirements) </w:t>
      </w:r>
      <w:r w:rsidRPr="00721828">
        <w:t>should</w:t>
      </w:r>
      <w:r>
        <w:t xml:space="preserve"> utilise other identifers (such as GLN or DUNS number). Common examples include travel management and labour hire, for which contracts/purchases and invoices are better managed by specialised application.  </w:t>
      </w:r>
    </w:p>
    <w:p w14:paraId="324A5C1E" w14:textId="46DC6027" w:rsidR="00721828" w:rsidRDefault="00721828" w:rsidP="0099164B">
      <w:pPr>
        <w:spacing w:before="120" w:after="120"/>
        <w:ind w:left="720"/>
      </w:pPr>
      <w:r>
        <w:t>Receivers should endeavour to ensure only those invoices meant to be received by a specific-purpose system are sent to that system. All other invoices should be received into a general-purpose invoice management system (refer to Recommendation 1).</w:t>
      </w:r>
    </w:p>
    <w:p w14:paraId="0040F428" w14:textId="5A9CE126" w:rsidR="000900C7" w:rsidRDefault="000900C7" w:rsidP="0099164B">
      <w:pPr>
        <w:pStyle w:val="ListParagraph"/>
        <w:numPr>
          <w:ilvl w:val="0"/>
          <w:numId w:val="31"/>
        </w:numPr>
        <w:spacing w:before="120" w:after="120"/>
        <w:contextualSpacing w:val="0"/>
      </w:pPr>
      <w:r>
        <w:t xml:space="preserve">Where </w:t>
      </w:r>
      <w:r w:rsidR="0076688F">
        <w:t xml:space="preserve">it is desirable to maintain </w:t>
      </w:r>
      <w:r>
        <w:t xml:space="preserve">multiple systems </w:t>
      </w:r>
      <w:r w:rsidR="0076688F">
        <w:t xml:space="preserve">for </w:t>
      </w:r>
      <w:r>
        <w:t>inbound invoices the ABN</w:t>
      </w:r>
      <w:r w:rsidR="0076688F">
        <w:t>/NZBN</w:t>
      </w:r>
      <w:r>
        <w:t xml:space="preserve"> should be used </w:t>
      </w:r>
      <w:r w:rsidR="0076688F">
        <w:t xml:space="preserve">for routing to the system that handles </w:t>
      </w:r>
      <w:r w:rsidR="008E2D13">
        <w:t>general</w:t>
      </w:r>
      <w:r w:rsidR="008B2494">
        <w:t xml:space="preserve">, </w:t>
      </w:r>
      <w:r w:rsidR="0076688F">
        <w:t>non-trade type invoices.</w:t>
      </w:r>
    </w:p>
    <w:p w14:paraId="0A26230F" w14:textId="64B6EE7E" w:rsidR="0076688F" w:rsidRPr="0076688F" w:rsidRDefault="0076688F" w:rsidP="0099164B">
      <w:pPr>
        <w:spacing w:before="120" w:after="120"/>
        <w:ind w:left="720"/>
      </w:pPr>
      <w:r w:rsidRPr="0076688F">
        <w:rPr>
          <w:b/>
          <w:bCs/>
        </w:rPr>
        <w:t xml:space="preserve">Rationale: </w:t>
      </w:r>
      <w:r>
        <w:t xml:space="preserve">There is likely to be a comprehensive supplier on-boarding process for trade suppliers. </w:t>
      </w:r>
      <w:r w:rsidR="003951AF">
        <w:t xml:space="preserve">This will make it simpler to ensure they are provided with and use the correct identifier. </w:t>
      </w:r>
      <w:r>
        <w:t>For the non-trade side of the business</w:t>
      </w:r>
      <w:r w:rsidR="0064457A">
        <w:t>,</w:t>
      </w:r>
      <w:r>
        <w:t xml:space="preserve"> the relationship to supplie</w:t>
      </w:r>
      <w:r w:rsidR="003951AF">
        <w:t>r</w:t>
      </w:r>
      <w:r>
        <w:t xml:space="preserve">s are often more ad-hoc and transitory in nature. Given the default experience for most businesses will be to use the </w:t>
      </w:r>
      <w:r w:rsidR="003951AF">
        <w:t xml:space="preserve">buyer’s </w:t>
      </w:r>
      <w:r>
        <w:t>ABN</w:t>
      </w:r>
      <w:r w:rsidR="003951AF">
        <w:t>/NZBN</w:t>
      </w:r>
      <w:r>
        <w:t xml:space="preserve"> </w:t>
      </w:r>
      <w:r w:rsidR="003951AF">
        <w:t xml:space="preserve">to </w:t>
      </w:r>
      <w:r w:rsidR="008B2494">
        <w:t xml:space="preserve">look up a buyer and </w:t>
      </w:r>
      <w:r w:rsidR="003951AF">
        <w:t>send an invoice</w:t>
      </w:r>
      <w:r w:rsidR="008B2494">
        <w:t>, this</w:t>
      </w:r>
      <w:r w:rsidR="003951AF">
        <w:t xml:space="preserve"> arrangement </w:t>
      </w:r>
      <w:r w:rsidR="008B2494">
        <w:t xml:space="preserve">is more likely to ensure </w:t>
      </w:r>
      <w:r w:rsidR="003951AF">
        <w:t xml:space="preserve">invoices </w:t>
      </w:r>
      <w:r w:rsidR="008B2494">
        <w:t xml:space="preserve">are </w:t>
      </w:r>
      <w:r w:rsidR="003951AF">
        <w:t>sent to the correct system.</w:t>
      </w:r>
    </w:p>
    <w:p w14:paraId="39F8256F" w14:textId="58E83C1A" w:rsidR="0008311E" w:rsidRPr="00AB1CD3" w:rsidRDefault="0008311E" w:rsidP="0008311E">
      <w:pPr>
        <w:pStyle w:val="ListParagraph"/>
        <w:numPr>
          <w:ilvl w:val="0"/>
          <w:numId w:val="31"/>
        </w:numPr>
        <w:spacing w:before="120" w:after="120"/>
        <w:contextualSpacing w:val="0"/>
      </w:pPr>
      <w:r>
        <w:t xml:space="preserve">Internal routing will mostly likely rely on invoice contents, such as Purchase order number and/or Vendor ID. This should be leveraged off the ‘Best Practice’ data elements listed in the </w:t>
      </w:r>
      <w:hyperlink r:id="rId16" w:history="1">
        <w:r w:rsidRPr="00AB1CD3">
          <w:rPr>
            <w:rStyle w:val="Hyperlink"/>
          </w:rPr>
          <w:t>Industry Practice Statement on Invoice Content</w:t>
        </w:r>
      </w:hyperlink>
      <w:r w:rsidRPr="00AB1CD3">
        <w:t>.</w:t>
      </w:r>
    </w:p>
    <w:p w14:paraId="50A1C6C8" w14:textId="2643E5F0" w:rsidR="0008311E" w:rsidRPr="00AB1CD3" w:rsidRDefault="0008311E" w:rsidP="0008311E">
      <w:pPr>
        <w:pStyle w:val="ListParagraph"/>
        <w:numPr>
          <w:ilvl w:val="0"/>
          <w:numId w:val="31"/>
        </w:numPr>
        <w:spacing w:before="120" w:after="120"/>
        <w:contextualSpacing w:val="0"/>
      </w:pPr>
      <w:r w:rsidRPr="00AB1CD3">
        <w:t>For internal routing to work effectively</w:t>
      </w:r>
      <w:r w:rsidR="0064457A">
        <w:t>,</w:t>
      </w:r>
      <w:r w:rsidRPr="00AB1CD3">
        <w:t xml:space="preserve"> the integration between systems should </w:t>
      </w:r>
      <w:r>
        <w:t>consider</w:t>
      </w:r>
      <w:r w:rsidRPr="00AB1CD3">
        <w:t xml:space="preserve"> invoice response messaging. Businesses can either use a single system to manage all messaging with the Access Point or have multiple systems connect directly to the Access Point for send and response messaging. </w:t>
      </w:r>
    </w:p>
    <w:p w14:paraId="5277FBE4" w14:textId="77777777" w:rsidR="00AB1CD3" w:rsidRDefault="00A3313A" w:rsidP="0099164B">
      <w:pPr>
        <w:pStyle w:val="ListParagraph"/>
        <w:numPr>
          <w:ilvl w:val="0"/>
          <w:numId w:val="31"/>
        </w:numPr>
        <w:spacing w:before="120" w:after="120"/>
        <w:contextualSpacing w:val="0"/>
      </w:pPr>
      <w:r>
        <w:t xml:space="preserve">Businesses must be prepared to handle invoices sent to the wrong location. Suppliers should be educated to send to the correct </w:t>
      </w:r>
      <w:r w:rsidR="008E2D13">
        <w:t>identifier</w:t>
      </w:r>
      <w:r>
        <w:t xml:space="preserve"> where this occurs. </w:t>
      </w:r>
    </w:p>
    <w:p w14:paraId="57F90D0C" w14:textId="77777777" w:rsidR="00AB1CD3" w:rsidRDefault="00A3313A" w:rsidP="0099164B">
      <w:pPr>
        <w:pStyle w:val="ListParagraph"/>
        <w:spacing w:before="120" w:after="120"/>
        <w:contextualSpacing w:val="0"/>
      </w:pPr>
      <w:r>
        <w:t xml:space="preserve">On an exception basis, buyers </w:t>
      </w:r>
      <w:r w:rsidR="00AB1CD3">
        <w:t>should have the capability to</w:t>
      </w:r>
      <w:r>
        <w:t xml:space="preserve"> </w:t>
      </w:r>
      <w:r w:rsidR="00AB1CD3">
        <w:t>‘</w:t>
      </w:r>
      <w:r>
        <w:t>route</w:t>
      </w:r>
      <w:r w:rsidR="00AB1CD3">
        <w:t>’</w:t>
      </w:r>
      <w:r>
        <w:t xml:space="preserve"> the invoice to the correct location</w:t>
      </w:r>
      <w:r w:rsidR="00AB1CD3">
        <w:t xml:space="preserve">, ideally </w:t>
      </w:r>
      <w:r>
        <w:t xml:space="preserve">using direct integration between their systems. </w:t>
      </w:r>
    </w:p>
    <w:p w14:paraId="15A8EFB2" w14:textId="6DAC4083" w:rsidR="00A3313A" w:rsidRDefault="00A3313A" w:rsidP="0099164B">
      <w:pPr>
        <w:pStyle w:val="ListParagraph"/>
        <w:spacing w:before="120" w:after="120"/>
        <w:contextualSpacing w:val="0"/>
      </w:pPr>
      <w:r>
        <w:t>Consideration should be given to how</w:t>
      </w:r>
      <w:r w:rsidR="00EB5699">
        <w:t xml:space="preserve"> buyers support</w:t>
      </w:r>
      <w:r>
        <w:t xml:space="preserve"> </w:t>
      </w:r>
      <w:hyperlink r:id="rId17" w:history="1">
        <w:r w:rsidRPr="00AB1CD3">
          <w:rPr>
            <w:rStyle w:val="Hyperlink"/>
          </w:rPr>
          <w:t>invoice response messaging</w:t>
        </w:r>
      </w:hyperlink>
      <w:r>
        <w:t xml:space="preserve"> in this scenario.</w:t>
      </w:r>
    </w:p>
    <w:p w14:paraId="0BA49B2D" w14:textId="77777777" w:rsidR="009D420A" w:rsidRDefault="009D420A" w:rsidP="009D420A"/>
    <w:p w14:paraId="21C97404" w14:textId="77777777" w:rsidR="009D420A" w:rsidRDefault="009D420A" w:rsidP="009D420A"/>
    <w:p w14:paraId="25E6AD74" w14:textId="00242B32" w:rsidR="00D62E06" w:rsidRDefault="00D62E06">
      <w:pPr>
        <w:spacing w:before="0" w:line="240" w:lineRule="auto"/>
      </w:pPr>
      <w:r>
        <w:br w:type="page"/>
      </w:r>
    </w:p>
    <w:p w14:paraId="0699C794" w14:textId="77777777" w:rsidR="00F45685" w:rsidRDefault="00F45685" w:rsidP="00701E1F"/>
    <w:p w14:paraId="4773BA36" w14:textId="48748622" w:rsidR="00C6511F" w:rsidRPr="00701E1F" w:rsidRDefault="00701E1F" w:rsidP="00701E1F">
      <w:pPr>
        <w:rPr>
          <w:rFonts w:ascii="Arial" w:eastAsiaTheme="majorEastAsia" w:hAnsi="Arial" w:cstheme="majorBidi"/>
          <w:b/>
          <w:bCs/>
          <w:iCs/>
          <w:sz w:val="26"/>
        </w:rPr>
      </w:pPr>
      <w:r w:rsidRPr="00701E1F">
        <w:rPr>
          <w:rFonts w:ascii="Arial" w:eastAsiaTheme="majorEastAsia" w:hAnsi="Arial" w:cstheme="majorBidi"/>
          <w:b/>
          <w:bCs/>
          <w:iCs/>
          <w:sz w:val="26"/>
        </w:rPr>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55DFB4D9" w14:textId="77777777" w:rsidTr="00701E1F">
        <w:tc>
          <w:tcPr>
            <w:tcW w:w="1560" w:type="dxa"/>
            <w:tcBorders>
              <w:top w:val="single" w:sz="4" w:space="0" w:color="auto"/>
              <w:left w:val="single" w:sz="4" w:space="0" w:color="auto"/>
              <w:bottom w:val="single" w:sz="4" w:space="0" w:color="auto"/>
            </w:tcBorders>
          </w:tcPr>
          <w:p w14:paraId="3DBB779E" w14:textId="77777777" w:rsidR="00701E1F" w:rsidRPr="0025016C" w:rsidRDefault="00701E1F" w:rsidP="00D22D2B">
            <w:pPr>
              <w:pStyle w:val="Tabletext"/>
              <w:rPr>
                <w:b/>
              </w:rPr>
            </w:pPr>
            <w:r>
              <w:rPr>
                <w:b/>
              </w:rPr>
              <w:t>Version</w:t>
            </w:r>
          </w:p>
        </w:tc>
        <w:tc>
          <w:tcPr>
            <w:tcW w:w="2273" w:type="dxa"/>
          </w:tcPr>
          <w:p w14:paraId="5BE8C59C" w14:textId="77777777" w:rsidR="00701E1F" w:rsidRPr="0025016C" w:rsidRDefault="00701E1F" w:rsidP="00D22D2B">
            <w:pPr>
              <w:pStyle w:val="Tabletext"/>
              <w:rPr>
                <w:b/>
              </w:rPr>
            </w:pPr>
            <w:r>
              <w:rPr>
                <w:b/>
              </w:rPr>
              <w:t>Date</w:t>
            </w:r>
          </w:p>
        </w:tc>
        <w:tc>
          <w:tcPr>
            <w:tcW w:w="5242" w:type="dxa"/>
            <w:tcBorders>
              <w:top w:val="single" w:sz="4" w:space="0" w:color="auto"/>
              <w:bottom w:val="single" w:sz="4" w:space="0" w:color="auto"/>
            </w:tcBorders>
          </w:tcPr>
          <w:p w14:paraId="0BF1CA04" w14:textId="77777777" w:rsidR="00701E1F" w:rsidRPr="0025016C" w:rsidRDefault="00701E1F" w:rsidP="00D22D2B">
            <w:pPr>
              <w:pStyle w:val="Tabletext"/>
              <w:rPr>
                <w:b/>
              </w:rPr>
            </w:pPr>
            <w:r>
              <w:rPr>
                <w:b/>
              </w:rPr>
              <w:t>Change</w:t>
            </w:r>
          </w:p>
        </w:tc>
      </w:tr>
      <w:tr w:rsidR="00701E1F" w:rsidRPr="00A862A8" w14:paraId="6BB66E27" w14:textId="77777777" w:rsidTr="00701E1F">
        <w:tc>
          <w:tcPr>
            <w:tcW w:w="1560" w:type="dxa"/>
            <w:tcBorders>
              <w:top w:val="single" w:sz="4" w:space="0" w:color="auto"/>
              <w:left w:val="single" w:sz="4" w:space="0" w:color="auto"/>
              <w:bottom w:val="single" w:sz="4" w:space="0" w:color="auto"/>
            </w:tcBorders>
          </w:tcPr>
          <w:p w14:paraId="0229C7EC" w14:textId="77777777" w:rsidR="00701E1F" w:rsidRDefault="00701E1F" w:rsidP="00701E1F">
            <w:pPr>
              <w:pStyle w:val="Tabletext"/>
            </w:pPr>
            <w:r>
              <w:t>1.0</w:t>
            </w:r>
          </w:p>
        </w:tc>
        <w:tc>
          <w:tcPr>
            <w:tcW w:w="2273" w:type="dxa"/>
          </w:tcPr>
          <w:p w14:paraId="17E7491B" w14:textId="77777777" w:rsidR="00701E1F" w:rsidRPr="00A862A8" w:rsidRDefault="00701E1F" w:rsidP="00D22D2B">
            <w:pPr>
              <w:pStyle w:val="Tabletext"/>
            </w:pPr>
            <w:r w:rsidRPr="009453DD">
              <w:rPr>
                <w:highlight w:val="yellow"/>
              </w:rPr>
              <w:t>[date]</w:t>
            </w:r>
          </w:p>
        </w:tc>
        <w:tc>
          <w:tcPr>
            <w:tcW w:w="5242" w:type="dxa"/>
            <w:tcBorders>
              <w:top w:val="single" w:sz="4" w:space="0" w:color="auto"/>
              <w:bottom w:val="single" w:sz="4" w:space="0" w:color="auto"/>
            </w:tcBorders>
          </w:tcPr>
          <w:p w14:paraId="1EEC5646" w14:textId="77777777" w:rsidR="00701E1F" w:rsidRPr="00A862A8" w:rsidRDefault="00701E1F" w:rsidP="00D22D2B">
            <w:pPr>
              <w:pStyle w:val="Tabletext"/>
            </w:pPr>
            <w:r>
              <w:t>Initial published version</w:t>
            </w:r>
          </w:p>
        </w:tc>
      </w:tr>
      <w:tr w:rsidR="00701E1F" w:rsidRPr="00A862A8" w14:paraId="459BC86A" w14:textId="77777777" w:rsidTr="00701E1F">
        <w:tc>
          <w:tcPr>
            <w:tcW w:w="1560" w:type="dxa"/>
            <w:tcBorders>
              <w:top w:val="single" w:sz="4" w:space="0" w:color="auto"/>
              <w:left w:val="single" w:sz="4" w:space="0" w:color="auto"/>
              <w:bottom w:val="single" w:sz="4" w:space="0" w:color="auto"/>
            </w:tcBorders>
          </w:tcPr>
          <w:p w14:paraId="50ACCD3F" w14:textId="77777777" w:rsidR="00701E1F" w:rsidRPr="009453DD" w:rsidRDefault="006C189E" w:rsidP="00701E1F">
            <w:pPr>
              <w:pStyle w:val="Tabletext"/>
              <w:rPr>
                <w:highlight w:val="yellow"/>
              </w:rPr>
            </w:pPr>
            <w:r w:rsidRPr="009453DD">
              <w:rPr>
                <w:highlight w:val="yellow"/>
              </w:rPr>
              <w:t>1.1</w:t>
            </w:r>
          </w:p>
        </w:tc>
        <w:tc>
          <w:tcPr>
            <w:tcW w:w="2273" w:type="dxa"/>
          </w:tcPr>
          <w:p w14:paraId="104AC620" w14:textId="77777777" w:rsidR="00701E1F" w:rsidRPr="009453DD" w:rsidRDefault="00701E1F" w:rsidP="00D22D2B">
            <w:pPr>
              <w:pStyle w:val="Tabletext"/>
              <w:rPr>
                <w:highlight w:val="yellow"/>
              </w:rPr>
            </w:pPr>
            <w:r w:rsidRPr="009453DD">
              <w:rPr>
                <w:highlight w:val="yellow"/>
              </w:rPr>
              <w:t>[date]</w:t>
            </w:r>
          </w:p>
        </w:tc>
        <w:tc>
          <w:tcPr>
            <w:tcW w:w="5242" w:type="dxa"/>
            <w:tcBorders>
              <w:top w:val="single" w:sz="4" w:space="0" w:color="auto"/>
              <w:bottom w:val="single" w:sz="4" w:space="0" w:color="auto"/>
            </w:tcBorders>
          </w:tcPr>
          <w:p w14:paraId="1F9F841B" w14:textId="77777777" w:rsidR="00701E1F" w:rsidRPr="009453DD" w:rsidRDefault="00701E1F" w:rsidP="00D22D2B">
            <w:pPr>
              <w:pStyle w:val="Tabletext"/>
              <w:rPr>
                <w:highlight w:val="yellow"/>
              </w:rPr>
            </w:pPr>
            <w:r w:rsidRPr="009453DD">
              <w:rPr>
                <w:highlight w:val="yellow"/>
              </w:rPr>
              <w:t>[describe change]</w:t>
            </w:r>
          </w:p>
        </w:tc>
      </w:tr>
    </w:tbl>
    <w:p w14:paraId="046464BA" w14:textId="77777777" w:rsidR="00380CB9" w:rsidRDefault="00380CB9" w:rsidP="00CC7C44"/>
    <w:sectPr w:rsidR="00380CB9" w:rsidSect="00C23038">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53442" w14:textId="77777777" w:rsidR="00456671" w:rsidRDefault="00456671" w:rsidP="00B538D7">
      <w:r>
        <w:separator/>
      </w:r>
    </w:p>
  </w:endnote>
  <w:endnote w:type="continuationSeparator" w:id="0">
    <w:p w14:paraId="064A793B" w14:textId="77777777" w:rsidR="00456671" w:rsidRDefault="00456671"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CFF21" w14:textId="77777777" w:rsidR="00CA18C0" w:rsidRDefault="00CA1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CCEAB" w14:textId="77777777" w:rsidR="002B0C63" w:rsidRDefault="002B0C63" w:rsidP="0024029D">
    <w:pPr>
      <w:pStyle w:val="Footer"/>
      <w:tabs>
        <w:tab w:val="clear" w:pos="4513"/>
        <w:tab w:val="clear" w:pos="9026"/>
        <w:tab w:val="right" w:pos="9923"/>
      </w:tabs>
      <w:rPr>
        <w:rStyle w:val="Classification"/>
      </w:rPr>
    </w:pPr>
  </w:p>
  <w:p w14:paraId="41913DC1" w14:textId="77777777" w:rsidR="00DE3CDF" w:rsidRPr="002B0C38" w:rsidRDefault="00530D3E"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841145">
          <w:rPr>
            <w:rStyle w:val="Classification"/>
            <w:lang w:val="en-AU"/>
          </w:rPr>
          <w:t>UNCLASSIFIED</w:t>
        </w:r>
      </w:sdtContent>
    </w:sdt>
    <w:r w:rsidR="0024029D">
      <w:rPr>
        <w:rStyle w:val="Classification"/>
      </w:rPr>
      <w:t xml:space="preserve"> </w:t>
    </w:r>
    <w:r w:rsidR="0024029D"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841145">
          <w:t>External</w:t>
        </w:r>
      </w:sdtContent>
    </w:sdt>
    <w:r w:rsidR="0024029D">
      <w:rPr>
        <w:lang w:val="en-US"/>
      </w:rPr>
      <w:tab/>
    </w:r>
    <w:r w:rsidR="0024029D" w:rsidRPr="00F67130">
      <w:rPr>
        <w:noProof/>
        <w:sz w:val="20"/>
        <w:lang w:val="en-US"/>
      </w:rPr>
      <w:fldChar w:fldCharType="begin"/>
    </w:r>
    <w:r w:rsidR="0024029D" w:rsidRPr="00F67130">
      <w:rPr>
        <w:noProof/>
        <w:sz w:val="20"/>
        <w:lang w:val="en-US"/>
      </w:rPr>
      <w:instrText xml:space="preserve"> </w:instrText>
    </w:r>
    <w:r w:rsidR="0024029D">
      <w:rPr>
        <w:noProof/>
        <w:sz w:val="20"/>
        <w:lang w:val="en-US"/>
      </w:rPr>
      <w:instrText>PAGE</w:instrText>
    </w:r>
    <w:r w:rsidR="0024029D" w:rsidRPr="00F67130">
      <w:rPr>
        <w:noProof/>
        <w:sz w:val="20"/>
        <w:lang w:val="en-US"/>
      </w:rPr>
      <w:instrText xml:space="preserve">   \* MERGEFORMAT </w:instrText>
    </w:r>
    <w:r w:rsidR="0024029D" w:rsidRPr="00F67130">
      <w:rPr>
        <w:noProof/>
        <w:sz w:val="20"/>
        <w:lang w:val="en-US"/>
      </w:rPr>
      <w:fldChar w:fldCharType="separate"/>
    </w:r>
    <w:r w:rsidR="009453DD" w:rsidRPr="009453DD">
      <w:rPr>
        <w:caps w:val="0"/>
        <w:noProof/>
        <w:sz w:val="20"/>
        <w:lang w:val="en-US"/>
      </w:rPr>
      <w:t>2</w:t>
    </w:r>
    <w:r w:rsidR="0024029D" w:rsidRPr="00F67130">
      <w:rPr>
        <w:noProof/>
        <w:sz w:val="20"/>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E19C" w14:textId="77777777" w:rsidR="00850A78" w:rsidRPr="002B0C38" w:rsidRDefault="0024029D"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861073" w:rsidRPr="00861073">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79FDD" w14:textId="77777777" w:rsidR="00456671" w:rsidRDefault="00456671" w:rsidP="00B538D7">
      <w:r>
        <w:separator/>
      </w:r>
    </w:p>
  </w:footnote>
  <w:footnote w:type="continuationSeparator" w:id="0">
    <w:p w14:paraId="7538AA4C" w14:textId="77777777" w:rsidR="00456671" w:rsidRDefault="00456671" w:rsidP="00B5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D000" w14:textId="77777777" w:rsidR="00CA18C0" w:rsidRDefault="00CA1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62A84" w14:textId="0465D09D" w:rsidR="00C23038" w:rsidRDefault="00CA18C0" w:rsidP="00C23038">
    <w:pPr>
      <w:pStyle w:val="ClassificationInfo"/>
      <w:rPr>
        <w:rStyle w:val="ClassificationBody"/>
      </w:rPr>
    </w:pPr>
    <w:sdt>
      <w:sdtPr>
        <w:rPr>
          <w:rStyle w:val="ClassificationBody"/>
        </w:rPr>
        <w:id w:val="-1380007619"/>
        <w:docPartObj>
          <w:docPartGallery w:val="Watermarks"/>
          <w:docPartUnique/>
        </w:docPartObj>
      </w:sdtPr>
      <w:sdtContent>
        <w:r w:rsidRPr="00CA18C0">
          <w:rPr>
            <w:rStyle w:val="ClassificationBody"/>
            <w:noProof/>
          </w:rPr>
          <w:pict w14:anchorId="6C9E03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2289" type="#_x0000_t136" style="position:absolute;left:0;text-align:left;margin-left:0;margin-top:0;width:412.4pt;height:247.45pt;rotation:315;z-index:-2516520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rStyle w:val="ClassificationBody"/>
        </w:rPr>
        <w:alias w:val="Classification"/>
        <w:tag w:val=""/>
        <w:id w:val="-1676184355"/>
        <w:dataBinding w:prefixMappings="xmlns:ns0='http://purl.org/dc/elements/1.1/' xmlns:ns1='http://schemas.openxmlformats.org/package/2006/metadata/core-properties' " w:xpath="/ns1:coreProperties[1]/ns1:category[1]" w:storeItemID="{6C3C8BC8-F283-45AE-878A-BAB7291924A1}"/>
        <w:text/>
      </w:sdtPr>
      <w:sdtEndPr>
        <w:rPr>
          <w:rStyle w:val="DefaultParagraphFont"/>
          <w:b w:val="0"/>
          <w:caps w:val="0"/>
        </w:rPr>
      </w:sdtEndPr>
      <w:sdtContent>
        <w:r w:rsidR="00841145">
          <w:rPr>
            <w:rStyle w:val="ClassificationBody"/>
          </w:rPr>
          <w:t>UNCLASSIFIED</w:t>
        </w:r>
      </w:sdtContent>
    </w:sdt>
  </w:p>
  <w:p w14:paraId="6CE9AB5E" w14:textId="77777777" w:rsidR="00C23038" w:rsidRPr="00EB0912" w:rsidRDefault="00530D3E" w:rsidP="00C23038">
    <w:pPr>
      <w:pStyle w:val="ClassificationInfo"/>
      <w:rPr>
        <w:color w:val="auto"/>
      </w:rPr>
    </w:pPr>
    <w:sdt>
      <w:sdtPr>
        <w:rPr>
          <w:rStyle w:val="ClassificationBody"/>
          <w:color w:val="auto"/>
        </w:rPr>
        <w:alias w:val="DLM"/>
        <w:tag w:val=""/>
        <w:id w:val="-1792819443"/>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b w:val="0"/>
          <w:caps w:val="0"/>
        </w:rPr>
      </w:sdtEndPr>
      <w:sdtContent>
        <w:r w:rsidR="00C23038" w:rsidRPr="002765E2">
          <w:rPr>
            <w:rStyle w:val="ClassificationBody"/>
            <w:color w:val="auto"/>
          </w:rPr>
          <w:t>[DLM]</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86F97" w14:textId="77777777" w:rsidR="004F244C" w:rsidRDefault="00B81B92" w:rsidP="004F244C">
    <w:pPr>
      <w:pStyle w:val="Header"/>
      <w:spacing w:after="2640"/>
    </w:pPr>
    <w:r>
      <w:rPr>
        <w:noProof/>
        <w:lang w:eastAsia="en-AU"/>
      </w:rPr>
      <w:drawing>
        <wp:anchor distT="0" distB="0" distL="114300" distR="114300" simplePos="0" relativeHeight="251661312" behindDoc="0" locked="0" layoutInCell="1" allowOverlap="1" wp14:anchorId="1D7604CB" wp14:editId="53A2A37B">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2336" behindDoc="0" locked="0" layoutInCell="1" allowOverlap="1" wp14:anchorId="21668751" wp14:editId="7561FBE6">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59263" behindDoc="1" locked="0" layoutInCell="1" allowOverlap="1" wp14:anchorId="4B099FB7" wp14:editId="4B40FE61">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5818" id="Rectangle 4" o:spid="_x0000_s1026" style="position:absolute;margin-left:22.5pt;margin-top:22.5pt;width:549.9pt;height:85.05pt;z-index:-251657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FkuTQi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137"/>
    <w:multiLevelType w:val="hybridMultilevel"/>
    <w:tmpl w:val="1A00BA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3B6736"/>
    <w:multiLevelType w:val="hybridMultilevel"/>
    <w:tmpl w:val="84CAB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3F7C2F"/>
    <w:multiLevelType w:val="hybridMultilevel"/>
    <w:tmpl w:val="E42CF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73106D"/>
    <w:multiLevelType w:val="hybridMultilevel"/>
    <w:tmpl w:val="DA269886"/>
    <w:lvl w:ilvl="0" w:tplc="D562B448">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EC251D2"/>
    <w:multiLevelType w:val="hybridMultilevel"/>
    <w:tmpl w:val="5C9C55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DC7D44"/>
    <w:multiLevelType w:val="hybridMultilevel"/>
    <w:tmpl w:val="A53EB2D4"/>
    <w:lvl w:ilvl="0" w:tplc="101A15AE">
      <w:start w:val="1"/>
      <w:numFmt w:val="decimal"/>
      <w:lvlText w:val="%1."/>
      <w:lvlJc w:val="left"/>
      <w:pPr>
        <w:ind w:left="720" w:hanging="360"/>
      </w:pPr>
      <w:rPr>
        <w:rFont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4D4FE9"/>
    <w:multiLevelType w:val="hybridMultilevel"/>
    <w:tmpl w:val="C74AE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9" w15:restartNumberingAfterBreak="0">
    <w:nsid w:val="62CD0D46"/>
    <w:multiLevelType w:val="hybridMultilevel"/>
    <w:tmpl w:val="B25CF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4"/>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6"/>
  </w:num>
  <w:num w:numId="25">
    <w:abstractNumId w:val="7"/>
  </w:num>
  <w:num w:numId="26">
    <w:abstractNumId w:val="3"/>
  </w:num>
  <w:num w:numId="27">
    <w:abstractNumId w:val="1"/>
  </w:num>
  <w:num w:numId="28">
    <w:abstractNumId w:val="5"/>
  </w:num>
  <w:num w:numId="29">
    <w:abstractNumId w:val="9"/>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2290"/>
    <o:shapelayout v:ext="edit">
      <o:idmap v:ext="edit" data="1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53D"/>
    <w:rsid w:val="00000B16"/>
    <w:rsid w:val="00015AE4"/>
    <w:rsid w:val="0002745C"/>
    <w:rsid w:val="000308CA"/>
    <w:rsid w:val="00031353"/>
    <w:rsid w:val="00031D41"/>
    <w:rsid w:val="00037D78"/>
    <w:rsid w:val="00040A21"/>
    <w:rsid w:val="0004592E"/>
    <w:rsid w:val="00051586"/>
    <w:rsid w:val="00053B02"/>
    <w:rsid w:val="0008311E"/>
    <w:rsid w:val="00086773"/>
    <w:rsid w:val="0008735C"/>
    <w:rsid w:val="000900C7"/>
    <w:rsid w:val="00097C3B"/>
    <w:rsid w:val="000B3331"/>
    <w:rsid w:val="000B6C00"/>
    <w:rsid w:val="000C158F"/>
    <w:rsid w:val="000D30D7"/>
    <w:rsid w:val="000E0D2F"/>
    <w:rsid w:val="000E1D48"/>
    <w:rsid w:val="000E4DCB"/>
    <w:rsid w:val="000E533A"/>
    <w:rsid w:val="000E6E47"/>
    <w:rsid w:val="000F28B8"/>
    <w:rsid w:val="000F3766"/>
    <w:rsid w:val="000F6C3A"/>
    <w:rsid w:val="0010233E"/>
    <w:rsid w:val="00110561"/>
    <w:rsid w:val="00111F0C"/>
    <w:rsid w:val="001224D0"/>
    <w:rsid w:val="00124BB6"/>
    <w:rsid w:val="00124F22"/>
    <w:rsid w:val="00145E2D"/>
    <w:rsid w:val="001621B1"/>
    <w:rsid w:val="00175961"/>
    <w:rsid w:val="001763D4"/>
    <w:rsid w:val="00181528"/>
    <w:rsid w:val="001A2C52"/>
    <w:rsid w:val="001C53CE"/>
    <w:rsid w:val="001D218A"/>
    <w:rsid w:val="001D753E"/>
    <w:rsid w:val="001E66CE"/>
    <w:rsid w:val="0020357D"/>
    <w:rsid w:val="002126A7"/>
    <w:rsid w:val="00221DC2"/>
    <w:rsid w:val="00222A18"/>
    <w:rsid w:val="0023407E"/>
    <w:rsid w:val="0024029D"/>
    <w:rsid w:val="0025016C"/>
    <w:rsid w:val="00253667"/>
    <w:rsid w:val="00254A90"/>
    <w:rsid w:val="00254E64"/>
    <w:rsid w:val="002573D5"/>
    <w:rsid w:val="00284962"/>
    <w:rsid w:val="002935B8"/>
    <w:rsid w:val="002A41E1"/>
    <w:rsid w:val="002A4919"/>
    <w:rsid w:val="002A5E26"/>
    <w:rsid w:val="002A7FC0"/>
    <w:rsid w:val="002B0C38"/>
    <w:rsid w:val="002B0C63"/>
    <w:rsid w:val="002B6574"/>
    <w:rsid w:val="002C0306"/>
    <w:rsid w:val="002E1AE8"/>
    <w:rsid w:val="002E33F8"/>
    <w:rsid w:val="002F55D0"/>
    <w:rsid w:val="002F7D3C"/>
    <w:rsid w:val="00300C72"/>
    <w:rsid w:val="00300CCA"/>
    <w:rsid w:val="003103E2"/>
    <w:rsid w:val="003131AB"/>
    <w:rsid w:val="00314468"/>
    <w:rsid w:val="003217BE"/>
    <w:rsid w:val="00331658"/>
    <w:rsid w:val="00331D99"/>
    <w:rsid w:val="003339BD"/>
    <w:rsid w:val="00353EB8"/>
    <w:rsid w:val="003600CA"/>
    <w:rsid w:val="00360422"/>
    <w:rsid w:val="00362218"/>
    <w:rsid w:val="00380CB9"/>
    <w:rsid w:val="00393DD9"/>
    <w:rsid w:val="003950C3"/>
    <w:rsid w:val="003951AF"/>
    <w:rsid w:val="003C6B7F"/>
    <w:rsid w:val="003D3B1D"/>
    <w:rsid w:val="003D41D7"/>
    <w:rsid w:val="003D5DBE"/>
    <w:rsid w:val="003D6CB5"/>
    <w:rsid w:val="003E525C"/>
    <w:rsid w:val="003E61F8"/>
    <w:rsid w:val="003E79F5"/>
    <w:rsid w:val="003F47FB"/>
    <w:rsid w:val="00404841"/>
    <w:rsid w:val="00412059"/>
    <w:rsid w:val="004223B1"/>
    <w:rsid w:val="00424787"/>
    <w:rsid w:val="00432340"/>
    <w:rsid w:val="00433879"/>
    <w:rsid w:val="00441E79"/>
    <w:rsid w:val="00456671"/>
    <w:rsid w:val="0046116C"/>
    <w:rsid w:val="00465E2B"/>
    <w:rsid w:val="00483A58"/>
    <w:rsid w:val="004943CA"/>
    <w:rsid w:val="004A585E"/>
    <w:rsid w:val="004A5F71"/>
    <w:rsid w:val="004B35F2"/>
    <w:rsid w:val="004D7F17"/>
    <w:rsid w:val="004E7F37"/>
    <w:rsid w:val="004F244C"/>
    <w:rsid w:val="005066D4"/>
    <w:rsid w:val="00526231"/>
    <w:rsid w:val="00530D3E"/>
    <w:rsid w:val="0054562C"/>
    <w:rsid w:val="0055661A"/>
    <w:rsid w:val="005617B6"/>
    <w:rsid w:val="00571F08"/>
    <w:rsid w:val="0059552B"/>
    <w:rsid w:val="00604E38"/>
    <w:rsid w:val="00607CA6"/>
    <w:rsid w:val="006156DD"/>
    <w:rsid w:val="00616EBA"/>
    <w:rsid w:val="00621ECC"/>
    <w:rsid w:val="00626B43"/>
    <w:rsid w:val="00631F8F"/>
    <w:rsid w:val="00632C08"/>
    <w:rsid w:val="00634FBE"/>
    <w:rsid w:val="0064457A"/>
    <w:rsid w:val="0064519D"/>
    <w:rsid w:val="00662C2B"/>
    <w:rsid w:val="0067074A"/>
    <w:rsid w:val="00671A14"/>
    <w:rsid w:val="006728EE"/>
    <w:rsid w:val="00672994"/>
    <w:rsid w:val="00677B28"/>
    <w:rsid w:val="00682524"/>
    <w:rsid w:val="006902F1"/>
    <w:rsid w:val="00693096"/>
    <w:rsid w:val="006A1F1A"/>
    <w:rsid w:val="006A25FD"/>
    <w:rsid w:val="006A7A8A"/>
    <w:rsid w:val="006C189E"/>
    <w:rsid w:val="006C1E18"/>
    <w:rsid w:val="006C2CE5"/>
    <w:rsid w:val="006D4129"/>
    <w:rsid w:val="006F402B"/>
    <w:rsid w:val="006F7655"/>
    <w:rsid w:val="00701E1F"/>
    <w:rsid w:val="00702F50"/>
    <w:rsid w:val="00710DBB"/>
    <w:rsid w:val="00721828"/>
    <w:rsid w:val="00727C0C"/>
    <w:rsid w:val="00752C6B"/>
    <w:rsid w:val="0076688F"/>
    <w:rsid w:val="00775064"/>
    <w:rsid w:val="00786229"/>
    <w:rsid w:val="007B4662"/>
    <w:rsid w:val="007C687F"/>
    <w:rsid w:val="007D2BDE"/>
    <w:rsid w:val="007D610F"/>
    <w:rsid w:val="007F6B1B"/>
    <w:rsid w:val="00802A3B"/>
    <w:rsid w:val="008035A2"/>
    <w:rsid w:val="00820F20"/>
    <w:rsid w:val="00825754"/>
    <w:rsid w:val="00832FF5"/>
    <w:rsid w:val="00833320"/>
    <w:rsid w:val="00841145"/>
    <w:rsid w:val="00844C2D"/>
    <w:rsid w:val="00850A78"/>
    <w:rsid w:val="00861073"/>
    <w:rsid w:val="00890E23"/>
    <w:rsid w:val="00893AB1"/>
    <w:rsid w:val="008A387B"/>
    <w:rsid w:val="008B1A29"/>
    <w:rsid w:val="008B2494"/>
    <w:rsid w:val="008C0196"/>
    <w:rsid w:val="008D366D"/>
    <w:rsid w:val="008E1E86"/>
    <w:rsid w:val="008E2D13"/>
    <w:rsid w:val="008F1A65"/>
    <w:rsid w:val="0090237F"/>
    <w:rsid w:val="00903878"/>
    <w:rsid w:val="00904BC1"/>
    <w:rsid w:val="0090729C"/>
    <w:rsid w:val="00910829"/>
    <w:rsid w:val="00926227"/>
    <w:rsid w:val="009345F1"/>
    <w:rsid w:val="009401D2"/>
    <w:rsid w:val="009453DD"/>
    <w:rsid w:val="00947CD9"/>
    <w:rsid w:val="00961072"/>
    <w:rsid w:val="00972866"/>
    <w:rsid w:val="0098703F"/>
    <w:rsid w:val="0099164B"/>
    <w:rsid w:val="0099716A"/>
    <w:rsid w:val="009A5BCD"/>
    <w:rsid w:val="009B22AA"/>
    <w:rsid w:val="009B438D"/>
    <w:rsid w:val="009B51E2"/>
    <w:rsid w:val="009C55D6"/>
    <w:rsid w:val="009C5E26"/>
    <w:rsid w:val="009D420A"/>
    <w:rsid w:val="009E64B7"/>
    <w:rsid w:val="009E750F"/>
    <w:rsid w:val="00A04B3E"/>
    <w:rsid w:val="00A04D96"/>
    <w:rsid w:val="00A0629B"/>
    <w:rsid w:val="00A16F8B"/>
    <w:rsid w:val="00A27F45"/>
    <w:rsid w:val="00A3313A"/>
    <w:rsid w:val="00A35A7F"/>
    <w:rsid w:val="00A40F8D"/>
    <w:rsid w:val="00A47D17"/>
    <w:rsid w:val="00A50969"/>
    <w:rsid w:val="00A7487F"/>
    <w:rsid w:val="00A8217E"/>
    <w:rsid w:val="00A862A8"/>
    <w:rsid w:val="00A90D1B"/>
    <w:rsid w:val="00AA0320"/>
    <w:rsid w:val="00AA5A8A"/>
    <w:rsid w:val="00AB1CD3"/>
    <w:rsid w:val="00AD51DD"/>
    <w:rsid w:val="00AD6C7D"/>
    <w:rsid w:val="00AE1B67"/>
    <w:rsid w:val="00B0187E"/>
    <w:rsid w:val="00B06A46"/>
    <w:rsid w:val="00B207C1"/>
    <w:rsid w:val="00B274D1"/>
    <w:rsid w:val="00B4796B"/>
    <w:rsid w:val="00B538D7"/>
    <w:rsid w:val="00B6267A"/>
    <w:rsid w:val="00B670EF"/>
    <w:rsid w:val="00B7317C"/>
    <w:rsid w:val="00B81B92"/>
    <w:rsid w:val="00BA05DE"/>
    <w:rsid w:val="00BA74A4"/>
    <w:rsid w:val="00BA7D8E"/>
    <w:rsid w:val="00BB4D02"/>
    <w:rsid w:val="00BB5688"/>
    <w:rsid w:val="00BC093A"/>
    <w:rsid w:val="00BC4ACC"/>
    <w:rsid w:val="00BE61B9"/>
    <w:rsid w:val="00BF05A1"/>
    <w:rsid w:val="00BF19F1"/>
    <w:rsid w:val="00C10BC1"/>
    <w:rsid w:val="00C16DFC"/>
    <w:rsid w:val="00C217A8"/>
    <w:rsid w:val="00C23038"/>
    <w:rsid w:val="00C300CD"/>
    <w:rsid w:val="00C31C38"/>
    <w:rsid w:val="00C50545"/>
    <w:rsid w:val="00C50CCA"/>
    <w:rsid w:val="00C5184D"/>
    <w:rsid w:val="00C56DD2"/>
    <w:rsid w:val="00C56DD9"/>
    <w:rsid w:val="00C56F19"/>
    <w:rsid w:val="00C6511F"/>
    <w:rsid w:val="00C65749"/>
    <w:rsid w:val="00C6640C"/>
    <w:rsid w:val="00C67C24"/>
    <w:rsid w:val="00C71B13"/>
    <w:rsid w:val="00C82708"/>
    <w:rsid w:val="00CA00F9"/>
    <w:rsid w:val="00CA18C0"/>
    <w:rsid w:val="00CA5054"/>
    <w:rsid w:val="00CB0EAD"/>
    <w:rsid w:val="00CC7C44"/>
    <w:rsid w:val="00CD3BF9"/>
    <w:rsid w:val="00CD5925"/>
    <w:rsid w:val="00CE557A"/>
    <w:rsid w:val="00CF2312"/>
    <w:rsid w:val="00CF6D8D"/>
    <w:rsid w:val="00D035A7"/>
    <w:rsid w:val="00D05312"/>
    <w:rsid w:val="00D1410C"/>
    <w:rsid w:val="00D2195A"/>
    <w:rsid w:val="00D21ABC"/>
    <w:rsid w:val="00D33A42"/>
    <w:rsid w:val="00D57F79"/>
    <w:rsid w:val="00D62E06"/>
    <w:rsid w:val="00D66D37"/>
    <w:rsid w:val="00D72025"/>
    <w:rsid w:val="00D74A71"/>
    <w:rsid w:val="00D81B6D"/>
    <w:rsid w:val="00D904F0"/>
    <w:rsid w:val="00D91378"/>
    <w:rsid w:val="00DA449A"/>
    <w:rsid w:val="00DD111A"/>
    <w:rsid w:val="00DD1408"/>
    <w:rsid w:val="00DD30AC"/>
    <w:rsid w:val="00DD356D"/>
    <w:rsid w:val="00DE1D52"/>
    <w:rsid w:val="00DE3CDF"/>
    <w:rsid w:val="00DF5A0D"/>
    <w:rsid w:val="00E04294"/>
    <w:rsid w:val="00E2509B"/>
    <w:rsid w:val="00E4675F"/>
    <w:rsid w:val="00E546A3"/>
    <w:rsid w:val="00E733FE"/>
    <w:rsid w:val="00E7653D"/>
    <w:rsid w:val="00E84012"/>
    <w:rsid w:val="00E94B3E"/>
    <w:rsid w:val="00EA0724"/>
    <w:rsid w:val="00EA1E6E"/>
    <w:rsid w:val="00EA2B65"/>
    <w:rsid w:val="00EA4EDE"/>
    <w:rsid w:val="00EA5D13"/>
    <w:rsid w:val="00EA72A7"/>
    <w:rsid w:val="00EB473B"/>
    <w:rsid w:val="00EB55D5"/>
    <w:rsid w:val="00EB5699"/>
    <w:rsid w:val="00EB6414"/>
    <w:rsid w:val="00EC757F"/>
    <w:rsid w:val="00ED18F2"/>
    <w:rsid w:val="00EF0712"/>
    <w:rsid w:val="00EF7B3B"/>
    <w:rsid w:val="00F42DF9"/>
    <w:rsid w:val="00F45685"/>
    <w:rsid w:val="00F52DD1"/>
    <w:rsid w:val="00F5341C"/>
    <w:rsid w:val="00F56B74"/>
    <w:rsid w:val="00F7752A"/>
    <w:rsid w:val="00F779A5"/>
    <w:rsid w:val="00FA0462"/>
    <w:rsid w:val="00FA0D19"/>
    <w:rsid w:val="00FA5A7B"/>
    <w:rsid w:val="00FB0734"/>
    <w:rsid w:val="00FB3311"/>
    <w:rsid w:val="00FB6D65"/>
    <w:rsid w:val="00FC1D4F"/>
    <w:rsid w:val="00FD2383"/>
    <w:rsid w:val="00FD4C0E"/>
    <w:rsid w:val="00FE4F26"/>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14:docId w14:val="19CC0439"/>
  <w15:docId w15:val="{EBD8FBA6-30DF-4217-9FBC-36124D77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7">
    <w:lsdException w:name="Normal" w:uiPriority="0" w:qFormat="1"/>
    <w:lsdException w:name="heading 1" w:uiPriority="4" w:qFormat="1"/>
    <w:lsdException w:name="heading 2" w:uiPriority="4" w:unhideWhenUsed="1" w:qFormat="1"/>
    <w:lsdException w:name="heading 3" w:uiPriority="0"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5066D4"/>
    <w:pPr>
      <w:keepNext/>
      <w:keepLines/>
      <w:spacing w:before="400" w:line="380" w:lineRule="exact"/>
      <w:outlineLvl w:val="2"/>
    </w:pPr>
    <w:rPr>
      <w:rFonts w:ascii="Arial" w:eastAsiaTheme="majorEastAsia" w:hAnsi="Arial" w:cstheme="majorBidi"/>
      <w:bCs/>
      <w:color w:val="F8F8F8" w:themeColor="background2"/>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5066D4"/>
    <w:rPr>
      <w:rFonts w:ascii="Arial" w:eastAsiaTheme="majorEastAsia" w:hAnsi="Arial" w:cstheme="majorBidi"/>
      <w:bCs/>
      <w:color w:val="F8F8F8" w:themeColor="background2"/>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customStyle="1" w:styleId="hscoswrapper">
    <w:name w:val="hs_cos_wrapper"/>
    <w:basedOn w:val="DefaultParagraphFont"/>
    <w:rsid w:val="0002745C"/>
  </w:style>
  <w:style w:type="paragraph" w:styleId="ListParagraph">
    <w:name w:val="List Paragraph"/>
    <w:basedOn w:val="Normal"/>
    <w:uiPriority w:val="99"/>
    <w:qFormat/>
    <w:rsid w:val="00C82708"/>
    <w:pPr>
      <w:ind w:left="720"/>
      <w:contextualSpacing/>
    </w:pPr>
  </w:style>
  <w:style w:type="table" w:styleId="ListTable1Light-Accent2">
    <w:name w:val="List Table 1 Light Accent 2"/>
    <w:basedOn w:val="TableNormal"/>
    <w:uiPriority w:val="46"/>
    <w:rsid w:val="00433879"/>
    <w:tblPr>
      <w:tblStyleRowBandSize w:val="1"/>
      <w:tblStyleColBandSize w:val="1"/>
    </w:tblPr>
    <w:tblStylePr w:type="firstRow">
      <w:rPr>
        <w:b/>
        <w:bCs/>
      </w:rPr>
      <w:tblPr/>
      <w:tcPr>
        <w:tcBorders>
          <w:bottom w:val="single" w:sz="4" w:space="0" w:color="0082F3" w:themeColor="accent2" w:themeTint="99"/>
        </w:tcBorders>
      </w:tcPr>
    </w:tblStylePr>
    <w:tblStylePr w:type="lastRow">
      <w:rPr>
        <w:b/>
        <w:bCs/>
      </w:rPr>
      <w:tblPr/>
      <w:tcPr>
        <w:tcBorders>
          <w:top w:val="single" w:sz="4" w:space="0" w:color="0082F3" w:themeColor="accent2" w:themeTint="99"/>
        </w:tcBorders>
      </w:tcPr>
    </w:tblStylePr>
    <w:tblStylePr w:type="firstCol">
      <w:rPr>
        <w:b/>
        <w:bCs/>
      </w:rPr>
    </w:tblStylePr>
    <w:tblStylePr w:type="lastCol">
      <w:rPr>
        <w:b/>
        <w:bCs/>
      </w:rPr>
    </w:tblStylePr>
    <w:tblStylePr w:type="band1Vert">
      <w:tblPr/>
      <w:tcPr>
        <w:shd w:val="clear" w:color="auto" w:fill="A6D5FF" w:themeFill="accent2" w:themeFillTint="33"/>
      </w:tcPr>
    </w:tblStylePr>
    <w:tblStylePr w:type="band1Horz">
      <w:tblPr/>
      <w:tcPr>
        <w:shd w:val="clear" w:color="auto" w:fill="A6D5FF" w:themeFill="accent2" w:themeFillTint="33"/>
      </w:tcPr>
    </w:tblStylePr>
  </w:style>
  <w:style w:type="table" w:styleId="GridTable4-Accent5">
    <w:name w:val="Grid Table 4 Accent 5"/>
    <w:basedOn w:val="TableNormal"/>
    <w:uiPriority w:val="49"/>
    <w:rsid w:val="00433879"/>
    <w:tblPr>
      <w:tblStyleRowBandSize w:val="1"/>
      <w:tblStyleColBandSize w:val="1"/>
      <w:tblBorders>
        <w:top w:val="single" w:sz="4" w:space="0" w:color="86B5FA" w:themeColor="accent5" w:themeTint="99"/>
        <w:left w:val="single" w:sz="4" w:space="0" w:color="86B5FA" w:themeColor="accent5" w:themeTint="99"/>
        <w:bottom w:val="single" w:sz="4" w:space="0" w:color="86B5FA" w:themeColor="accent5" w:themeTint="99"/>
        <w:right w:val="single" w:sz="4" w:space="0" w:color="86B5FA" w:themeColor="accent5" w:themeTint="99"/>
        <w:insideH w:val="single" w:sz="4" w:space="0" w:color="86B5FA" w:themeColor="accent5" w:themeTint="99"/>
        <w:insideV w:val="single" w:sz="4" w:space="0" w:color="86B5FA" w:themeColor="accent5" w:themeTint="99"/>
      </w:tblBorders>
    </w:tblPr>
    <w:tblStylePr w:type="firstRow">
      <w:rPr>
        <w:b/>
        <w:bCs/>
        <w:color w:val="FFFFFF" w:themeColor="background1"/>
      </w:rPr>
      <w:tblPr/>
      <w:tcPr>
        <w:tcBorders>
          <w:top w:val="single" w:sz="4" w:space="0" w:color="3685F7" w:themeColor="accent5"/>
          <w:left w:val="single" w:sz="4" w:space="0" w:color="3685F7" w:themeColor="accent5"/>
          <w:bottom w:val="single" w:sz="4" w:space="0" w:color="3685F7" w:themeColor="accent5"/>
          <w:right w:val="single" w:sz="4" w:space="0" w:color="3685F7" w:themeColor="accent5"/>
          <w:insideH w:val="nil"/>
          <w:insideV w:val="nil"/>
        </w:tcBorders>
        <w:shd w:val="clear" w:color="auto" w:fill="3685F7" w:themeFill="accent5"/>
      </w:tcPr>
    </w:tblStylePr>
    <w:tblStylePr w:type="lastRow">
      <w:rPr>
        <w:b/>
        <w:bCs/>
      </w:rPr>
      <w:tblPr/>
      <w:tcPr>
        <w:tcBorders>
          <w:top w:val="double" w:sz="4" w:space="0" w:color="3685F7" w:themeColor="accent5"/>
        </w:tcBorders>
      </w:tcPr>
    </w:tblStylePr>
    <w:tblStylePr w:type="firstCol">
      <w:rPr>
        <w:b/>
        <w:bCs/>
      </w:rPr>
    </w:tblStylePr>
    <w:tblStylePr w:type="lastCol">
      <w:rPr>
        <w:b/>
        <w:bCs/>
      </w:rPr>
    </w:tblStylePr>
    <w:tblStylePr w:type="band1Vert">
      <w:tblPr/>
      <w:tcPr>
        <w:shd w:val="clear" w:color="auto" w:fill="D6E6FD" w:themeFill="accent5" w:themeFillTint="33"/>
      </w:tcPr>
    </w:tblStylePr>
    <w:tblStylePr w:type="band1Horz">
      <w:tblPr/>
      <w:tcPr>
        <w:shd w:val="clear" w:color="auto" w:fill="D6E6FD" w:themeFill="accent5" w:themeFillTint="33"/>
      </w:tcPr>
    </w:tblStylePr>
  </w:style>
  <w:style w:type="table" w:styleId="GridTable5Dark-Accent1">
    <w:name w:val="Grid Table 5 Dark Accent 1"/>
    <w:basedOn w:val="TableNormal"/>
    <w:uiPriority w:val="50"/>
    <w:rsid w:val="004338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1"/>
      </w:tcPr>
    </w:tblStylePr>
    <w:tblStylePr w:type="band1Vert">
      <w:tblPr/>
      <w:tcPr>
        <w:shd w:val="clear" w:color="auto" w:fill="CCCCCC" w:themeFill="accent1" w:themeFillTint="66"/>
      </w:tcPr>
    </w:tblStylePr>
    <w:tblStylePr w:type="band1Horz">
      <w:tblPr/>
      <w:tcPr>
        <w:shd w:val="clear" w:color="auto" w:fill="CCCCCC" w:themeFill="accent1" w:themeFillTint="66"/>
      </w:tcPr>
    </w:tblStylePr>
  </w:style>
  <w:style w:type="character" w:styleId="Hyperlink">
    <w:name w:val="Hyperlink"/>
    <w:basedOn w:val="DefaultParagraphFont"/>
    <w:uiPriority w:val="99"/>
    <w:unhideWhenUsed/>
    <w:rsid w:val="00AB1CD3"/>
    <w:rPr>
      <w:color w:val="3685F7" w:themeColor="hyperlink"/>
      <w:u w:val="single"/>
    </w:rPr>
  </w:style>
  <w:style w:type="character" w:styleId="UnresolvedMention">
    <w:name w:val="Unresolved Mention"/>
    <w:basedOn w:val="DefaultParagraphFont"/>
    <w:uiPriority w:val="99"/>
    <w:semiHidden/>
    <w:unhideWhenUsed/>
    <w:rsid w:val="00AB1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cs.peppol.eu/poacc/upgrade-3/profiles/63-invoicerespons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A-NZ-PEPPOL/A-NZ-Industry-Practice-Statements/blob/main/A-NZ_Industry_Practice_Statment_%20Invoice_Content_v1.0.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142"/>
    <w:rsid w:val="00185685"/>
    <w:rsid w:val="00420142"/>
    <w:rsid w:val="0049655B"/>
    <w:rsid w:val="00D65E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465C09E471534ED3845C3331837C8DBD">
    <w:name w:val="465C09E471534ED3845C3331837C8DBD"/>
  </w:style>
  <w:style w:type="paragraph" w:customStyle="1" w:styleId="F15392DCBE15415E9AB93049E000179E">
    <w:name w:val="F15392DCBE15415E9AB93049E000179E"/>
  </w:style>
  <w:style w:type="paragraph" w:customStyle="1" w:styleId="D9DADFFC01F14929AAA408DA97587A05">
    <w:name w:val="D9DADFFC01F14929AAA408DA97587A05"/>
  </w:style>
  <w:style w:type="paragraph" w:customStyle="1" w:styleId="4AA057819C9948C7BBD9D7CD290728A1">
    <w:name w:val="4AA057819C9948C7BBD9D7CD290728A1"/>
  </w:style>
  <w:style w:type="paragraph" w:customStyle="1" w:styleId="0309FF0586254DA2B438F348AAA4014F">
    <w:name w:val="0309FF0586254DA2B438F348AAA40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xmlns="www.drdoc.com.au">
  <internalExternal>External</internalExternal>
</root>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3.xml><?xml version="1.0" encoding="utf-8"?>
<ds:datastoreItem xmlns:ds="http://schemas.openxmlformats.org/officeDocument/2006/customXml" ds:itemID="{2C99D8C0-9149-4525-A8EB-93F91FBAE3F9}">
  <ds:schemaRefs>
    <ds:schemaRef ds:uri="www.drdoc.com.au"/>
  </ds:schemaRefs>
</ds:datastoreItem>
</file>

<file path=customXml/itemProps4.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5.xml><?xml version="1.0" encoding="utf-8"?>
<ds:datastoreItem xmlns:ds="http://schemas.openxmlformats.org/officeDocument/2006/customXml" ds:itemID="{4E362E9F-5DC1-4AE6-9821-42BB7D13B93C}">
  <ds:schemaRefs>
    <ds:schemaRef ds:uri="http://schemas.microsoft.com/office/2006/metadata/properties"/>
    <ds:schemaRef ds:uri="http://purl.org/dc/terms/"/>
    <ds:schemaRef ds:uri="http://schemas.microsoft.com/office/2006/documentManagement/types"/>
    <ds:schemaRef ds:uri="http://purl.org/dc/elements/1.1/"/>
    <ds:schemaRef ds:uri="http://www.w3.org/XML/1998/namespace"/>
    <ds:schemaRef ds:uri="http://purl.org/dc/dcmitype/"/>
    <ds:schemaRef ds:uri="http://schemas.microsoft.com/sharepoint/v3"/>
    <ds:schemaRef ds:uri="68218b3e-2e7c-4c1e-bca2-dc370c1589f5"/>
    <ds:schemaRef ds:uri="http://schemas.microsoft.com/office/infopath/2007/PartnerControls"/>
    <ds:schemaRef ds:uri="http://schemas.openxmlformats.org/package/2006/metadata/core-properties"/>
    <ds:schemaRef ds:uri="32fbe8f2-534f-40de-947e-601f28edc0c1"/>
  </ds:schemaRefs>
</ds:datastoreItem>
</file>

<file path=customXml/itemProps6.xml><?xml version="1.0" encoding="utf-8"?>
<ds:datastoreItem xmlns:ds="http://schemas.openxmlformats.org/officeDocument/2006/customXml" ds:itemID="{50AE79EE-090A-4A22-8660-54396733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Template>
  <TotalTime>0</TotalTime>
  <Pages>5</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Ashleigh Chirnside</dc:creator>
  <cp:lastModifiedBy>Chao Wang</cp:lastModifiedBy>
  <cp:revision>2</cp:revision>
  <dcterms:created xsi:type="dcterms:W3CDTF">2021-01-18T03:29:00Z</dcterms:created>
  <dcterms:modified xsi:type="dcterms:W3CDTF">2021-01-18T03:29:00Z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