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0D" w:rsidRDefault="00D07993"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F0643">
            <w:rPr>
              <w:rStyle w:val="Classification"/>
              <w:lang w:val="en-AU"/>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F0643">
            <w:t>External</w:t>
          </w:r>
        </w:sdtContent>
      </w:sdt>
      <w:r w:rsidR="00DF5A0D">
        <w:t xml:space="preserve"> </w:t>
      </w:r>
    </w:p>
    <w:p w:rsidR="00904BC1" w:rsidRDefault="00D72025" w:rsidP="00D72025">
      <w:pPr>
        <w:pStyle w:val="Heading1"/>
        <w:framePr w:wrap="notBeside"/>
      </w:pPr>
      <w:r>
        <w:t>A-NZ PEPPOL FRAMEWORK GUIDANCE NOTE</w:t>
      </w:r>
    </w:p>
    <w:p w:rsidR="00D72025" w:rsidRDefault="000977C1" w:rsidP="00D72025">
      <w:pPr>
        <w:pStyle w:val="Heading2"/>
      </w:pPr>
      <w:r>
        <w:t xml:space="preserve">A-NZ Information Security Guidance for e-Invoicing Service Providers </w:t>
      </w:r>
    </w:p>
    <w:p w:rsidR="00D72025" w:rsidRDefault="00EB55D5" w:rsidP="00D72025">
      <w:r>
        <w:t>Guidance</w:t>
      </w:r>
      <w:r w:rsidR="0007651F">
        <w:t xml:space="preserve"> n</w:t>
      </w:r>
      <w:r>
        <w:t>ote</w:t>
      </w:r>
      <w:r w:rsidR="0007651F">
        <w:t xml:space="preserve"> 03</w:t>
      </w:r>
    </w:p>
    <w:p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097C3B" w:rsidRPr="0010233E" w:rsidTr="00097C3B">
        <w:tc>
          <w:tcPr>
            <w:tcW w:w="3007" w:type="dxa"/>
            <w:tcBorders>
              <w:bottom w:val="single" w:sz="4" w:space="0" w:color="auto"/>
            </w:tcBorders>
          </w:tcPr>
          <w:p w:rsidR="00097C3B" w:rsidRPr="0010233E" w:rsidRDefault="00097C3B" w:rsidP="00D72025">
            <w:pPr>
              <w:rPr>
                <w:b/>
              </w:rPr>
            </w:pPr>
            <w:r w:rsidRPr="0010233E">
              <w:rPr>
                <w:b/>
              </w:rPr>
              <w:t>Issue date</w:t>
            </w:r>
          </w:p>
        </w:tc>
        <w:tc>
          <w:tcPr>
            <w:tcW w:w="1388" w:type="dxa"/>
          </w:tcPr>
          <w:p w:rsidR="00097C3B" w:rsidRPr="0010233E" w:rsidRDefault="00097C3B" w:rsidP="00D72025">
            <w:pPr>
              <w:rPr>
                <w:b/>
              </w:rPr>
            </w:pPr>
          </w:p>
        </w:tc>
        <w:tc>
          <w:tcPr>
            <w:tcW w:w="3110" w:type="dxa"/>
            <w:tcBorders>
              <w:bottom w:val="single" w:sz="4" w:space="0" w:color="auto"/>
            </w:tcBorders>
          </w:tcPr>
          <w:p w:rsidR="00097C3B" w:rsidRPr="0010233E" w:rsidRDefault="00097C3B" w:rsidP="00D72025">
            <w:pPr>
              <w:rPr>
                <w:b/>
              </w:rPr>
            </w:pPr>
            <w:r w:rsidRPr="0010233E">
              <w:rPr>
                <w:b/>
              </w:rPr>
              <w:t>Version</w:t>
            </w:r>
          </w:p>
        </w:tc>
      </w:tr>
      <w:tr w:rsidR="00097C3B" w:rsidTr="00097C3B">
        <w:tc>
          <w:tcPr>
            <w:tcW w:w="3007" w:type="dxa"/>
            <w:tcBorders>
              <w:top w:val="single" w:sz="4" w:space="0" w:color="auto"/>
              <w:left w:val="single" w:sz="4" w:space="0" w:color="auto"/>
              <w:bottom w:val="single" w:sz="4" w:space="0" w:color="auto"/>
              <w:right w:val="single" w:sz="4" w:space="0" w:color="auto"/>
            </w:tcBorders>
          </w:tcPr>
          <w:p w:rsidR="00097C3B" w:rsidRDefault="00213323" w:rsidP="00D72025">
            <w:r>
              <w:t xml:space="preserve">15 </w:t>
            </w:r>
            <w:r w:rsidR="0007651F">
              <w:t>November 2019</w:t>
            </w:r>
          </w:p>
        </w:tc>
        <w:tc>
          <w:tcPr>
            <w:tcW w:w="1388" w:type="dxa"/>
            <w:tcBorders>
              <w:left w:val="single" w:sz="4" w:space="0" w:color="auto"/>
              <w:right w:val="single" w:sz="4" w:space="0" w:color="auto"/>
            </w:tcBorders>
          </w:tcPr>
          <w:p w:rsidR="00097C3B" w:rsidRDefault="00097C3B" w:rsidP="00D72025"/>
        </w:tc>
        <w:tc>
          <w:tcPr>
            <w:tcW w:w="3110" w:type="dxa"/>
            <w:tcBorders>
              <w:top w:val="single" w:sz="4" w:space="0" w:color="auto"/>
              <w:left w:val="single" w:sz="4" w:space="0" w:color="auto"/>
              <w:bottom w:val="single" w:sz="4" w:space="0" w:color="auto"/>
              <w:right w:val="single" w:sz="4" w:space="0" w:color="auto"/>
            </w:tcBorders>
          </w:tcPr>
          <w:p w:rsidR="00097C3B" w:rsidRDefault="0007651F" w:rsidP="00D72025">
            <w:r>
              <w:t>1.0</w:t>
            </w:r>
          </w:p>
        </w:tc>
      </w:tr>
      <w:tr w:rsidR="00097C3B" w:rsidRPr="0010233E" w:rsidTr="00097C3B">
        <w:tc>
          <w:tcPr>
            <w:tcW w:w="3007" w:type="dxa"/>
            <w:tcBorders>
              <w:top w:val="single" w:sz="4" w:space="0" w:color="auto"/>
              <w:bottom w:val="single" w:sz="4" w:space="0" w:color="auto"/>
            </w:tcBorders>
          </w:tcPr>
          <w:p w:rsidR="00097C3B" w:rsidRPr="0010233E" w:rsidRDefault="00097C3B" w:rsidP="00D72025">
            <w:pPr>
              <w:rPr>
                <w:b/>
              </w:rPr>
            </w:pPr>
            <w:r w:rsidRPr="0010233E">
              <w:rPr>
                <w:b/>
              </w:rPr>
              <w:t>Operative From</w:t>
            </w:r>
          </w:p>
        </w:tc>
        <w:tc>
          <w:tcPr>
            <w:tcW w:w="1388" w:type="dxa"/>
          </w:tcPr>
          <w:p w:rsidR="00097C3B" w:rsidRPr="0010233E" w:rsidRDefault="00097C3B" w:rsidP="00D72025">
            <w:pPr>
              <w:rPr>
                <w:b/>
              </w:rPr>
            </w:pPr>
          </w:p>
        </w:tc>
        <w:tc>
          <w:tcPr>
            <w:tcW w:w="3110" w:type="dxa"/>
            <w:tcBorders>
              <w:top w:val="single" w:sz="4" w:space="0" w:color="auto"/>
              <w:bottom w:val="single" w:sz="4" w:space="0" w:color="auto"/>
            </w:tcBorders>
          </w:tcPr>
          <w:p w:rsidR="00097C3B" w:rsidRPr="0010233E" w:rsidRDefault="00097C3B" w:rsidP="00D72025">
            <w:pPr>
              <w:rPr>
                <w:b/>
              </w:rPr>
            </w:pPr>
            <w:r w:rsidRPr="0010233E">
              <w:rPr>
                <w:b/>
              </w:rPr>
              <w:t>Artefacts affected</w:t>
            </w:r>
          </w:p>
        </w:tc>
      </w:tr>
      <w:tr w:rsidR="00097C3B" w:rsidTr="00097C3B">
        <w:tc>
          <w:tcPr>
            <w:tcW w:w="3007" w:type="dxa"/>
            <w:tcBorders>
              <w:top w:val="single" w:sz="4" w:space="0" w:color="auto"/>
              <w:left w:val="single" w:sz="4" w:space="0" w:color="auto"/>
              <w:bottom w:val="single" w:sz="4" w:space="0" w:color="auto"/>
              <w:right w:val="single" w:sz="4" w:space="0" w:color="auto"/>
            </w:tcBorders>
          </w:tcPr>
          <w:p w:rsidR="00097C3B" w:rsidRDefault="0007651F" w:rsidP="00D72025">
            <w:r>
              <w:t>November 2019</w:t>
            </w:r>
          </w:p>
        </w:tc>
        <w:tc>
          <w:tcPr>
            <w:tcW w:w="1388" w:type="dxa"/>
            <w:tcBorders>
              <w:left w:val="single" w:sz="4" w:space="0" w:color="auto"/>
              <w:right w:val="single" w:sz="4" w:space="0" w:color="auto"/>
            </w:tcBorders>
          </w:tcPr>
          <w:p w:rsidR="00097C3B" w:rsidRDefault="00097C3B" w:rsidP="00D72025"/>
        </w:tc>
        <w:tc>
          <w:tcPr>
            <w:tcW w:w="3110" w:type="dxa"/>
            <w:tcBorders>
              <w:top w:val="single" w:sz="4" w:space="0" w:color="auto"/>
              <w:left w:val="single" w:sz="4" w:space="0" w:color="auto"/>
              <w:bottom w:val="single" w:sz="4" w:space="0" w:color="auto"/>
              <w:right w:val="single" w:sz="4" w:space="0" w:color="auto"/>
            </w:tcBorders>
          </w:tcPr>
          <w:p w:rsidR="00097C3B" w:rsidRDefault="0007651F" w:rsidP="00D72025">
            <w:r>
              <w:t>Annex 5</w:t>
            </w:r>
          </w:p>
        </w:tc>
      </w:tr>
    </w:tbl>
    <w:p w:rsidR="00A76198" w:rsidRPr="00DC5B44" w:rsidRDefault="002A5E26" w:rsidP="00DC5B44">
      <w:pPr>
        <w:pStyle w:val="Heading3"/>
        <w:rPr>
          <w:color w:val="auto"/>
        </w:rPr>
      </w:pPr>
      <w:r w:rsidRPr="00DC5B44">
        <w:rPr>
          <w:color w:val="auto"/>
        </w:rPr>
        <w:t>Introduction</w:t>
      </w:r>
      <w:r w:rsidR="00A76198" w:rsidRPr="00DC5B44">
        <w:rPr>
          <w:color w:val="auto"/>
        </w:rPr>
        <w:t xml:space="preserve"> </w:t>
      </w:r>
    </w:p>
    <w:p w:rsidR="00A76198" w:rsidRDefault="00A76198" w:rsidP="00A76198">
      <w:r>
        <w:t>The European PEPPOL framework has been formally adopted by both the New Zealand and Australian governments for e-Invoicing. The framework will provide businesses with the opportunity to fully digitise the invoicing process allowing them to pay invoices faster, reduce incidents of fraud and refuse costs associated with invoice handling.</w:t>
      </w:r>
    </w:p>
    <w:p w:rsidR="00A76198" w:rsidRDefault="00A76198" w:rsidP="00A76198">
      <w:r>
        <w:t>While several mitigations are inherent in the OpenPEPPOL framework, an analysis of the threat landscape has identified additional controls required to respond to a number of risks rated as high. These risks can be summarised in the threat statement below.</w:t>
      </w:r>
    </w:p>
    <w:p w:rsidR="00A76198" w:rsidRPr="00B65CA4" w:rsidRDefault="00A76198" w:rsidP="00A76198">
      <w:pPr>
        <w:rPr>
          <w:i/>
        </w:rPr>
      </w:pPr>
      <w:r w:rsidRPr="00B65CA4">
        <w:rPr>
          <w:i/>
        </w:rPr>
        <w:t>An external threat actor or insider motivated by financial profit, a desire to cause business disruption, state sponsored or industrial espionage, accesses an element of the e-Invoicing process. They then modify or collect business and invoice data as it is being processed, stored or transmitted by the systems involved in e-Invoicing. This results in financial losses for the affected businesses, attention from the media, a loss of stakeholder confidence in the e-Invoicing process and poor uptake of e-Invoicing by businesses due to the perceived risks.</w:t>
      </w:r>
    </w:p>
    <w:p w:rsidR="0025016C" w:rsidRPr="00DC5B44" w:rsidRDefault="00A76198" w:rsidP="00DC5B44">
      <w:pPr>
        <w:pStyle w:val="Heading3"/>
        <w:rPr>
          <w:color w:val="auto"/>
        </w:rPr>
      </w:pPr>
      <w:r w:rsidRPr="00DC5B44">
        <w:rPr>
          <w:color w:val="auto"/>
        </w:rPr>
        <w:t>Scope</w:t>
      </w:r>
    </w:p>
    <w:p w:rsidR="00A76198" w:rsidRDefault="00A76198" w:rsidP="00A76198">
      <w:r>
        <w:t xml:space="preserve">The A-NZ Information Security Program applies to all e-Invoicing service providers, that provide (or are seeking to provide) Access Point and/or Service Metadata Publisher services. </w:t>
      </w:r>
    </w:p>
    <w:p w:rsidR="00A76198" w:rsidRDefault="00A76198" w:rsidP="00A76198">
      <w:pPr>
        <w:spacing w:before="220" w:line="240" w:lineRule="auto"/>
      </w:pPr>
      <w:r w:rsidRPr="00850F3B">
        <w:lastRenderedPageBreak/>
        <w:t xml:space="preserve">Large organisations with diverse service/product offerings, may limit the scope of the </w:t>
      </w:r>
      <w:r w:rsidR="00A62095">
        <w:t xml:space="preserve">information security program </w:t>
      </w:r>
      <w:r w:rsidRPr="00850F3B">
        <w:t>to relevant policies, procedures and systems of the business unit responsible for the</w:t>
      </w:r>
      <w:r>
        <w:t xml:space="preserve"> e-Invoicing Access Point / Service Metadata Publisher </w:t>
      </w:r>
      <w:r w:rsidRPr="00850F3B">
        <w:t>service</w:t>
      </w:r>
      <w:r>
        <w:t>.</w:t>
      </w:r>
    </w:p>
    <w:p w:rsidR="00A76198" w:rsidRPr="00DC5B44" w:rsidRDefault="00A76198" w:rsidP="00DC5B44">
      <w:pPr>
        <w:pStyle w:val="Heading3"/>
        <w:rPr>
          <w:color w:val="auto"/>
        </w:rPr>
      </w:pPr>
      <w:r w:rsidRPr="00DC5B44">
        <w:rPr>
          <w:color w:val="auto"/>
        </w:rPr>
        <w:t xml:space="preserve">Objectives </w:t>
      </w:r>
    </w:p>
    <w:p w:rsidR="00A76198" w:rsidRPr="00E87096" w:rsidRDefault="00A76198" w:rsidP="00A76198">
      <w:r>
        <w:t xml:space="preserve">The Information Security is a collective obligation of the PEPPOL Service Providers and the A-NZ PEPPOL Authorities. </w:t>
      </w:r>
    </w:p>
    <w:p w:rsidR="00A76198" w:rsidRDefault="00A76198" w:rsidP="00A76198">
      <w:r>
        <w:t>This Information security guidance has below collective objectives</w:t>
      </w:r>
    </w:p>
    <w:p w:rsidR="00A76198" w:rsidRDefault="00A76198" w:rsidP="00A76198">
      <w:pPr>
        <w:pStyle w:val="ListParagraph"/>
        <w:numPr>
          <w:ilvl w:val="0"/>
          <w:numId w:val="24"/>
        </w:numPr>
      </w:pPr>
      <w:r>
        <w:t xml:space="preserve">Increased trust and assurance </w:t>
      </w:r>
    </w:p>
    <w:p w:rsidR="00A76198" w:rsidRDefault="00A76198" w:rsidP="00A76198">
      <w:pPr>
        <w:pStyle w:val="ListParagraph"/>
        <w:numPr>
          <w:ilvl w:val="0"/>
          <w:numId w:val="24"/>
        </w:numPr>
      </w:pPr>
      <w:r>
        <w:t xml:space="preserve">Reduce Security related incidents </w:t>
      </w:r>
    </w:p>
    <w:p w:rsidR="00A76198" w:rsidRDefault="00A76198" w:rsidP="00A76198">
      <w:pPr>
        <w:pStyle w:val="ListParagraph"/>
        <w:numPr>
          <w:ilvl w:val="0"/>
          <w:numId w:val="24"/>
        </w:numPr>
      </w:pPr>
      <w:r>
        <w:t xml:space="preserve">Less or no reputational damage </w:t>
      </w:r>
    </w:p>
    <w:p w:rsidR="00A76198" w:rsidRDefault="00A76198" w:rsidP="00A76198">
      <w:pPr>
        <w:pStyle w:val="ListParagraph"/>
        <w:numPr>
          <w:ilvl w:val="0"/>
          <w:numId w:val="24"/>
        </w:numPr>
      </w:pPr>
      <w:r>
        <w:t>Apply PEPPOL regulatory compliance</w:t>
      </w:r>
    </w:p>
    <w:p w:rsidR="002A5E26" w:rsidRPr="00DC5B44" w:rsidRDefault="00A62095" w:rsidP="00DC5B44">
      <w:pPr>
        <w:pStyle w:val="Heading3"/>
        <w:rPr>
          <w:color w:val="auto"/>
        </w:rPr>
      </w:pPr>
      <w:r>
        <w:rPr>
          <w:color w:val="auto"/>
        </w:rPr>
        <w:t xml:space="preserve">Key </w:t>
      </w:r>
      <w:r w:rsidR="002A5E26" w:rsidRPr="00DC5B44">
        <w:rPr>
          <w:color w:val="auto"/>
        </w:rPr>
        <w:t>Requirements</w:t>
      </w:r>
    </w:p>
    <w:p w:rsidR="0021436F" w:rsidRPr="00BD750B" w:rsidRDefault="0021436F" w:rsidP="0021436F">
      <w:pPr>
        <w:rPr>
          <w:i/>
        </w:rPr>
      </w:pPr>
      <w:r w:rsidRPr="00BD750B">
        <w:t xml:space="preserve">Section 2.1 of the Annex 5 within the Transport Infrastructure Agreement, requires </w:t>
      </w:r>
      <w:r w:rsidRPr="00BD750B">
        <w:rPr>
          <w:i/>
        </w:rPr>
        <w:t>PEPPOL SMP and AP Providers must comply with any security requirements defined by the PEPPOL Authority. PEPPOL SMP and AP Providers will be required to provide evidence of compliance against the requirements for accreditation and demonstrate their continued compliance to maintain their accreditation.</w:t>
      </w:r>
    </w:p>
    <w:p w:rsidR="00A76198" w:rsidRPr="00BD750B" w:rsidRDefault="00A76198" w:rsidP="00A76198">
      <w:r w:rsidRPr="00BD750B">
        <w:t xml:space="preserve">The below table describes the </w:t>
      </w:r>
      <w:r w:rsidR="0021436F" w:rsidRPr="00BD750B">
        <w:t xml:space="preserve">information security requirements </w:t>
      </w:r>
      <w:r w:rsidRPr="00BD750B">
        <w:t>required by e-Invoicing Service Providers.</w:t>
      </w:r>
    </w:p>
    <w:p w:rsidR="00166007" w:rsidRDefault="00166007" w:rsidP="00A76198"/>
    <w:tbl>
      <w:tblPr>
        <w:tblStyle w:val="LightList-Accent1"/>
        <w:tblW w:w="0" w:type="auto"/>
        <w:tblLook w:val="04A0" w:firstRow="1" w:lastRow="0" w:firstColumn="1" w:lastColumn="0" w:noHBand="0" w:noVBand="1"/>
      </w:tblPr>
      <w:tblGrid>
        <w:gridCol w:w="2771"/>
        <w:gridCol w:w="6515"/>
      </w:tblGrid>
      <w:tr w:rsidR="00A76198" w:rsidTr="0017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76198" w:rsidRDefault="00A76198" w:rsidP="00172A58">
            <w:r>
              <w:t>Requirement</w:t>
            </w:r>
          </w:p>
        </w:tc>
        <w:tc>
          <w:tcPr>
            <w:tcW w:w="7597" w:type="dxa"/>
          </w:tcPr>
          <w:p w:rsidR="00A76198" w:rsidRDefault="00A76198" w:rsidP="00172A58">
            <w:pPr>
              <w:cnfStyle w:val="100000000000" w:firstRow="1" w:lastRow="0" w:firstColumn="0" w:lastColumn="0" w:oddVBand="0" w:evenVBand="0" w:oddHBand="0" w:evenHBand="0" w:firstRowFirstColumn="0" w:firstRowLastColumn="0" w:lastRowFirstColumn="0" w:lastRowLastColumn="0"/>
            </w:pPr>
            <w:r>
              <w:t>Detail</w:t>
            </w:r>
          </w:p>
        </w:tc>
      </w:tr>
      <w:tr w:rsidR="00A76198" w:rsidTr="0017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76198" w:rsidRPr="00E51D3E" w:rsidRDefault="00A76198" w:rsidP="00172A58">
            <w:pPr>
              <w:rPr>
                <w:b w:val="0"/>
              </w:rPr>
            </w:pPr>
            <w:r w:rsidRPr="00E51D3E">
              <w:rPr>
                <w:b w:val="0"/>
              </w:rPr>
              <w:t>Self-</w:t>
            </w:r>
            <w:r>
              <w:rPr>
                <w:b w:val="0"/>
              </w:rPr>
              <w:t>certification</w:t>
            </w:r>
            <w:r w:rsidRPr="00E51D3E">
              <w:rPr>
                <w:b w:val="0"/>
              </w:rPr>
              <w:t xml:space="preserve"> or independent</w:t>
            </w:r>
            <w:r>
              <w:rPr>
                <w:b w:val="0"/>
              </w:rPr>
              <w:t xml:space="preserve"> certification </w:t>
            </w:r>
            <w:r w:rsidRPr="00E51D3E">
              <w:rPr>
                <w:b w:val="0"/>
              </w:rPr>
              <w:t>against either ISO/IEC 27001 or ASD ISM/NZ ISM</w:t>
            </w:r>
          </w:p>
          <w:p w:rsidR="00A76198" w:rsidRPr="00E51D3E" w:rsidRDefault="00A76198" w:rsidP="00172A58">
            <w:pPr>
              <w:rPr>
                <w:b w:val="0"/>
              </w:rPr>
            </w:pPr>
          </w:p>
        </w:tc>
        <w:tc>
          <w:tcPr>
            <w:tcW w:w="7597" w:type="dxa"/>
          </w:tcPr>
          <w:p w:rsidR="00A76198" w:rsidRDefault="00A76198" w:rsidP="00172A58">
            <w:pPr>
              <w:cnfStyle w:val="000000100000" w:firstRow="0" w:lastRow="0" w:firstColumn="0" w:lastColumn="0" w:oddVBand="0" w:evenVBand="0" w:oddHBand="1" w:evenHBand="0" w:firstRowFirstColumn="0" w:firstRowLastColumn="0" w:lastRowFirstColumn="0" w:lastRowLastColumn="0"/>
            </w:pPr>
            <w:r>
              <w:t>Potential service providers</w:t>
            </w:r>
            <w:r w:rsidRPr="00D156BF">
              <w:rPr>
                <w:b/>
              </w:rPr>
              <w:t xml:space="preserve"> should</w:t>
            </w:r>
            <w:r>
              <w:t xml:space="preserve"> consider the applicability of all controls within the standard, however the assessment </w:t>
            </w:r>
            <w:r w:rsidRPr="00D156BF">
              <w:rPr>
                <w:b/>
              </w:rPr>
              <w:t>must</w:t>
            </w:r>
            <w:r>
              <w:t xml:space="preserve"> include suitable evidence for the following controls:</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Encryption key management</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Network segregation</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Audit logging</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Patch and vulnerability management program</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Information security awareness, education and training</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Physical and environmental security</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Operational procedures and responsibility</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System acquisition, development and maintenance – including secure coding practices</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System access control</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Personnel security</w:t>
            </w:r>
          </w:p>
          <w:p w:rsidR="00A76198" w:rsidRDefault="00A76198" w:rsidP="00A76198">
            <w:pPr>
              <w:pStyle w:val="ListParagraph"/>
              <w:numPr>
                <w:ilvl w:val="0"/>
                <w:numId w:val="25"/>
              </w:numPr>
              <w:spacing w:line="240" w:lineRule="auto"/>
              <w:cnfStyle w:val="000000100000" w:firstRow="0" w:lastRow="0" w:firstColumn="0" w:lastColumn="0" w:oddVBand="0" w:evenVBand="0" w:oddHBand="1" w:evenHBand="0" w:firstRowFirstColumn="0" w:firstRowLastColumn="0" w:lastRowFirstColumn="0" w:lastRowLastColumn="0"/>
            </w:pPr>
            <w:r>
              <w:t>Backup</w:t>
            </w:r>
          </w:p>
        </w:tc>
      </w:tr>
      <w:tr w:rsidR="00A76198" w:rsidTr="00172A58">
        <w:tc>
          <w:tcPr>
            <w:cnfStyle w:val="001000000000" w:firstRow="0" w:lastRow="0" w:firstColumn="1" w:lastColumn="0" w:oddVBand="0" w:evenVBand="0" w:oddHBand="0" w:evenHBand="0" w:firstRowFirstColumn="0" w:firstRowLastColumn="0" w:lastRowFirstColumn="0" w:lastRowLastColumn="0"/>
            <w:tcW w:w="3085" w:type="dxa"/>
          </w:tcPr>
          <w:p w:rsidR="00A76198" w:rsidRPr="00E51D3E" w:rsidRDefault="00A76198" w:rsidP="00172A58">
            <w:pPr>
              <w:rPr>
                <w:b w:val="0"/>
              </w:rPr>
            </w:pPr>
            <w:r w:rsidRPr="00E51D3E">
              <w:rPr>
                <w:b w:val="0"/>
              </w:rPr>
              <w:t>Encryption at rest</w:t>
            </w:r>
          </w:p>
        </w:tc>
        <w:tc>
          <w:tcPr>
            <w:tcW w:w="7597" w:type="dxa"/>
          </w:tcPr>
          <w:p w:rsidR="00A76198" w:rsidRPr="00A63B62" w:rsidRDefault="00A76198" w:rsidP="00172A58">
            <w:pPr>
              <w:cnfStyle w:val="000000000000" w:firstRow="0" w:lastRow="0" w:firstColumn="0" w:lastColumn="0" w:oddVBand="0" w:evenVBand="0" w:oddHBand="0" w:evenHBand="0" w:firstRowFirstColumn="0" w:firstRowLastColumn="0" w:lastRowFirstColumn="0" w:lastRowLastColumn="0"/>
            </w:pPr>
            <w:r w:rsidRPr="00D156BF">
              <w:rPr>
                <w:rFonts w:cs="Arial"/>
                <w:lang w:val="en-GB"/>
              </w:rPr>
              <w:t>Business documents when stored are encrypted at rest. Encryption may be at the disk, container, application or database level. Encryption at rest should follow [</w:t>
            </w:r>
            <w:hyperlink r:id="rId14" w:history="1">
              <w:r w:rsidRPr="00D156BF">
                <w:rPr>
                  <w:rStyle w:val="Hyperlink"/>
                  <w:rFonts w:cs="Arial"/>
                  <w:lang w:val="en-GB"/>
                </w:rPr>
                <w:t>Australian Government Information Security Manual (ISM) approved cryptographic algorithms and protocols</w:t>
              </w:r>
            </w:hyperlink>
            <w:r w:rsidRPr="00D156BF">
              <w:rPr>
                <w:rFonts w:cs="Arial"/>
                <w:lang w:val="en-GB"/>
              </w:rPr>
              <w:t xml:space="preserve"> / </w:t>
            </w:r>
            <w:hyperlink r:id="rId15" w:history="1">
              <w:r w:rsidRPr="00D156BF">
                <w:rPr>
                  <w:rStyle w:val="Hyperlink"/>
                  <w:rFonts w:cs="Arial"/>
                  <w:lang w:val="en-GB"/>
                </w:rPr>
                <w:t>New Zealand Government ISM cryptographic algorithm and protocols</w:t>
              </w:r>
            </w:hyperlink>
            <w:r w:rsidRPr="00D156BF">
              <w:rPr>
                <w:rFonts w:cs="Arial"/>
                <w:lang w:val="en-GB"/>
              </w:rPr>
              <w:t>].</w:t>
            </w:r>
          </w:p>
        </w:tc>
      </w:tr>
      <w:tr w:rsidR="00A76198" w:rsidTr="0017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76198" w:rsidRPr="00E51D3E" w:rsidRDefault="00A76198" w:rsidP="00172A58">
            <w:pPr>
              <w:rPr>
                <w:b w:val="0"/>
              </w:rPr>
            </w:pPr>
            <w:r w:rsidRPr="00E51D3E">
              <w:rPr>
                <w:b w:val="0"/>
              </w:rPr>
              <w:t xml:space="preserve">Security monitoring </w:t>
            </w:r>
            <w:r w:rsidRPr="00E51D3E">
              <w:rPr>
                <w:b w:val="0"/>
              </w:rPr>
              <w:lastRenderedPageBreak/>
              <w:t>practices</w:t>
            </w:r>
          </w:p>
        </w:tc>
        <w:tc>
          <w:tcPr>
            <w:tcW w:w="7597" w:type="dxa"/>
          </w:tcPr>
          <w:p w:rsidR="00A76198" w:rsidRPr="00D156BF" w:rsidRDefault="00A76198" w:rsidP="00172A58">
            <w:pPr>
              <w:spacing w:line="360"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D156BF">
              <w:rPr>
                <w:rFonts w:cs="Arial"/>
                <w:lang w:val="en-GB"/>
              </w:rPr>
              <w:lastRenderedPageBreak/>
              <w:t xml:space="preserve">Security monitoring must be in place – including denial of </w:t>
            </w:r>
            <w:r w:rsidRPr="00D156BF">
              <w:rPr>
                <w:rFonts w:cs="Arial"/>
                <w:lang w:val="en-GB"/>
              </w:rPr>
              <w:lastRenderedPageBreak/>
              <w:t>service mitigations.</w:t>
            </w:r>
          </w:p>
          <w:p w:rsidR="00A76198" w:rsidRPr="00D156BF" w:rsidRDefault="00A76198" w:rsidP="00172A58">
            <w:pPr>
              <w:cnfStyle w:val="000000100000" w:firstRow="0" w:lastRow="0" w:firstColumn="0" w:lastColumn="0" w:oddVBand="0" w:evenVBand="0" w:oddHBand="1" w:evenHBand="0" w:firstRowFirstColumn="0" w:firstRowLastColumn="0" w:lastRowFirstColumn="0" w:lastRowLastColumn="0"/>
              <w:rPr>
                <w:rFonts w:cs="Arial"/>
                <w:lang w:val="en-GB"/>
              </w:rPr>
            </w:pPr>
            <w:r w:rsidRPr="00D156BF">
              <w:rPr>
                <w:rFonts w:cs="Arial"/>
                <w:lang w:val="en-GB"/>
              </w:rPr>
              <w:t>For example:</w:t>
            </w:r>
          </w:p>
          <w:p w:rsidR="00A76198" w:rsidRPr="00D156BF" w:rsidRDefault="00A76198" w:rsidP="00A76198">
            <w:pPr>
              <w:pStyle w:val="ListParagraph"/>
              <w:numPr>
                <w:ilvl w:val="0"/>
                <w:numId w:val="26"/>
              </w:numPr>
              <w:suppressAutoHyphens/>
              <w:spacing w:line="240"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D156BF">
              <w:rPr>
                <w:rFonts w:cs="Arial"/>
                <w:lang w:val="en-GB"/>
              </w:rPr>
              <w:t>network / infrastructure layer;</w:t>
            </w:r>
          </w:p>
          <w:p w:rsidR="00A76198" w:rsidRPr="00D156BF" w:rsidRDefault="00A76198" w:rsidP="00A76198">
            <w:pPr>
              <w:pStyle w:val="ListParagraph"/>
              <w:numPr>
                <w:ilvl w:val="0"/>
                <w:numId w:val="26"/>
              </w:numPr>
              <w:suppressAutoHyphens/>
              <w:spacing w:line="240" w:lineRule="auto"/>
              <w:cnfStyle w:val="000000100000" w:firstRow="0" w:lastRow="0" w:firstColumn="0" w:lastColumn="0" w:oddVBand="0" w:evenVBand="0" w:oddHBand="1" w:evenHBand="0" w:firstRowFirstColumn="0" w:firstRowLastColumn="0" w:lastRowFirstColumn="0" w:lastRowLastColumn="0"/>
              <w:rPr>
                <w:rFonts w:cs="Arial"/>
                <w:lang w:val="en-GB"/>
              </w:rPr>
            </w:pPr>
            <w:r w:rsidRPr="00D156BF">
              <w:rPr>
                <w:rFonts w:cs="Arial"/>
                <w:lang w:val="en-GB"/>
              </w:rPr>
              <w:t xml:space="preserve">application layer; and </w:t>
            </w:r>
          </w:p>
          <w:p w:rsidR="00A76198" w:rsidRPr="00FE5EEF" w:rsidRDefault="00A76198" w:rsidP="00A76198">
            <w:pPr>
              <w:pStyle w:val="ListParagraph"/>
              <w:numPr>
                <w:ilvl w:val="0"/>
                <w:numId w:val="26"/>
              </w:numPr>
              <w:suppressAutoHyphens/>
              <w:spacing w:line="240" w:lineRule="auto"/>
              <w:cnfStyle w:val="000000100000" w:firstRow="0" w:lastRow="0" w:firstColumn="0" w:lastColumn="0" w:oddVBand="0" w:evenVBand="0" w:oddHBand="1" w:evenHBand="0" w:firstRowFirstColumn="0" w:firstRowLastColumn="0" w:lastRowFirstColumn="0" w:lastRowLastColumn="0"/>
              <w:rPr>
                <w:rFonts w:cs="Arial"/>
                <w:sz w:val="20"/>
                <w:lang w:val="en-GB"/>
              </w:rPr>
            </w:pPr>
            <w:proofErr w:type="gramStart"/>
            <w:r w:rsidRPr="00D156BF">
              <w:rPr>
                <w:rFonts w:cs="Arial"/>
                <w:lang w:val="en-GB"/>
              </w:rPr>
              <w:t>transaction</w:t>
            </w:r>
            <w:proofErr w:type="gramEnd"/>
            <w:r w:rsidRPr="00D156BF">
              <w:rPr>
                <w:rFonts w:cs="Arial"/>
                <w:lang w:val="en-GB"/>
              </w:rPr>
              <w:t xml:space="preserve"> (data) layer.</w:t>
            </w:r>
          </w:p>
        </w:tc>
      </w:tr>
      <w:tr w:rsidR="00A76198" w:rsidTr="00172A58">
        <w:tc>
          <w:tcPr>
            <w:cnfStyle w:val="001000000000" w:firstRow="0" w:lastRow="0" w:firstColumn="1" w:lastColumn="0" w:oddVBand="0" w:evenVBand="0" w:oddHBand="0" w:evenHBand="0" w:firstRowFirstColumn="0" w:firstRowLastColumn="0" w:lastRowFirstColumn="0" w:lastRowLastColumn="0"/>
            <w:tcW w:w="3085" w:type="dxa"/>
          </w:tcPr>
          <w:p w:rsidR="00A76198" w:rsidRPr="00E51D3E" w:rsidRDefault="00A76198" w:rsidP="00172A58">
            <w:pPr>
              <w:rPr>
                <w:b w:val="0"/>
              </w:rPr>
            </w:pPr>
            <w:r w:rsidRPr="00435F68">
              <w:rPr>
                <w:b w:val="0"/>
                <w:i/>
              </w:rPr>
              <w:lastRenderedPageBreak/>
              <w:t xml:space="preserve">(Access Points only) </w:t>
            </w:r>
            <w:r w:rsidRPr="0050637B">
              <w:rPr>
                <w:b w:val="0"/>
              </w:rPr>
              <w:t>Encryption in</w:t>
            </w:r>
            <w:r w:rsidRPr="00FE5EEF">
              <w:t xml:space="preserve"> </w:t>
            </w:r>
            <w:r w:rsidRPr="0050637B">
              <w:rPr>
                <w:b w:val="0"/>
              </w:rPr>
              <w:t>transit</w:t>
            </w:r>
            <w:r>
              <w:rPr>
                <w:b w:val="0"/>
              </w:rPr>
              <w:t xml:space="preserve"> for all e-Invoicing information (business documents) sent and received by an Access Point</w:t>
            </w:r>
          </w:p>
        </w:tc>
        <w:tc>
          <w:tcPr>
            <w:tcW w:w="7597" w:type="dxa"/>
          </w:tcPr>
          <w:p w:rsidR="00A76198" w:rsidRPr="000C09BF" w:rsidRDefault="00A76198" w:rsidP="00172A58">
            <w:pPr>
              <w:cnfStyle w:val="000000000000" w:firstRow="0" w:lastRow="0" w:firstColumn="0" w:lastColumn="0" w:oddVBand="0" w:evenVBand="0" w:oddHBand="0" w:evenHBand="0" w:firstRowFirstColumn="0" w:firstRowLastColumn="0" w:lastRowFirstColumn="0" w:lastRowLastColumn="0"/>
            </w:pPr>
            <w:r w:rsidRPr="00D156BF">
              <w:rPr>
                <w:rFonts w:cs="Arial"/>
                <w:lang w:val="en-GB"/>
              </w:rPr>
              <w:t>Business documents are encrypted i</w:t>
            </w:r>
            <w:r>
              <w:rPr>
                <w:rFonts w:cs="Arial"/>
                <w:lang w:val="en-GB"/>
              </w:rPr>
              <w:t>n</w:t>
            </w:r>
            <w:r w:rsidRPr="00D156BF">
              <w:rPr>
                <w:rFonts w:cs="Arial"/>
                <w:lang w:val="en-GB"/>
              </w:rPr>
              <w:t xml:space="preserve"> transit utilising TLS 1.2</w:t>
            </w:r>
            <w:r>
              <w:rPr>
                <w:rFonts w:cs="Arial"/>
                <w:lang w:val="en-GB"/>
              </w:rPr>
              <w:t xml:space="preserve"> or higher</w:t>
            </w:r>
            <w:r w:rsidRPr="00D156BF">
              <w:rPr>
                <w:rFonts w:cs="Arial"/>
                <w:lang w:val="en-GB"/>
              </w:rPr>
              <w:t xml:space="preserve"> or another [</w:t>
            </w:r>
            <w:hyperlink r:id="rId16" w:history="1">
              <w:r w:rsidRPr="00D156BF">
                <w:rPr>
                  <w:rStyle w:val="Hyperlink"/>
                  <w:rFonts w:cs="Arial"/>
                  <w:lang w:val="en-GB"/>
                </w:rPr>
                <w:t>Australian Government Information Security Manual (ISM) approved cryptographic algorithm and protocols</w:t>
              </w:r>
            </w:hyperlink>
            <w:r w:rsidRPr="00D156BF">
              <w:rPr>
                <w:rFonts w:cs="Arial"/>
                <w:lang w:val="en-GB"/>
              </w:rPr>
              <w:t xml:space="preserve"> / </w:t>
            </w:r>
            <w:hyperlink r:id="rId17" w:history="1">
              <w:r w:rsidRPr="00D156BF">
                <w:rPr>
                  <w:rStyle w:val="Hyperlink"/>
                  <w:rFonts w:cs="Arial"/>
                  <w:lang w:val="en-GB"/>
                </w:rPr>
                <w:t>New Zealand Government ISM cryptographic algorithm and protocols</w:t>
              </w:r>
            </w:hyperlink>
            <w:r w:rsidRPr="00D156BF">
              <w:rPr>
                <w:rFonts w:cs="Arial"/>
                <w:lang w:val="en-GB"/>
              </w:rPr>
              <w:t>].</w:t>
            </w:r>
          </w:p>
        </w:tc>
      </w:tr>
      <w:tr w:rsidR="00A76198" w:rsidTr="0017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76198" w:rsidRPr="00E51D3E" w:rsidRDefault="00A76198" w:rsidP="00172A58">
            <w:pPr>
              <w:rPr>
                <w:b w:val="0"/>
              </w:rPr>
            </w:pPr>
            <w:r w:rsidRPr="00435F68">
              <w:rPr>
                <w:b w:val="0"/>
                <w:i/>
              </w:rPr>
              <w:t>(Access Points only)</w:t>
            </w:r>
            <w:r>
              <w:rPr>
                <w:b w:val="0"/>
                <w:i/>
              </w:rPr>
              <w:t xml:space="preserve"> </w:t>
            </w:r>
            <w:r w:rsidRPr="00435F68">
              <w:rPr>
                <w:b w:val="0"/>
              </w:rPr>
              <w:t xml:space="preserve">Multifactor </w:t>
            </w:r>
            <w:r w:rsidRPr="00E51D3E">
              <w:rPr>
                <w:b w:val="0"/>
              </w:rPr>
              <w:t>authentication</w:t>
            </w:r>
          </w:p>
        </w:tc>
        <w:tc>
          <w:tcPr>
            <w:tcW w:w="7597" w:type="dxa"/>
          </w:tcPr>
          <w:p w:rsidR="00A76198" w:rsidRPr="000C09BF" w:rsidRDefault="00A76198" w:rsidP="00172A58">
            <w:pPr>
              <w:spacing w:line="360" w:lineRule="auto"/>
              <w:cnfStyle w:val="000000100000" w:firstRow="0" w:lastRow="0" w:firstColumn="0" w:lastColumn="0" w:oddVBand="0" w:evenVBand="0" w:oddHBand="1" w:evenHBand="0" w:firstRowFirstColumn="0" w:firstRowLastColumn="0" w:lastRowFirstColumn="0" w:lastRowLastColumn="0"/>
            </w:pPr>
            <w:r w:rsidRPr="00D156BF">
              <w:rPr>
                <w:rFonts w:cs="Arial"/>
                <w:lang w:val="en-GB"/>
              </w:rPr>
              <w:t>End users that directly interact with a PEPPOL AP</w:t>
            </w:r>
            <w:r w:rsidRPr="000C09BF">
              <w:rPr>
                <w:lang w:val="en-GB"/>
              </w:rPr>
              <w:t xml:space="preserve"> </w:t>
            </w:r>
            <w:r w:rsidRPr="00D156BF">
              <w:rPr>
                <w:rFonts w:cs="Arial"/>
                <w:lang w:val="en-GB"/>
              </w:rPr>
              <w:t>must utilise multi-factor authentication.</w:t>
            </w:r>
          </w:p>
        </w:tc>
      </w:tr>
    </w:tbl>
    <w:p w:rsidR="00166007" w:rsidRPr="00DC5B44" w:rsidRDefault="00A76198" w:rsidP="00DC5B44">
      <w:pPr>
        <w:pStyle w:val="Heading3"/>
        <w:rPr>
          <w:color w:val="auto"/>
        </w:rPr>
      </w:pPr>
      <w:r w:rsidRPr="00DC5B44">
        <w:rPr>
          <w:color w:val="auto"/>
        </w:rPr>
        <w:t>Further Guidance</w:t>
      </w:r>
    </w:p>
    <w:p w:rsidR="00166007" w:rsidRPr="00DC5B44" w:rsidRDefault="00A76198" w:rsidP="00DC5B44">
      <w:pPr>
        <w:pStyle w:val="Heading4"/>
        <w:rPr>
          <w:color w:val="auto"/>
        </w:rPr>
      </w:pPr>
      <w:r w:rsidRPr="00DC5B44">
        <w:rPr>
          <w:color w:val="auto"/>
        </w:rPr>
        <w:t>Self-certification or independent certification against either ISO/IEC 27001 or ASD ISM/NZ ISM</w:t>
      </w:r>
    </w:p>
    <w:p w:rsidR="00A76198" w:rsidRPr="00DC5B44" w:rsidRDefault="00A76198" w:rsidP="00DC5B44">
      <w:pPr>
        <w:pStyle w:val="Heading5"/>
        <w:rPr>
          <w:rFonts w:asciiTheme="minorHAnsi" w:hAnsiTheme="minorHAnsi" w:cstheme="minorHAnsi"/>
          <w:b/>
          <w:color w:val="000000" w:themeColor="text1"/>
          <w:sz w:val="26"/>
          <w:szCs w:val="26"/>
        </w:rPr>
      </w:pPr>
      <w:r w:rsidRPr="00DC5B44">
        <w:rPr>
          <w:rFonts w:asciiTheme="minorHAnsi" w:hAnsiTheme="minorHAnsi" w:cstheme="minorHAnsi"/>
          <w:b/>
          <w:color w:val="auto"/>
          <w:sz w:val="26"/>
          <w:szCs w:val="26"/>
        </w:rPr>
        <w:t>Self- certification</w:t>
      </w:r>
    </w:p>
    <w:p w:rsidR="00A76198" w:rsidRDefault="00A76198" w:rsidP="00DC5B44">
      <w:r w:rsidRPr="00140E9A">
        <w:t>The self-certification requirement</w:t>
      </w:r>
      <w:r>
        <w:t xml:space="preserve"> seeks to provide the PEPPOL Authority with a level of assurance that Service Providers have robust security practices in place. This is done by way </w:t>
      </w:r>
      <w:r w:rsidRPr="00140E9A">
        <w:t>of self-certifying against</w:t>
      </w:r>
      <w:r>
        <w:t xml:space="preserve"> one of the below standards:</w:t>
      </w:r>
    </w:p>
    <w:p w:rsidR="00A76198" w:rsidRDefault="00A76198" w:rsidP="00DC5B44">
      <w:pPr>
        <w:pStyle w:val="ListParagraph"/>
        <w:numPr>
          <w:ilvl w:val="0"/>
          <w:numId w:val="27"/>
        </w:numPr>
      </w:pPr>
      <w:r>
        <w:t xml:space="preserve">ISO/IEC 27001 </w:t>
      </w:r>
    </w:p>
    <w:p w:rsidR="00A76198" w:rsidRDefault="00A76198" w:rsidP="00DC5B44">
      <w:pPr>
        <w:pStyle w:val="ListParagraph"/>
        <w:numPr>
          <w:ilvl w:val="0"/>
          <w:numId w:val="27"/>
        </w:numPr>
      </w:pPr>
      <w:r>
        <w:t>ASD ISM / NZ ISM</w:t>
      </w:r>
      <w:r>
        <w:tab/>
      </w:r>
    </w:p>
    <w:p w:rsidR="00A76198" w:rsidRDefault="00A76198" w:rsidP="00DC5B44">
      <w:r>
        <w:t xml:space="preserve">The scope of </w:t>
      </w:r>
      <w:r w:rsidRPr="00140E9A">
        <w:t xml:space="preserve">certification </w:t>
      </w:r>
      <w:r w:rsidRPr="00D156BF">
        <w:rPr>
          <w:b/>
        </w:rPr>
        <w:t>should</w:t>
      </w:r>
      <w:r>
        <w:t xml:space="preserve"> cover relevant organisational policies, procedures and data r</w:t>
      </w:r>
      <w:r w:rsidR="00DC5B44">
        <w:t>epositories that hold or manage</w:t>
      </w:r>
      <w:r>
        <w:t xml:space="preserve"> PEPPOL BIS information. </w:t>
      </w:r>
    </w:p>
    <w:p w:rsidR="00A76198" w:rsidRDefault="00A76198" w:rsidP="00DC5B44">
      <w:r>
        <w:t xml:space="preserve">A-NZ PEPPOL Authorities </w:t>
      </w:r>
      <w:r w:rsidR="008F0643">
        <w:t xml:space="preserve">do not </w:t>
      </w:r>
      <w:r>
        <w:t xml:space="preserve">expect Service Providers to be fully compliant with the complete range of controls of your chosen standard. The controls that Service </w:t>
      </w:r>
      <w:r w:rsidR="00DC5B44">
        <w:t>Providers should</w:t>
      </w:r>
      <w:r>
        <w:t xml:space="preserve"> be compliant with will be dependent on operating model and the architecture of </w:t>
      </w:r>
      <w:r w:rsidR="00B87B3B">
        <w:t>s</w:t>
      </w:r>
      <w:r>
        <w:t>olution. We also acknowledge there may be areas where Service Providers are unable to demonstrate compliance with particular controls. In these scenarios Service Provider will be required to offer supporting commentary to substantiate the non-compliance or the manner / timeframe in which Service Provider expect to address the gap.</w:t>
      </w:r>
    </w:p>
    <w:p w:rsidR="00A76198" w:rsidRPr="00140E9A" w:rsidRDefault="00A76198" w:rsidP="00DC5B44">
      <w:r w:rsidRPr="00140E9A">
        <w:t xml:space="preserve">Where </w:t>
      </w:r>
      <w:r>
        <w:t>Service Providers</w:t>
      </w:r>
      <w:r w:rsidRPr="00140E9A">
        <w:t xml:space="preserve"> deem a control not applicable a short description should be provided </w:t>
      </w:r>
      <w:r w:rsidR="00DC5B44" w:rsidRPr="00140E9A">
        <w:t>as rational</w:t>
      </w:r>
      <w:r w:rsidR="00DC5B44">
        <w:t xml:space="preserve"> behind the inapplicability.</w:t>
      </w:r>
    </w:p>
    <w:p w:rsidR="00A76198" w:rsidRPr="00140E9A" w:rsidRDefault="00A76198" w:rsidP="00DC5B44">
      <w:r>
        <w:t xml:space="preserve">Service </w:t>
      </w:r>
      <w:r w:rsidR="00DC5B44">
        <w:t xml:space="preserve">Provider’s </w:t>
      </w:r>
      <w:r w:rsidR="00DC5B44" w:rsidRPr="00140E9A">
        <w:t>self</w:t>
      </w:r>
      <w:r w:rsidRPr="00140E9A">
        <w:t xml:space="preserve">-certification </w:t>
      </w:r>
      <w:r w:rsidRPr="00D156BF">
        <w:rPr>
          <w:b/>
        </w:rPr>
        <w:t>should</w:t>
      </w:r>
      <w:r w:rsidRPr="00140E9A">
        <w:t xml:space="preserve"> be reviewed at prescribed intervals or when significant changes occur within </w:t>
      </w:r>
      <w:r>
        <w:t>the</w:t>
      </w:r>
      <w:r w:rsidRPr="00140E9A">
        <w:t xml:space="preserve"> environment. For the purpose of meeting the requirement for self-certification, </w:t>
      </w:r>
      <w:r>
        <w:t>Service Provider</w:t>
      </w:r>
      <w:r w:rsidRPr="00140E9A">
        <w:t xml:space="preserve"> must review self-certification annually and resubmit an updated version every 2 years. Where </w:t>
      </w:r>
      <w:r>
        <w:t>Service Provider</w:t>
      </w:r>
      <w:r w:rsidRPr="00140E9A">
        <w:t xml:space="preserve"> have had a significant change in  environment which affects the controls </w:t>
      </w:r>
      <w:r>
        <w:t xml:space="preserve">that </w:t>
      </w:r>
      <w:r w:rsidRPr="00140E9A">
        <w:t xml:space="preserve">have addressed as part of  self-certification, </w:t>
      </w:r>
      <w:r>
        <w:t xml:space="preserve">Service Providers </w:t>
      </w:r>
      <w:r w:rsidRPr="00140E9A">
        <w:t xml:space="preserve"> are required to submit a revised version to the PEPPOL Authority as soon as possible.</w:t>
      </w:r>
    </w:p>
    <w:p w:rsidR="00A76198" w:rsidRPr="00140E9A" w:rsidRDefault="00A76198" w:rsidP="00DC5B44">
      <w:r w:rsidRPr="00140E9A">
        <w:lastRenderedPageBreak/>
        <w:t xml:space="preserve">The </w:t>
      </w:r>
      <w:r>
        <w:t xml:space="preserve">A-NZ </w:t>
      </w:r>
      <w:r w:rsidRPr="00140E9A">
        <w:t xml:space="preserve">PEPPOL Authority is unable to prescribe which of the above methods </w:t>
      </w:r>
      <w:r>
        <w:t xml:space="preserve">Service Providers </w:t>
      </w:r>
      <w:r w:rsidRPr="00D156BF">
        <w:rPr>
          <w:b/>
        </w:rPr>
        <w:t>should</w:t>
      </w:r>
      <w:r w:rsidRPr="00140E9A">
        <w:t xml:space="preserve"> use. The choice of what standard to self-certify against should be made on the basis of suitability to </w:t>
      </w:r>
      <w:r w:rsidR="00DC5B44">
        <w:t>Service Provider Solution</w:t>
      </w:r>
      <w:r w:rsidRPr="00140E9A">
        <w:t>.</w:t>
      </w:r>
    </w:p>
    <w:p w:rsidR="00A76198" w:rsidRPr="00140E9A" w:rsidRDefault="00A76198" w:rsidP="00DC5B44">
      <w:r>
        <w:t>Service Providers</w:t>
      </w:r>
      <w:r w:rsidRPr="00140E9A">
        <w:t xml:space="preserve"> are able to request to use an alternative security standard if </w:t>
      </w:r>
      <w:r>
        <w:t xml:space="preserve">Service Provider believes </w:t>
      </w:r>
      <w:r w:rsidRPr="00140E9A">
        <w:t>it would be more suitable for your circumstances. These requests will be assessed on a case-by-case basis.</w:t>
      </w:r>
    </w:p>
    <w:p w:rsidR="00A76198" w:rsidRPr="00166007" w:rsidRDefault="00A76198" w:rsidP="00DC5B44">
      <w:pPr>
        <w:pStyle w:val="Caption"/>
      </w:pPr>
      <w:r w:rsidRPr="00166007">
        <w:t xml:space="preserve">Evidence required for Self-Certification </w:t>
      </w:r>
    </w:p>
    <w:p w:rsidR="00A76198" w:rsidRPr="0096153E" w:rsidRDefault="00A76198" w:rsidP="00DC5B44">
      <w:r>
        <w:t>Completed documentation demonstrating your conformance with the requirements (full control suite) of one of the approved security standards including comments on why certain controls may or may not be applicable to Service Provider and how controls that do apply are addressed by Service Provider</w:t>
      </w:r>
    </w:p>
    <w:p w:rsidR="00A76198" w:rsidRPr="00166007" w:rsidRDefault="00A76198" w:rsidP="008F0643">
      <w:pPr>
        <w:pStyle w:val="Heading4"/>
        <w:rPr>
          <w:color w:val="auto"/>
        </w:rPr>
      </w:pPr>
      <w:bookmarkStart w:id="0" w:name="_Toc532887139"/>
      <w:bookmarkStart w:id="1" w:name="_Toc19101549"/>
      <w:r w:rsidRPr="00166007">
        <w:rPr>
          <w:color w:val="auto"/>
        </w:rPr>
        <w:t>Independent Certification</w:t>
      </w:r>
      <w:bookmarkEnd w:id="0"/>
      <w:bookmarkEnd w:id="1"/>
    </w:p>
    <w:p w:rsidR="00A76198" w:rsidRPr="00B74783" w:rsidRDefault="00A76198" w:rsidP="00DC5B44">
      <w:r w:rsidRPr="00B74783">
        <w:t xml:space="preserve">The independent certification requirement seeks to provide the </w:t>
      </w:r>
      <w:r>
        <w:t xml:space="preserve">A-NZ </w:t>
      </w:r>
      <w:r w:rsidRPr="00B74783">
        <w:t xml:space="preserve">PEPPOL Authority with a level of assurance that </w:t>
      </w:r>
      <w:r>
        <w:t>Service Providers</w:t>
      </w:r>
      <w:r w:rsidRPr="00B74783">
        <w:t xml:space="preserve"> have robust security practices in place</w:t>
      </w:r>
      <w:r>
        <w:t>.</w:t>
      </w:r>
    </w:p>
    <w:p w:rsidR="00A76198" w:rsidRPr="00B74783" w:rsidRDefault="00A76198" w:rsidP="00DC5B44">
      <w:r w:rsidRPr="00B74783">
        <w:t xml:space="preserve">This is done by way of attaining </w:t>
      </w:r>
      <w:r w:rsidRPr="00140E9A">
        <w:t>independent certification against</w:t>
      </w:r>
      <w:r w:rsidRPr="00B74783">
        <w:t xml:space="preserve"> one of the below standards:</w:t>
      </w:r>
    </w:p>
    <w:p w:rsidR="00A76198" w:rsidRDefault="00A76198" w:rsidP="00DC5B44">
      <w:pPr>
        <w:pStyle w:val="ListParagraph"/>
        <w:numPr>
          <w:ilvl w:val="0"/>
          <w:numId w:val="27"/>
        </w:numPr>
        <w:spacing w:before="0"/>
      </w:pPr>
      <w:r>
        <w:t xml:space="preserve">ISO/IEC 27001 </w:t>
      </w:r>
    </w:p>
    <w:p w:rsidR="00A76198" w:rsidRDefault="00A76198" w:rsidP="00DC5B44">
      <w:pPr>
        <w:pStyle w:val="ListParagraph"/>
        <w:numPr>
          <w:ilvl w:val="0"/>
          <w:numId w:val="27"/>
        </w:numPr>
        <w:spacing w:before="0"/>
      </w:pPr>
      <w:r>
        <w:t>ASD ISM / NZ ISM</w:t>
      </w:r>
      <w:r>
        <w:tab/>
      </w:r>
    </w:p>
    <w:p w:rsidR="00A76198" w:rsidRDefault="00A76198" w:rsidP="00DC5B44">
      <w:r w:rsidRPr="00B74783">
        <w:t xml:space="preserve">The </w:t>
      </w:r>
      <w:r w:rsidRPr="00140E9A">
        <w:t>scope of independent certification should</w:t>
      </w:r>
      <w:r w:rsidRPr="00B74783">
        <w:t xml:space="preserve"> cover </w:t>
      </w:r>
      <w:r>
        <w:t xml:space="preserve">Service Provider information </w:t>
      </w:r>
      <w:r w:rsidR="003F5558">
        <w:t>s</w:t>
      </w:r>
      <w:r>
        <w:t xml:space="preserve">ecurity practices and below mentioned areas </w:t>
      </w:r>
    </w:p>
    <w:p w:rsidR="00A76198" w:rsidRDefault="00A76198" w:rsidP="00DC5B44">
      <w:pPr>
        <w:pStyle w:val="ListParagraph"/>
        <w:numPr>
          <w:ilvl w:val="0"/>
          <w:numId w:val="37"/>
        </w:numPr>
      </w:pPr>
      <w:r>
        <w:t>Risk Management</w:t>
      </w:r>
    </w:p>
    <w:p w:rsidR="00A76198" w:rsidRDefault="00A76198" w:rsidP="00DC5B44">
      <w:pPr>
        <w:pStyle w:val="ListParagraph"/>
        <w:numPr>
          <w:ilvl w:val="0"/>
          <w:numId w:val="37"/>
        </w:numPr>
      </w:pPr>
      <w:r>
        <w:t>Auditing and Logging</w:t>
      </w:r>
    </w:p>
    <w:p w:rsidR="00A76198" w:rsidRDefault="00A76198" w:rsidP="00DC5B44">
      <w:pPr>
        <w:pStyle w:val="ListParagraph"/>
        <w:numPr>
          <w:ilvl w:val="0"/>
          <w:numId w:val="37"/>
        </w:numPr>
      </w:pPr>
      <w:r>
        <w:t>Monitoring &amp; Reporting</w:t>
      </w:r>
    </w:p>
    <w:p w:rsidR="00A76198" w:rsidRDefault="00A76198" w:rsidP="00DC5B44">
      <w:pPr>
        <w:pStyle w:val="ListParagraph"/>
        <w:numPr>
          <w:ilvl w:val="0"/>
          <w:numId w:val="37"/>
        </w:numPr>
      </w:pPr>
      <w:r>
        <w:t xml:space="preserve">Vendor Management </w:t>
      </w:r>
    </w:p>
    <w:p w:rsidR="008F0643" w:rsidRPr="008F0643" w:rsidRDefault="008F0643" w:rsidP="00DC5B44">
      <w:r w:rsidRPr="008F0643">
        <w:t>Large organisations with diverse service</w:t>
      </w:r>
      <w:r>
        <w:t xml:space="preserve"> </w:t>
      </w:r>
      <w:r w:rsidRPr="008F0643">
        <w:t>/</w:t>
      </w:r>
      <w:r>
        <w:t xml:space="preserve"> </w:t>
      </w:r>
      <w:r w:rsidRPr="008F0643">
        <w:t>product offerings, may limit the scope of the certification to relevant policies, procedures and systems of the business unit responsible for the primary products or services which hold or transact e-Invoicing related information.</w:t>
      </w:r>
    </w:p>
    <w:p w:rsidR="00A76198" w:rsidRDefault="00A76198" w:rsidP="00DC5B44">
      <w:r w:rsidRPr="00B74783">
        <w:t xml:space="preserve">We don’t expect </w:t>
      </w:r>
      <w:r>
        <w:t>Service Provider</w:t>
      </w:r>
      <w:r w:rsidRPr="00B74783">
        <w:t xml:space="preserve"> to be fully compliant with the complete range of controls. The controls that </w:t>
      </w:r>
      <w:r>
        <w:t>Service Providers</w:t>
      </w:r>
      <w:r w:rsidRPr="00B74783">
        <w:t xml:space="preserve"> </w:t>
      </w:r>
      <w:r w:rsidRPr="00D156BF">
        <w:rPr>
          <w:b/>
        </w:rPr>
        <w:t>should</w:t>
      </w:r>
      <w:r w:rsidRPr="00B74783">
        <w:t xml:space="preserve"> be compliant will be dependent on operating model and the architecture of </w:t>
      </w:r>
      <w:r>
        <w:t>the Solution</w:t>
      </w:r>
      <w:r w:rsidRPr="00B74783">
        <w:t xml:space="preserve">. We also acknowledge there may be areas where </w:t>
      </w:r>
      <w:r>
        <w:t>Service Providers</w:t>
      </w:r>
      <w:r w:rsidRPr="00B74783">
        <w:t xml:space="preserve"> are unable to demonstrate compliance with particular controls. In these scenarios </w:t>
      </w:r>
      <w:r>
        <w:t>Service Provider</w:t>
      </w:r>
      <w:r w:rsidRPr="00B74783">
        <w:t xml:space="preserve"> will be required to offer supporting commentary to substantiate the non-compliance or the manner / timeframe in which you expect to address the address the gap.</w:t>
      </w:r>
    </w:p>
    <w:p w:rsidR="00A76198" w:rsidRDefault="00A76198" w:rsidP="00DC5B44">
      <w:r w:rsidRPr="00B74783">
        <w:t xml:space="preserve">Where </w:t>
      </w:r>
      <w:r>
        <w:t>Service Providers</w:t>
      </w:r>
      <w:r w:rsidRPr="00B74783">
        <w:t xml:space="preserve"> deem a control not applicable this should be addressed in the statement of applicability. </w:t>
      </w:r>
    </w:p>
    <w:p w:rsidR="00A76198" w:rsidRPr="00140E9A" w:rsidRDefault="00A76198" w:rsidP="00DC5B44">
      <w:r>
        <w:t>Service Provider</w:t>
      </w:r>
      <w:r w:rsidRPr="00140E9A">
        <w:t xml:space="preserve"> independent certification </w:t>
      </w:r>
      <w:r w:rsidRPr="00D156BF">
        <w:rPr>
          <w:b/>
        </w:rPr>
        <w:t>should</w:t>
      </w:r>
      <w:r w:rsidRPr="00140E9A">
        <w:t xml:space="preserve"> be reviewed at prescribed intervals or when significant changes occur within your environment. For the purpose of meeting the </w:t>
      </w:r>
      <w:r>
        <w:t xml:space="preserve">PEPPOL </w:t>
      </w:r>
      <w:r w:rsidRPr="00140E9A">
        <w:t xml:space="preserve">framework requirement for independent certification, </w:t>
      </w:r>
      <w:r>
        <w:t>Service Provider</w:t>
      </w:r>
      <w:r w:rsidRPr="00140E9A">
        <w:t xml:space="preserve"> must maintain independent certification on going. This evidence needs to be supplied to the PEPPOL Authority. Where you have had a significant change in your environment which affects the controls you have addressed as part of your independent certification, </w:t>
      </w:r>
      <w:r>
        <w:t xml:space="preserve">Service Provider </w:t>
      </w:r>
      <w:r w:rsidRPr="00140E9A">
        <w:t xml:space="preserve"> </w:t>
      </w:r>
      <w:r>
        <w:t xml:space="preserve"> </w:t>
      </w:r>
      <w:r w:rsidRPr="00D156BF">
        <w:rPr>
          <w:b/>
        </w:rPr>
        <w:t>mus</w:t>
      </w:r>
      <w:r>
        <w:t>t</w:t>
      </w:r>
      <w:r w:rsidRPr="00140E9A">
        <w:t xml:space="preserve"> submit a revised version to the PEPPOL Authority as soon as possible.</w:t>
      </w:r>
    </w:p>
    <w:p w:rsidR="00A76198" w:rsidRPr="00140E9A" w:rsidRDefault="00A76198" w:rsidP="00DC5B44">
      <w:r w:rsidRPr="00140E9A">
        <w:t xml:space="preserve">The </w:t>
      </w:r>
      <w:r>
        <w:t xml:space="preserve">A-NZ </w:t>
      </w:r>
      <w:r w:rsidRPr="00140E9A">
        <w:t xml:space="preserve">PEPPOL Authority is unable to prescribe which of the above methods </w:t>
      </w:r>
      <w:r>
        <w:t>Service Providers</w:t>
      </w:r>
      <w:r w:rsidRPr="00140E9A">
        <w:t xml:space="preserve"> </w:t>
      </w:r>
      <w:r w:rsidRPr="00D156BF">
        <w:rPr>
          <w:b/>
        </w:rPr>
        <w:t xml:space="preserve">should </w:t>
      </w:r>
      <w:r w:rsidRPr="00140E9A">
        <w:t xml:space="preserve">use or provide links to them. The choice of standard to complete independent certification should be made on the basis of suitability to </w:t>
      </w:r>
      <w:r>
        <w:t>Service Provider</w:t>
      </w:r>
      <w:r w:rsidRPr="00140E9A">
        <w:t>.</w:t>
      </w:r>
    </w:p>
    <w:p w:rsidR="00A76198" w:rsidRPr="00166007" w:rsidRDefault="00A76198" w:rsidP="000977C1">
      <w:pPr>
        <w:pStyle w:val="Caption"/>
      </w:pPr>
      <w:r w:rsidRPr="00166007">
        <w:lastRenderedPageBreak/>
        <w:t>Evidence required</w:t>
      </w:r>
    </w:p>
    <w:p w:rsidR="00A76198" w:rsidRPr="00140E9A" w:rsidRDefault="00A76198" w:rsidP="00DC5B44">
      <w:pPr>
        <w:pStyle w:val="ListParagraph"/>
        <w:numPr>
          <w:ilvl w:val="0"/>
          <w:numId w:val="34"/>
        </w:numPr>
      </w:pPr>
      <w:r w:rsidRPr="00140E9A">
        <w:t>Completed documentation demonstrating your conformance with the requirements (full control suite) of one of the approved security standards outlined above.</w:t>
      </w:r>
    </w:p>
    <w:p w:rsidR="00A76198" w:rsidRPr="00140E9A" w:rsidRDefault="00A76198" w:rsidP="00DC5B44">
      <w:pPr>
        <w:pStyle w:val="ListParagraph"/>
        <w:numPr>
          <w:ilvl w:val="0"/>
          <w:numId w:val="34"/>
        </w:numPr>
      </w:pPr>
      <w:r w:rsidRPr="00140E9A">
        <w:t>Statement of Applicability</w:t>
      </w:r>
    </w:p>
    <w:p w:rsidR="00A76198" w:rsidRPr="00166007" w:rsidRDefault="00A76198" w:rsidP="00DC5B44">
      <w:pPr>
        <w:pStyle w:val="ListParagraph"/>
        <w:numPr>
          <w:ilvl w:val="0"/>
          <w:numId w:val="34"/>
        </w:numPr>
        <w:rPr>
          <w:color w:val="auto"/>
        </w:rPr>
      </w:pPr>
      <w:r w:rsidRPr="00166007">
        <w:rPr>
          <w:color w:val="auto"/>
        </w:rPr>
        <w:t>Letter of Compliance</w:t>
      </w:r>
    </w:p>
    <w:p w:rsidR="00A76198" w:rsidRPr="00166007" w:rsidRDefault="00A76198" w:rsidP="00DC5B44">
      <w:pPr>
        <w:pStyle w:val="ListParagraph"/>
        <w:numPr>
          <w:ilvl w:val="0"/>
          <w:numId w:val="34"/>
        </w:numPr>
        <w:rPr>
          <w:color w:val="auto"/>
        </w:rPr>
      </w:pPr>
      <w:r w:rsidRPr="00166007">
        <w:rPr>
          <w:color w:val="auto"/>
        </w:rPr>
        <w:t>Copy of certificate upon completion of independent certification</w:t>
      </w:r>
    </w:p>
    <w:p w:rsidR="00A76198" w:rsidRPr="00166007" w:rsidRDefault="00A76198" w:rsidP="00DC5B44">
      <w:pPr>
        <w:pStyle w:val="Heading4"/>
        <w:rPr>
          <w:color w:val="auto"/>
        </w:rPr>
      </w:pPr>
      <w:r w:rsidRPr="00166007">
        <w:rPr>
          <w:color w:val="auto"/>
        </w:rPr>
        <w:t>Encryption at rest</w:t>
      </w:r>
    </w:p>
    <w:p w:rsidR="00A76198" w:rsidRDefault="00A76198" w:rsidP="00DC5B44">
      <w:r w:rsidRPr="00166007">
        <w:rPr>
          <w:color w:val="auto"/>
        </w:rPr>
        <w:t xml:space="preserve">This requirement seeks to protect </w:t>
      </w:r>
      <w:r w:rsidR="003F5558">
        <w:rPr>
          <w:color w:val="auto"/>
        </w:rPr>
        <w:t>e-Invoicing related</w:t>
      </w:r>
      <w:r w:rsidRPr="00166007">
        <w:rPr>
          <w:color w:val="auto"/>
        </w:rPr>
        <w:t xml:space="preserve"> information </w:t>
      </w:r>
      <w:r>
        <w:t>from unauthorised access.</w:t>
      </w:r>
    </w:p>
    <w:p w:rsidR="00A76198" w:rsidRPr="001E6958" w:rsidRDefault="00A76198" w:rsidP="00DC5B44">
      <w:r>
        <w:t xml:space="preserve">You can chose to apply encryption at the disk, container, application or database level. Encryption at rest should follow the relevant cryptographic controls outlined in the </w:t>
      </w:r>
      <w:hyperlink r:id="rId18" w:history="1">
        <w:r w:rsidRPr="001E6958">
          <w:rPr>
            <w:rStyle w:val="Hyperlink"/>
          </w:rPr>
          <w:t>ASD ISM</w:t>
        </w:r>
      </w:hyperlink>
      <w:r>
        <w:t xml:space="preserve"> or </w:t>
      </w:r>
      <w:hyperlink r:id="rId19" w:history="1">
        <w:r w:rsidRPr="001E6958">
          <w:rPr>
            <w:rStyle w:val="Hyperlink"/>
          </w:rPr>
          <w:t>NZ ISM</w:t>
        </w:r>
      </w:hyperlink>
      <w:r>
        <w:t>.</w:t>
      </w:r>
    </w:p>
    <w:p w:rsidR="00A76198" w:rsidRPr="00166007" w:rsidRDefault="00A76198" w:rsidP="000977C1">
      <w:pPr>
        <w:pStyle w:val="Caption"/>
      </w:pPr>
      <w:r w:rsidRPr="00166007">
        <w:t>Evidence required</w:t>
      </w:r>
    </w:p>
    <w:p w:rsidR="00A76198" w:rsidRDefault="00A76198" w:rsidP="00DC5B44">
      <w:pPr>
        <w:pStyle w:val="ListParagraph"/>
        <w:numPr>
          <w:ilvl w:val="0"/>
          <w:numId w:val="32"/>
        </w:numPr>
      </w:pPr>
      <w:r>
        <w:t>Screenshot showing encryption enabled at the database or disk level with the type of encryption at rest being used</w:t>
      </w:r>
    </w:p>
    <w:p w:rsidR="00A76198" w:rsidRDefault="00A76198" w:rsidP="00DC5B44">
      <w:pPr>
        <w:pStyle w:val="ListParagraph"/>
        <w:numPr>
          <w:ilvl w:val="0"/>
          <w:numId w:val="32"/>
        </w:numPr>
      </w:pPr>
      <w:r>
        <w:t>When using ‘out of the box’ encryption a licensing agreement or screenshot showing ‘out of the box’ encryption at rest enabled</w:t>
      </w:r>
    </w:p>
    <w:p w:rsidR="00A76198" w:rsidRDefault="00A76198" w:rsidP="00DC5B44">
      <w:pPr>
        <w:pStyle w:val="ListParagraph"/>
        <w:numPr>
          <w:ilvl w:val="0"/>
          <w:numId w:val="32"/>
        </w:numPr>
      </w:pPr>
      <w:r>
        <w:t>If using the infrastructure of a cloud provider to encrypt data at rest, an invoice or contract agreement could be provided or screenshot from within the cloud environment showing encryption enabled.</w:t>
      </w:r>
    </w:p>
    <w:p w:rsidR="00A76198" w:rsidRDefault="00A76198" w:rsidP="00DC5B44"/>
    <w:p w:rsidR="00A76198" w:rsidRDefault="00A76198" w:rsidP="00DC5B44">
      <w:r>
        <w:t xml:space="preserve">Where encryption at rest is not viable, evidence must be provided of a full range of data protection controls. </w:t>
      </w:r>
    </w:p>
    <w:p w:rsidR="00A76198" w:rsidRDefault="00A76198" w:rsidP="00DC5B44">
      <w:r>
        <w:t xml:space="preserve">These </w:t>
      </w:r>
      <w:r w:rsidRPr="00D156BF">
        <w:rPr>
          <w:b/>
        </w:rPr>
        <w:t>must</w:t>
      </w:r>
      <w:r>
        <w:t xml:space="preserve"> include:</w:t>
      </w:r>
    </w:p>
    <w:p w:rsidR="00A76198" w:rsidRDefault="00A76198" w:rsidP="00DC5B44">
      <w:pPr>
        <w:pStyle w:val="ListParagraph"/>
        <w:numPr>
          <w:ilvl w:val="0"/>
          <w:numId w:val="33"/>
        </w:numPr>
      </w:pPr>
      <w:r>
        <w:t>User/system (service account) access control (including authentication and authorisation) and active logging and monitoring protocols</w:t>
      </w:r>
    </w:p>
    <w:p w:rsidR="00A76198" w:rsidRDefault="00A76198" w:rsidP="00DC5B44">
      <w:pPr>
        <w:pStyle w:val="ListParagraph"/>
        <w:numPr>
          <w:ilvl w:val="0"/>
          <w:numId w:val="33"/>
        </w:numPr>
      </w:pPr>
      <w:r>
        <w:t>Intrusion Detection System/Intrusion Prevention System</w:t>
      </w:r>
    </w:p>
    <w:p w:rsidR="00A76198" w:rsidRDefault="00A76198" w:rsidP="00DC5B44">
      <w:pPr>
        <w:pStyle w:val="ListParagraph"/>
        <w:numPr>
          <w:ilvl w:val="0"/>
          <w:numId w:val="33"/>
        </w:numPr>
      </w:pPr>
      <w:r>
        <w:t>Internal employee screening or vetting</w:t>
      </w:r>
    </w:p>
    <w:p w:rsidR="00A76198" w:rsidRPr="00166007" w:rsidRDefault="00A76198" w:rsidP="00DC5B44">
      <w:pPr>
        <w:pStyle w:val="ListParagraph"/>
        <w:numPr>
          <w:ilvl w:val="0"/>
          <w:numId w:val="33"/>
        </w:numPr>
        <w:rPr>
          <w:color w:val="auto"/>
        </w:rPr>
      </w:pPr>
      <w:r>
        <w:t>Isolation of/and handling procedures for sensitive data (</w:t>
      </w:r>
      <w:proofErr w:type="spellStart"/>
      <w:r w:rsidR="003F5558">
        <w:t>ie</w:t>
      </w:r>
      <w:proofErr w:type="spellEnd"/>
      <w:r w:rsidR="003F5558">
        <w:t xml:space="preserve"> </w:t>
      </w:r>
      <w:r>
        <w:t>invoice data)</w:t>
      </w:r>
      <w:r w:rsidR="003F5558">
        <w:t xml:space="preserve"> </w:t>
      </w:r>
      <w:r>
        <w:t xml:space="preserve">including </w:t>
      </w:r>
      <w:r w:rsidRPr="00166007">
        <w:rPr>
          <w:color w:val="auto"/>
        </w:rPr>
        <w:t>restrictions such as ‘need to know’ principles.</w:t>
      </w:r>
    </w:p>
    <w:p w:rsidR="00A76198" w:rsidRPr="00166007" w:rsidRDefault="00A76198" w:rsidP="00DC5B44">
      <w:pPr>
        <w:pStyle w:val="Heading4"/>
        <w:rPr>
          <w:color w:val="auto"/>
        </w:rPr>
      </w:pPr>
      <w:r w:rsidRPr="00166007">
        <w:rPr>
          <w:color w:val="auto"/>
        </w:rPr>
        <w:t>Security monitoring practices</w:t>
      </w:r>
    </w:p>
    <w:p w:rsidR="00A76198" w:rsidRDefault="00A76198" w:rsidP="00DC5B44">
      <w:r>
        <w:t xml:space="preserve">This requirement seeks to detect and respond to cyber-attacks, channel misuse and business threats. Monitoring is a joint responsibility between the A-NZ </w:t>
      </w:r>
      <w:r w:rsidRPr="00B74783">
        <w:t xml:space="preserve">PEPPOL Authority </w:t>
      </w:r>
      <w:r>
        <w:t xml:space="preserve">and Service Provider. Service Providers need to be able to demonstrate that </w:t>
      </w:r>
      <w:r w:rsidR="00B87B3B">
        <w:t>they</w:t>
      </w:r>
      <w:r>
        <w:t xml:space="preserve"> scan </w:t>
      </w:r>
      <w:r w:rsidR="00B87B3B">
        <w:t xml:space="preserve">their </w:t>
      </w:r>
      <w:r>
        <w:t xml:space="preserve">environment for threats and take appropriate action when </w:t>
      </w:r>
      <w:r w:rsidR="00B87B3B">
        <w:t xml:space="preserve">they </w:t>
      </w:r>
      <w:r>
        <w:t>detect anomalies.</w:t>
      </w:r>
    </w:p>
    <w:p w:rsidR="00A76198" w:rsidRPr="00166007" w:rsidRDefault="00A76198" w:rsidP="000977C1">
      <w:pPr>
        <w:pStyle w:val="Caption"/>
      </w:pPr>
      <w:r w:rsidRPr="00166007">
        <w:t>Evidence required</w:t>
      </w:r>
    </w:p>
    <w:p w:rsidR="00A76198" w:rsidRDefault="00A76198" w:rsidP="00DC5B44">
      <w:r>
        <w:t>Network / infrastructure layer - relevant combinations of:</w:t>
      </w:r>
    </w:p>
    <w:p w:rsidR="00A76198" w:rsidRDefault="00A76198" w:rsidP="00DC5B44">
      <w:pPr>
        <w:pStyle w:val="ListParagraph"/>
        <w:numPr>
          <w:ilvl w:val="0"/>
          <w:numId w:val="28"/>
        </w:numPr>
      </w:pPr>
      <w:proofErr w:type="gramStart"/>
      <w:r>
        <w:t>screen</w:t>
      </w:r>
      <w:proofErr w:type="gramEnd"/>
      <w:r>
        <w:t xml:space="preserve"> shots of an intrusion detection system or firewall that generates alerts . If a service provider uses a third party a screenshot from within the solution showing the monitoring capabilities, dashboard etc.</w:t>
      </w:r>
    </w:p>
    <w:p w:rsidR="00A76198" w:rsidRDefault="00A76198" w:rsidP="00DC5B44">
      <w:pPr>
        <w:pStyle w:val="ListParagraph"/>
        <w:numPr>
          <w:ilvl w:val="0"/>
          <w:numId w:val="28"/>
        </w:numPr>
      </w:pPr>
      <w:r>
        <w:t>photos of your Security information and event management dashboard</w:t>
      </w:r>
    </w:p>
    <w:p w:rsidR="00A76198" w:rsidRDefault="00A76198" w:rsidP="00DC5B44">
      <w:pPr>
        <w:pStyle w:val="ListParagraph"/>
        <w:numPr>
          <w:ilvl w:val="0"/>
          <w:numId w:val="28"/>
        </w:numPr>
      </w:pPr>
      <w:r>
        <w:lastRenderedPageBreak/>
        <w:t xml:space="preserve">If leveraging off a cloud provider you can provide either an invoice or screenshot from within the environment showing the type of monitoring captured. </w:t>
      </w:r>
    </w:p>
    <w:p w:rsidR="00A76198" w:rsidRDefault="00A76198" w:rsidP="00DC5B44"/>
    <w:p w:rsidR="00A76198" w:rsidRDefault="00A76198" w:rsidP="00DC5B44">
      <w:r>
        <w:t>Application layer – relevant combinations of:</w:t>
      </w:r>
    </w:p>
    <w:p w:rsidR="00A76198" w:rsidRDefault="00A76198" w:rsidP="00DC5B44">
      <w:pPr>
        <w:pStyle w:val="ListParagraph"/>
        <w:numPr>
          <w:ilvl w:val="0"/>
          <w:numId w:val="29"/>
        </w:numPr>
      </w:pPr>
      <w:r>
        <w:t>screen shots of the function page in the application, and</w:t>
      </w:r>
    </w:p>
    <w:p w:rsidR="00A76198" w:rsidRDefault="00DC5B44" w:rsidP="00DC5B44">
      <w:pPr>
        <w:pStyle w:val="ListParagraph"/>
        <w:numPr>
          <w:ilvl w:val="0"/>
          <w:numId w:val="29"/>
        </w:numPr>
      </w:pPr>
      <w:proofErr w:type="gramStart"/>
      <w:r>
        <w:t>reports</w:t>
      </w:r>
      <w:proofErr w:type="gramEnd"/>
      <w:r>
        <w:t xml:space="preserve"> </w:t>
      </w:r>
      <w:r w:rsidR="00A76198">
        <w:t>from the backend system.</w:t>
      </w:r>
    </w:p>
    <w:p w:rsidR="00A76198" w:rsidRDefault="00A76198" w:rsidP="00DC5B44">
      <w:pPr>
        <w:pStyle w:val="ListParagraph"/>
      </w:pPr>
    </w:p>
    <w:p w:rsidR="00A76198" w:rsidRDefault="00A76198" w:rsidP="00DC5B44">
      <w:r>
        <w:t>Transaction (data) layer – relevant combinations of:</w:t>
      </w:r>
    </w:p>
    <w:p w:rsidR="00A76198" w:rsidRDefault="00A76198" w:rsidP="00DC5B44">
      <w:pPr>
        <w:pStyle w:val="ListParagraph"/>
        <w:numPr>
          <w:ilvl w:val="0"/>
          <w:numId w:val="30"/>
        </w:numPr>
      </w:pPr>
      <w:r>
        <w:t>reports from the backend system</w:t>
      </w:r>
    </w:p>
    <w:p w:rsidR="00A76198" w:rsidRDefault="00A76198" w:rsidP="00DC5B44">
      <w:pPr>
        <w:pStyle w:val="ListParagraph"/>
        <w:numPr>
          <w:ilvl w:val="0"/>
          <w:numId w:val="30"/>
        </w:numPr>
      </w:pPr>
      <w:r>
        <w:t>Screenshots of an anomaly detection system.</w:t>
      </w:r>
    </w:p>
    <w:p w:rsidR="00A76198" w:rsidRPr="00A76198" w:rsidRDefault="00A76198" w:rsidP="00DC5B44">
      <w:pPr>
        <w:pStyle w:val="Heading4"/>
        <w:rPr>
          <w:color w:val="auto"/>
        </w:rPr>
      </w:pPr>
      <w:r w:rsidRPr="00A76198">
        <w:rPr>
          <w:color w:val="auto"/>
        </w:rPr>
        <w:t>Encryption in transit for all e-Invoicing information (business documents) sent and received by an Access Point</w:t>
      </w:r>
    </w:p>
    <w:p w:rsidR="00A76198" w:rsidRDefault="00A76198" w:rsidP="00DC5B44">
      <w:r w:rsidRPr="00A76198">
        <w:rPr>
          <w:color w:val="auto"/>
        </w:rPr>
        <w:t>This requirement seeks to protect the confidentiality and integrity of information in transit</w:t>
      </w:r>
      <w:r>
        <w:t>.</w:t>
      </w:r>
    </w:p>
    <w:p w:rsidR="00B87B3B" w:rsidRDefault="00B87B3B" w:rsidP="00B87B3B">
      <w:pPr>
        <w:rPr>
          <w:szCs w:val="22"/>
        </w:rPr>
      </w:pPr>
      <w:r>
        <w:rPr>
          <w:szCs w:val="22"/>
        </w:rPr>
        <w:t xml:space="preserve">You will need to provide evidence that you use an approved cryptographic protocol (for example, TLS 1.2) and algorithm to encrypt data in transit as per </w:t>
      </w:r>
      <w:hyperlink r:id="rId20" w:history="1">
        <w:r w:rsidRPr="00267EE7">
          <w:rPr>
            <w:rStyle w:val="Hyperlink"/>
            <w:szCs w:val="22"/>
          </w:rPr>
          <w:t>AUS</w:t>
        </w:r>
      </w:hyperlink>
      <w:r>
        <w:rPr>
          <w:szCs w:val="22"/>
        </w:rPr>
        <w:t xml:space="preserve"> or </w:t>
      </w:r>
      <w:hyperlink r:id="rId21" w:history="1">
        <w:r w:rsidRPr="00267EE7">
          <w:rPr>
            <w:rStyle w:val="Hyperlink"/>
            <w:szCs w:val="22"/>
          </w:rPr>
          <w:t>NZ</w:t>
        </w:r>
      </w:hyperlink>
      <w:r>
        <w:rPr>
          <w:szCs w:val="22"/>
        </w:rPr>
        <w:t xml:space="preserve"> Information security Manual.</w:t>
      </w:r>
    </w:p>
    <w:p w:rsidR="00A76198" w:rsidRPr="00201A4D" w:rsidRDefault="00A76198" w:rsidP="00DC5B44">
      <w:pPr>
        <w:rPr>
          <w:b/>
        </w:rPr>
      </w:pPr>
      <w:r w:rsidRPr="00201A4D">
        <w:rPr>
          <w:b/>
        </w:rPr>
        <w:t>Evidence required</w:t>
      </w:r>
    </w:p>
    <w:p w:rsidR="00A76198" w:rsidRDefault="00A76198" w:rsidP="00DC5B44">
      <w:r>
        <w:t xml:space="preserve">Screenshot of one </w:t>
      </w:r>
      <w:r w:rsidR="003F5558">
        <w:t xml:space="preserve">or more </w:t>
      </w:r>
      <w:r>
        <w:t>of the below:</w:t>
      </w:r>
    </w:p>
    <w:p w:rsidR="00A76198" w:rsidRDefault="00A76198" w:rsidP="00DC5B44">
      <w:pPr>
        <w:pStyle w:val="ListParagraph"/>
        <w:numPr>
          <w:ilvl w:val="0"/>
          <w:numId w:val="31"/>
        </w:numPr>
      </w:pPr>
      <w:r>
        <w:t>SSL certificates</w:t>
      </w:r>
    </w:p>
    <w:p w:rsidR="00A76198" w:rsidRDefault="00A76198" w:rsidP="00DC5B44">
      <w:pPr>
        <w:pStyle w:val="ListParagraph"/>
        <w:numPr>
          <w:ilvl w:val="0"/>
          <w:numId w:val="31"/>
        </w:numPr>
      </w:pPr>
      <w:r>
        <w:t>Showing HTTPS protocol being enforced</w:t>
      </w:r>
    </w:p>
    <w:p w:rsidR="00A76198" w:rsidRDefault="00A76198" w:rsidP="00DC5B44">
      <w:pPr>
        <w:pStyle w:val="ListParagraph"/>
        <w:numPr>
          <w:ilvl w:val="0"/>
          <w:numId w:val="31"/>
        </w:numPr>
      </w:pPr>
      <w:r>
        <w:t>Call to API</w:t>
      </w:r>
    </w:p>
    <w:p w:rsidR="00A76198" w:rsidRPr="00A76198" w:rsidRDefault="00A76198" w:rsidP="00DC5B44">
      <w:pPr>
        <w:pStyle w:val="ListParagraph"/>
        <w:numPr>
          <w:ilvl w:val="0"/>
          <w:numId w:val="31"/>
        </w:numPr>
        <w:rPr>
          <w:color w:val="auto"/>
        </w:rPr>
      </w:pPr>
      <w:r w:rsidRPr="00A76198">
        <w:rPr>
          <w:color w:val="auto"/>
        </w:rPr>
        <w:t>TLS handshake protocol being enforced.</w:t>
      </w:r>
    </w:p>
    <w:p w:rsidR="00A76198" w:rsidRPr="00A76198" w:rsidRDefault="00A76198" w:rsidP="00DC5B44">
      <w:pPr>
        <w:pStyle w:val="Heading4"/>
        <w:rPr>
          <w:color w:val="auto"/>
        </w:rPr>
      </w:pPr>
      <w:r w:rsidRPr="00A76198">
        <w:rPr>
          <w:color w:val="auto"/>
        </w:rPr>
        <w:t>Multifactor authentication</w:t>
      </w:r>
    </w:p>
    <w:p w:rsidR="00A76198" w:rsidRPr="00A76198" w:rsidRDefault="00A76198" w:rsidP="00DC5B44">
      <w:pPr>
        <w:rPr>
          <w:color w:val="auto"/>
        </w:rPr>
      </w:pPr>
      <w:r w:rsidRPr="00A76198">
        <w:rPr>
          <w:color w:val="auto"/>
        </w:rPr>
        <w:t>This requirement seeks to minimise the opportunity for unauthorised users to client related information.</w:t>
      </w:r>
    </w:p>
    <w:p w:rsidR="00A76198" w:rsidRPr="00A76198" w:rsidRDefault="00A76198" w:rsidP="00DC5B44">
      <w:pPr>
        <w:rPr>
          <w:color w:val="auto"/>
        </w:rPr>
      </w:pPr>
      <w:r w:rsidRPr="00A76198">
        <w:rPr>
          <w:color w:val="auto"/>
        </w:rPr>
        <w:t xml:space="preserve">Multi-factor authentication (MFA) is defined as a method of authentication that uses two or more authentication factors from different categories, to authenticate a single claimant to a single authentication verifier. </w:t>
      </w:r>
    </w:p>
    <w:p w:rsidR="00A76198" w:rsidRPr="00A76198" w:rsidRDefault="00A76198" w:rsidP="00DC5B44">
      <w:pPr>
        <w:rPr>
          <w:color w:val="auto"/>
        </w:rPr>
      </w:pPr>
      <w:r w:rsidRPr="00A76198">
        <w:rPr>
          <w:color w:val="auto"/>
        </w:rPr>
        <w:t>The authentication factors can be categorised as:</w:t>
      </w:r>
    </w:p>
    <w:p w:rsidR="00A76198" w:rsidRDefault="00A76198" w:rsidP="00DC5B44">
      <w:pPr>
        <w:pStyle w:val="ListParagraph"/>
        <w:numPr>
          <w:ilvl w:val="0"/>
          <w:numId w:val="35"/>
        </w:numPr>
      </w:pPr>
      <w:r w:rsidRPr="00A76198">
        <w:rPr>
          <w:color w:val="auto"/>
        </w:rPr>
        <w:t xml:space="preserve">Something you know, such as a password or a response </w:t>
      </w:r>
      <w:r>
        <w:t>to a security question</w:t>
      </w:r>
    </w:p>
    <w:p w:rsidR="00A76198" w:rsidRDefault="00A76198" w:rsidP="00DC5B44">
      <w:pPr>
        <w:pStyle w:val="ListParagraph"/>
        <w:numPr>
          <w:ilvl w:val="0"/>
          <w:numId w:val="35"/>
        </w:numPr>
      </w:pPr>
      <w:r>
        <w:t>Something you have, such as a one-time pin, SMS message, smartcard, or software certificate</w:t>
      </w:r>
    </w:p>
    <w:p w:rsidR="00A76198" w:rsidRDefault="00A76198" w:rsidP="00DC5B44">
      <w:pPr>
        <w:pStyle w:val="ListParagraph"/>
        <w:numPr>
          <w:ilvl w:val="0"/>
          <w:numId w:val="35"/>
        </w:numPr>
      </w:pPr>
      <w:r>
        <w:t xml:space="preserve">Something you are, such as biometric data, like a fingerprint or user’s voice </w:t>
      </w:r>
    </w:p>
    <w:p w:rsidR="00A76198" w:rsidRDefault="00A76198" w:rsidP="00DC5B44"/>
    <w:p w:rsidR="00A76198" w:rsidRPr="00F64224" w:rsidRDefault="00A76198" w:rsidP="00DC5B44">
      <w:r w:rsidRPr="00F64224">
        <w:t xml:space="preserve">Further information on each method can be found at </w:t>
      </w:r>
      <w:hyperlink r:id="rId22" w:history="1">
        <w:r w:rsidRPr="00F64224">
          <w:rPr>
            <w:rStyle w:val="Hyperlink"/>
          </w:rPr>
          <w:t>ACSC Protect: Multi-factor authentication (PDF)</w:t>
        </w:r>
      </w:hyperlink>
    </w:p>
    <w:p w:rsidR="00A76198" w:rsidRPr="00F64224" w:rsidRDefault="00A76198" w:rsidP="00DC5B44">
      <w:r w:rsidRPr="00F64224">
        <w:t xml:space="preserve">For </w:t>
      </w:r>
      <w:r>
        <w:t>access point</w:t>
      </w:r>
      <w:r w:rsidRPr="00F64224">
        <w:t xml:space="preserve"> controlled products or services the following circumstance is an example of when MFA is </w:t>
      </w:r>
      <w:r w:rsidRPr="00F64224">
        <w:rPr>
          <w:b/>
          <w:i/>
        </w:rPr>
        <w:t>not mandatory</w:t>
      </w:r>
      <w:r w:rsidRPr="00F64224">
        <w:t xml:space="preserve"> but is highly recommended (note: this is not an exhaustive list).</w:t>
      </w:r>
    </w:p>
    <w:p w:rsidR="00EA1613" w:rsidRDefault="00EA1613" w:rsidP="00DC5B44"/>
    <w:p w:rsidR="00EA1613" w:rsidRDefault="00EA1613" w:rsidP="00DC5B44"/>
    <w:p w:rsidR="00A76198" w:rsidRDefault="00A76198" w:rsidP="00DC5B44">
      <w:r>
        <w:lastRenderedPageBreak/>
        <w:t>Note</w:t>
      </w:r>
    </w:p>
    <w:p w:rsidR="00A76198" w:rsidRDefault="00A76198" w:rsidP="00DC5B44">
      <w:pPr>
        <w:pStyle w:val="ListParagraph"/>
        <w:numPr>
          <w:ilvl w:val="0"/>
          <w:numId w:val="36"/>
        </w:numPr>
      </w:pPr>
      <w:r>
        <w:t>AP employees are those staff (including contractors) working for or on behalf of the AP.</w:t>
      </w:r>
    </w:p>
    <w:p w:rsidR="00A76198" w:rsidRDefault="00A76198" w:rsidP="00DC5B44">
      <w:pPr>
        <w:pStyle w:val="ListParagraph"/>
        <w:numPr>
          <w:ilvl w:val="0"/>
          <w:numId w:val="36"/>
        </w:numPr>
      </w:pPr>
      <w:r>
        <w:t xml:space="preserve">Tokens or temporary credential should be isolated to an individual device and expire once used. Any token or temporary credential should expire within 24 hours. </w:t>
      </w:r>
    </w:p>
    <w:p w:rsidR="00A76198" w:rsidRDefault="00A76198" w:rsidP="00DC5B44">
      <w:pPr>
        <w:pStyle w:val="ListParagraph"/>
        <w:numPr>
          <w:ilvl w:val="0"/>
          <w:numId w:val="36"/>
        </w:numPr>
      </w:pPr>
      <w:r>
        <w:t xml:space="preserve">APs that have not implemented MFA, should consider implementing good passphrase practices including single factor authentication controls, account lockouts, resetting passphrases, session and screen locking as described in the </w:t>
      </w:r>
      <w:hyperlink r:id="rId23" w:history="1">
        <w:r w:rsidRPr="001E6958">
          <w:rPr>
            <w:rStyle w:val="Hyperlink"/>
          </w:rPr>
          <w:t>ASD ISM</w:t>
        </w:r>
      </w:hyperlink>
      <w:r>
        <w:t xml:space="preserve"> or </w:t>
      </w:r>
      <w:hyperlink r:id="rId24" w:history="1">
        <w:r w:rsidRPr="001E6958">
          <w:rPr>
            <w:rStyle w:val="Hyperlink"/>
          </w:rPr>
          <w:t>NZ ISM</w:t>
        </w:r>
      </w:hyperlink>
      <w:r>
        <w:t>.</w:t>
      </w:r>
    </w:p>
    <w:p w:rsidR="00A76198" w:rsidRDefault="00A76198" w:rsidP="00DC5B44">
      <w:pPr>
        <w:pStyle w:val="ListParagraph"/>
        <w:numPr>
          <w:ilvl w:val="0"/>
          <w:numId w:val="36"/>
        </w:numPr>
      </w:pPr>
      <w:r>
        <w:t xml:space="preserve">A privileged user is defined as a user who can alter or circumvent a system’s security measures – this may include the capability to modify system configurations, account privileges, audit logs, data files or applications. </w:t>
      </w:r>
    </w:p>
    <w:p w:rsidR="00A76198" w:rsidRDefault="00A76198" w:rsidP="00DC5B44">
      <w:pPr>
        <w:rPr>
          <w:b/>
        </w:rPr>
      </w:pPr>
    </w:p>
    <w:p w:rsidR="00A76198" w:rsidRPr="00201A4D" w:rsidRDefault="00A76198" w:rsidP="00DC5B44">
      <w:pPr>
        <w:rPr>
          <w:b/>
        </w:rPr>
      </w:pPr>
      <w:r w:rsidRPr="00201A4D">
        <w:rPr>
          <w:b/>
        </w:rPr>
        <w:t>Evidence required</w:t>
      </w:r>
    </w:p>
    <w:p w:rsidR="00A76198" w:rsidRDefault="00A76198" w:rsidP="00DC5B44">
      <w:r>
        <w:t>User manual, user description or instruction paired with screen shots of the user interface</w:t>
      </w:r>
      <w:r w:rsidR="003F5558">
        <w:t>.</w:t>
      </w:r>
    </w:p>
    <w:p w:rsidR="003F5558" w:rsidRDefault="003F5558" w:rsidP="00DC5B44"/>
    <w:p w:rsidR="00213323" w:rsidRDefault="00213323">
      <w:pPr>
        <w:spacing w:before="0" w:line="240" w:lineRule="auto"/>
        <w:rPr>
          <w:rFonts w:ascii="Arial" w:eastAsiaTheme="majorEastAsia" w:hAnsi="Arial" w:cstheme="majorBidi"/>
          <w:b/>
          <w:bCs/>
          <w:iCs/>
          <w:sz w:val="26"/>
        </w:rPr>
      </w:pPr>
      <w:r>
        <w:rPr>
          <w:rFonts w:ascii="Arial" w:eastAsiaTheme="majorEastAsia" w:hAnsi="Arial" w:cstheme="majorBidi"/>
          <w:b/>
          <w:bCs/>
          <w:iCs/>
          <w:sz w:val="26"/>
        </w:rPr>
        <w:br w:type="page"/>
      </w:r>
    </w:p>
    <w:p w:rsidR="00C6511F" w:rsidRPr="00701E1F" w:rsidRDefault="00701E1F" w:rsidP="00701E1F">
      <w:pPr>
        <w:rPr>
          <w:rFonts w:ascii="Arial" w:eastAsiaTheme="majorEastAsia" w:hAnsi="Arial" w:cstheme="majorBidi"/>
          <w:b/>
          <w:bCs/>
          <w:iCs/>
          <w:sz w:val="26"/>
        </w:rPr>
      </w:pPr>
      <w:bookmarkStart w:id="2" w:name="_GoBack"/>
      <w:bookmarkEnd w:id="2"/>
      <w:r w:rsidRPr="00701E1F">
        <w:rPr>
          <w:rFonts w:ascii="Arial" w:eastAsiaTheme="majorEastAsia" w:hAnsi="Arial" w:cstheme="majorBidi"/>
          <w:b/>
          <w:bCs/>
          <w:iCs/>
          <w:sz w:val="26"/>
        </w:rPr>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552"/>
        <w:gridCol w:w="5242"/>
      </w:tblGrid>
      <w:tr w:rsidR="00701E1F" w:rsidRPr="00A862A8" w:rsidTr="00213323">
        <w:tc>
          <w:tcPr>
            <w:tcW w:w="1281" w:type="dxa"/>
            <w:tcBorders>
              <w:top w:val="single" w:sz="4" w:space="0" w:color="auto"/>
              <w:left w:val="single" w:sz="4" w:space="0" w:color="auto"/>
              <w:bottom w:val="single" w:sz="4" w:space="0" w:color="auto"/>
            </w:tcBorders>
          </w:tcPr>
          <w:p w:rsidR="00701E1F" w:rsidRPr="0025016C" w:rsidRDefault="00701E1F" w:rsidP="00D22D2B">
            <w:pPr>
              <w:pStyle w:val="Tabletext"/>
              <w:rPr>
                <w:b/>
              </w:rPr>
            </w:pPr>
            <w:r>
              <w:rPr>
                <w:b/>
              </w:rPr>
              <w:t>Version</w:t>
            </w:r>
          </w:p>
        </w:tc>
        <w:tc>
          <w:tcPr>
            <w:tcW w:w="2552" w:type="dxa"/>
          </w:tcPr>
          <w:p w:rsidR="00701E1F" w:rsidRPr="0025016C" w:rsidRDefault="00701E1F" w:rsidP="00D22D2B">
            <w:pPr>
              <w:pStyle w:val="Tabletext"/>
              <w:rPr>
                <w:b/>
              </w:rPr>
            </w:pPr>
            <w:r>
              <w:rPr>
                <w:b/>
              </w:rPr>
              <w:t>Date</w:t>
            </w:r>
          </w:p>
        </w:tc>
        <w:tc>
          <w:tcPr>
            <w:tcW w:w="5242" w:type="dxa"/>
            <w:tcBorders>
              <w:top w:val="single" w:sz="4" w:space="0" w:color="auto"/>
              <w:bottom w:val="single" w:sz="4" w:space="0" w:color="auto"/>
            </w:tcBorders>
          </w:tcPr>
          <w:p w:rsidR="00701E1F" w:rsidRPr="0025016C" w:rsidRDefault="00701E1F" w:rsidP="00D22D2B">
            <w:pPr>
              <w:pStyle w:val="Tabletext"/>
              <w:rPr>
                <w:b/>
              </w:rPr>
            </w:pPr>
            <w:r>
              <w:rPr>
                <w:b/>
              </w:rPr>
              <w:t>Change</w:t>
            </w:r>
          </w:p>
        </w:tc>
      </w:tr>
      <w:tr w:rsidR="00701E1F" w:rsidRPr="00A862A8" w:rsidTr="00213323">
        <w:tc>
          <w:tcPr>
            <w:tcW w:w="1281" w:type="dxa"/>
            <w:tcBorders>
              <w:top w:val="single" w:sz="4" w:space="0" w:color="auto"/>
              <w:left w:val="single" w:sz="4" w:space="0" w:color="auto"/>
              <w:bottom w:val="single" w:sz="4" w:space="0" w:color="auto"/>
            </w:tcBorders>
          </w:tcPr>
          <w:p w:rsidR="00701E1F" w:rsidRDefault="00701E1F" w:rsidP="00701E1F">
            <w:pPr>
              <w:pStyle w:val="Tabletext"/>
            </w:pPr>
            <w:r>
              <w:t>1.0</w:t>
            </w:r>
          </w:p>
        </w:tc>
        <w:tc>
          <w:tcPr>
            <w:tcW w:w="2552" w:type="dxa"/>
          </w:tcPr>
          <w:p w:rsidR="00701E1F" w:rsidRPr="00A862A8" w:rsidRDefault="00213323" w:rsidP="00D22D2B">
            <w:pPr>
              <w:pStyle w:val="Tabletext"/>
            </w:pPr>
            <w:r>
              <w:t>15 November 2019</w:t>
            </w:r>
          </w:p>
        </w:tc>
        <w:tc>
          <w:tcPr>
            <w:tcW w:w="5242" w:type="dxa"/>
            <w:tcBorders>
              <w:top w:val="single" w:sz="4" w:space="0" w:color="auto"/>
              <w:bottom w:val="single" w:sz="4" w:space="0" w:color="auto"/>
            </w:tcBorders>
          </w:tcPr>
          <w:p w:rsidR="00701E1F" w:rsidRPr="00A862A8" w:rsidRDefault="00701E1F" w:rsidP="00D22D2B">
            <w:pPr>
              <w:pStyle w:val="Tabletext"/>
            </w:pPr>
            <w:r>
              <w:t>Initial published version</w:t>
            </w:r>
          </w:p>
        </w:tc>
      </w:tr>
    </w:tbl>
    <w:p w:rsidR="00380CB9" w:rsidRDefault="00380CB9" w:rsidP="00CC7C44"/>
    <w:sectPr w:rsidR="00380CB9" w:rsidSect="00C23038">
      <w:headerReference w:type="default" r:id="rId25"/>
      <w:footerReference w:type="default" r:id="rId26"/>
      <w:headerReference w:type="first" r:id="rId27"/>
      <w:footerReference w:type="first" r:id="rId28"/>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993" w:rsidRDefault="00D07993" w:rsidP="00B538D7">
      <w:r>
        <w:separator/>
      </w:r>
    </w:p>
  </w:endnote>
  <w:endnote w:type="continuationSeparator" w:id="0">
    <w:p w:rsidR="00D07993" w:rsidRDefault="00D07993"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63" w:rsidRDefault="002B0C63" w:rsidP="0024029D">
    <w:pPr>
      <w:pStyle w:val="Footer"/>
      <w:tabs>
        <w:tab w:val="clear" w:pos="4513"/>
        <w:tab w:val="clear" w:pos="9026"/>
        <w:tab w:val="right" w:pos="9923"/>
      </w:tabs>
      <w:rPr>
        <w:rStyle w:val="Classification"/>
      </w:rPr>
    </w:pPr>
  </w:p>
  <w:p w:rsidR="00DE3CDF" w:rsidRPr="002B0C38" w:rsidRDefault="00D07993"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F0643">
          <w:rPr>
            <w:rStyle w:val="Classification"/>
            <w:lang w:val="en-AU"/>
          </w:rPr>
          <w:t>UNCLASSIFIED</w:t>
        </w:r>
      </w:sdtContent>
    </w:sdt>
    <w:r w:rsidR="0024029D">
      <w:rPr>
        <w:rStyle w:val="Classification"/>
      </w:rPr>
      <w:t xml:space="preserve"> </w:t>
    </w:r>
    <w:r w:rsidR="0024029D"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F0643">
          <w:rPr>
            <w:lang w:val="en-US"/>
          </w:rPr>
          <w:t>External</w:t>
        </w:r>
      </w:sdtContent>
    </w:sdt>
    <w:r w:rsidR="0024029D">
      <w:rPr>
        <w:lang w:val="en-US"/>
      </w:rPr>
      <w:tab/>
    </w:r>
    <w:r w:rsidR="0024029D" w:rsidRPr="00F67130">
      <w:rPr>
        <w:noProof/>
        <w:sz w:val="20"/>
        <w:lang w:val="en-US"/>
      </w:rPr>
      <w:fldChar w:fldCharType="begin"/>
    </w:r>
    <w:r w:rsidR="0024029D" w:rsidRPr="00F67130">
      <w:rPr>
        <w:noProof/>
        <w:sz w:val="20"/>
        <w:lang w:val="en-US"/>
      </w:rPr>
      <w:instrText xml:space="preserve"> </w:instrText>
    </w:r>
    <w:r w:rsidR="0024029D">
      <w:rPr>
        <w:noProof/>
        <w:sz w:val="20"/>
        <w:lang w:val="en-US"/>
      </w:rPr>
      <w:instrText>PAGE</w:instrText>
    </w:r>
    <w:r w:rsidR="0024029D" w:rsidRPr="00F67130">
      <w:rPr>
        <w:noProof/>
        <w:sz w:val="20"/>
        <w:lang w:val="en-US"/>
      </w:rPr>
      <w:instrText xml:space="preserve">   \* MERGEFORMAT </w:instrText>
    </w:r>
    <w:r w:rsidR="0024029D" w:rsidRPr="00F67130">
      <w:rPr>
        <w:noProof/>
        <w:sz w:val="20"/>
        <w:lang w:val="en-US"/>
      </w:rPr>
      <w:fldChar w:fldCharType="separate"/>
    </w:r>
    <w:r w:rsidR="00213323" w:rsidRPr="00213323">
      <w:rPr>
        <w:caps w:val="0"/>
        <w:noProof/>
        <w:sz w:val="20"/>
        <w:lang w:val="en-US"/>
      </w:rPr>
      <w:t>2</w:t>
    </w:r>
    <w:r w:rsidR="0024029D" w:rsidRPr="00F67130">
      <w:rPr>
        <w:noProof/>
        <w:sz w:val="20"/>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A78" w:rsidRPr="002B0C38" w:rsidRDefault="0024029D"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213323" w:rsidRPr="0021332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993" w:rsidRDefault="00D07993" w:rsidP="00B538D7">
      <w:r>
        <w:separator/>
      </w:r>
    </w:p>
  </w:footnote>
  <w:footnote w:type="continuationSeparator" w:id="0">
    <w:p w:rsidR="00D07993" w:rsidRDefault="00D07993" w:rsidP="00B5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038" w:rsidRPr="008F0643" w:rsidRDefault="00D07993" w:rsidP="008F0643">
    <w:pPr>
      <w:pStyle w:val="ClassificationInfo"/>
      <w:rPr>
        <w:b/>
        <w:caps/>
      </w:rPr>
    </w:pP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8F0643">
          <w:rPr>
            <w:rStyle w:val="ClassificationBody"/>
          </w:rPr>
          <w:t>UNCLASSIFIED</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44C" w:rsidRDefault="00B81B92" w:rsidP="004F244C">
    <w:pPr>
      <w:pStyle w:val="Header"/>
      <w:spacing w:after="2640"/>
    </w:pPr>
    <w:r>
      <w:rPr>
        <w:noProof/>
        <w:lang w:eastAsia="en-AU"/>
      </w:rPr>
      <w:drawing>
        <wp:anchor distT="0" distB="0" distL="114300" distR="114300" simplePos="0" relativeHeight="251661312" behindDoc="0" locked="0" layoutInCell="1" allowOverlap="1" wp14:anchorId="023465D4" wp14:editId="2F332F7D">
          <wp:simplePos x="0" y="0"/>
          <wp:positionH relativeFrom="column">
            <wp:posOffset>-290830</wp:posOffset>
          </wp:positionH>
          <wp:positionV relativeFrom="paragraph">
            <wp:posOffset>290830</wp:posOffset>
          </wp:positionV>
          <wp:extent cx="2324100" cy="581660"/>
          <wp:effectExtent l="0" t="0" r="0" b="8890"/>
          <wp:wrapNone/>
          <wp:docPr id="3" name="Picture 3"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2336" behindDoc="0" locked="0" layoutInCell="1" allowOverlap="1" wp14:anchorId="59B18E1A" wp14:editId="0BA55510">
          <wp:simplePos x="0" y="0"/>
          <wp:positionH relativeFrom="column">
            <wp:posOffset>3862070</wp:posOffset>
          </wp:positionH>
          <wp:positionV relativeFrom="paragraph">
            <wp:posOffset>288925</wp:posOffset>
          </wp:positionV>
          <wp:extent cx="2188845" cy="582295"/>
          <wp:effectExtent l="0" t="0" r="1905" b="0"/>
          <wp:wrapNone/>
          <wp:docPr id="5" name="Picture 5"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9263" behindDoc="1" locked="0" layoutInCell="1" allowOverlap="1" wp14:anchorId="60BD0394" wp14:editId="4E3F2A85">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2.5pt;margin-top:22.5pt;width:549.9pt;height:85.0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A6C"/>
    <w:multiLevelType w:val="hybridMultilevel"/>
    <w:tmpl w:val="E61AF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8D072D"/>
    <w:multiLevelType w:val="hybridMultilevel"/>
    <w:tmpl w:val="0FBCF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421537"/>
    <w:multiLevelType w:val="hybridMultilevel"/>
    <w:tmpl w:val="4066D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F7D1C43"/>
    <w:multiLevelType w:val="hybridMultilevel"/>
    <w:tmpl w:val="E8246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DB225B0"/>
    <w:multiLevelType w:val="hybridMultilevel"/>
    <w:tmpl w:val="16CAC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DB4656"/>
    <w:multiLevelType w:val="hybridMultilevel"/>
    <w:tmpl w:val="28B4E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4D5A5E"/>
    <w:multiLevelType w:val="hybridMultilevel"/>
    <w:tmpl w:val="10AAB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AF54D40"/>
    <w:multiLevelType w:val="hybridMultilevel"/>
    <w:tmpl w:val="A3D0C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B775002"/>
    <w:multiLevelType w:val="hybridMultilevel"/>
    <w:tmpl w:val="6344B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6EB321F"/>
    <w:multiLevelType w:val="hybridMultilevel"/>
    <w:tmpl w:val="2DCEB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A537DB0"/>
    <w:multiLevelType w:val="hybridMultilevel"/>
    <w:tmpl w:val="2C94B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3">
    <w:nsid w:val="68957BEB"/>
    <w:multiLevelType w:val="hybridMultilevel"/>
    <w:tmpl w:val="7868B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8FE1359"/>
    <w:multiLevelType w:val="hybridMultilevel"/>
    <w:tmpl w:val="20E8CC42"/>
    <w:lvl w:ilvl="0" w:tplc="0C090001">
      <w:start w:val="1"/>
      <w:numFmt w:val="bullet"/>
      <w:lvlText w:val=""/>
      <w:lvlJc w:val="left"/>
      <w:pPr>
        <w:ind w:left="720" w:hanging="360"/>
      </w:pPr>
      <w:rPr>
        <w:rFonts w:ascii="Symbol" w:hAnsi="Symbol" w:hint="default"/>
      </w:rPr>
    </w:lvl>
    <w:lvl w:ilvl="1" w:tplc="9EE6739A">
      <w:numFmt w:val="bullet"/>
      <w:lvlText w:val="•"/>
      <w:lvlJc w:val="left"/>
      <w:pPr>
        <w:ind w:left="1800" w:hanging="72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3F978B2"/>
    <w:multiLevelType w:val="hybridMultilevel"/>
    <w:tmpl w:val="2F961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4"/>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7"/>
  </w:num>
  <w:num w:numId="25">
    <w:abstractNumId w:val="13"/>
  </w:num>
  <w:num w:numId="26">
    <w:abstractNumId w:val="0"/>
  </w:num>
  <w:num w:numId="27">
    <w:abstractNumId w:val="6"/>
  </w:num>
  <w:num w:numId="28">
    <w:abstractNumId w:val="15"/>
  </w:num>
  <w:num w:numId="29">
    <w:abstractNumId w:val="14"/>
  </w:num>
  <w:num w:numId="30">
    <w:abstractNumId w:val="11"/>
  </w:num>
  <w:num w:numId="31">
    <w:abstractNumId w:val="5"/>
  </w:num>
  <w:num w:numId="32">
    <w:abstractNumId w:val="3"/>
  </w:num>
  <w:num w:numId="33">
    <w:abstractNumId w:val="10"/>
  </w:num>
  <w:num w:numId="34">
    <w:abstractNumId w:val="2"/>
  </w:num>
  <w:num w:numId="35">
    <w:abstractNumId w:val="9"/>
  </w:num>
  <w:num w:numId="36">
    <w:abstractNumId w:val="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3D"/>
    <w:rsid w:val="00000B16"/>
    <w:rsid w:val="00015AE4"/>
    <w:rsid w:val="000308CA"/>
    <w:rsid w:val="00031353"/>
    <w:rsid w:val="00031D41"/>
    <w:rsid w:val="00037D78"/>
    <w:rsid w:val="00051586"/>
    <w:rsid w:val="0007651F"/>
    <w:rsid w:val="000977C1"/>
    <w:rsid w:val="00097C3B"/>
    <w:rsid w:val="000B3331"/>
    <w:rsid w:val="000B6C00"/>
    <w:rsid w:val="000E0D2F"/>
    <w:rsid w:val="000E1D48"/>
    <w:rsid w:val="000E533A"/>
    <w:rsid w:val="000F28B8"/>
    <w:rsid w:val="000F3766"/>
    <w:rsid w:val="0010233E"/>
    <w:rsid w:val="00110561"/>
    <w:rsid w:val="00111F0C"/>
    <w:rsid w:val="00145E2D"/>
    <w:rsid w:val="00166007"/>
    <w:rsid w:val="00175961"/>
    <w:rsid w:val="001763D4"/>
    <w:rsid w:val="00187529"/>
    <w:rsid w:val="001A2C52"/>
    <w:rsid w:val="001C53CE"/>
    <w:rsid w:val="001E66CE"/>
    <w:rsid w:val="0020357D"/>
    <w:rsid w:val="002126A7"/>
    <w:rsid w:val="00213323"/>
    <w:rsid w:val="0021436F"/>
    <w:rsid w:val="00221DC2"/>
    <w:rsid w:val="0023407E"/>
    <w:rsid w:val="0024029D"/>
    <w:rsid w:val="0025016C"/>
    <w:rsid w:val="00254A90"/>
    <w:rsid w:val="002573D5"/>
    <w:rsid w:val="00284962"/>
    <w:rsid w:val="00294945"/>
    <w:rsid w:val="002A41E1"/>
    <w:rsid w:val="002A4919"/>
    <w:rsid w:val="002A5E26"/>
    <w:rsid w:val="002B0C38"/>
    <w:rsid w:val="002B0C63"/>
    <w:rsid w:val="002B6574"/>
    <w:rsid w:val="002E1AE8"/>
    <w:rsid w:val="002F55D0"/>
    <w:rsid w:val="002F7D3C"/>
    <w:rsid w:val="00300CCA"/>
    <w:rsid w:val="003103E2"/>
    <w:rsid w:val="003131AB"/>
    <w:rsid w:val="003217BE"/>
    <w:rsid w:val="00380CB9"/>
    <w:rsid w:val="00393DD9"/>
    <w:rsid w:val="003D3B1D"/>
    <w:rsid w:val="003D5DBE"/>
    <w:rsid w:val="003E525C"/>
    <w:rsid w:val="003E79F5"/>
    <w:rsid w:val="003F47FB"/>
    <w:rsid w:val="003F5558"/>
    <w:rsid w:val="00404841"/>
    <w:rsid w:val="00412059"/>
    <w:rsid w:val="004223B1"/>
    <w:rsid w:val="00424787"/>
    <w:rsid w:val="00441E79"/>
    <w:rsid w:val="0046116C"/>
    <w:rsid w:val="00465E2B"/>
    <w:rsid w:val="00483A58"/>
    <w:rsid w:val="004A5F71"/>
    <w:rsid w:val="004B35F2"/>
    <w:rsid w:val="004D7F17"/>
    <w:rsid w:val="004E7F37"/>
    <w:rsid w:val="004F244C"/>
    <w:rsid w:val="005066D4"/>
    <w:rsid w:val="00532CBD"/>
    <w:rsid w:val="0054562C"/>
    <w:rsid w:val="005617B6"/>
    <w:rsid w:val="00575735"/>
    <w:rsid w:val="0059552B"/>
    <w:rsid w:val="00607CA6"/>
    <w:rsid w:val="00616EBA"/>
    <w:rsid w:val="00621ECC"/>
    <w:rsid w:val="00626B43"/>
    <w:rsid w:val="00631F8F"/>
    <w:rsid w:val="00632C08"/>
    <w:rsid w:val="00634FBE"/>
    <w:rsid w:val="0064519D"/>
    <w:rsid w:val="00662C2B"/>
    <w:rsid w:val="0067074A"/>
    <w:rsid w:val="006728EE"/>
    <w:rsid w:val="00672994"/>
    <w:rsid w:val="00677B28"/>
    <w:rsid w:val="006902F1"/>
    <w:rsid w:val="006A1F1A"/>
    <w:rsid w:val="006A25FD"/>
    <w:rsid w:val="006A7A8A"/>
    <w:rsid w:val="006C189E"/>
    <w:rsid w:val="006C2CE5"/>
    <w:rsid w:val="006F402B"/>
    <w:rsid w:val="006F7655"/>
    <w:rsid w:val="00701E1F"/>
    <w:rsid w:val="00702F50"/>
    <w:rsid w:val="00710DBB"/>
    <w:rsid w:val="00727C0C"/>
    <w:rsid w:val="00752C6B"/>
    <w:rsid w:val="007C687F"/>
    <w:rsid w:val="007D2BDE"/>
    <w:rsid w:val="007F6B1B"/>
    <w:rsid w:val="00802A3B"/>
    <w:rsid w:val="00820F20"/>
    <w:rsid w:val="00825754"/>
    <w:rsid w:val="00832FF5"/>
    <w:rsid w:val="00833320"/>
    <w:rsid w:val="00844C2D"/>
    <w:rsid w:val="00850A78"/>
    <w:rsid w:val="00893AB1"/>
    <w:rsid w:val="008A387B"/>
    <w:rsid w:val="008B1A29"/>
    <w:rsid w:val="008C0196"/>
    <w:rsid w:val="008D366D"/>
    <w:rsid w:val="008E1E86"/>
    <w:rsid w:val="008F0643"/>
    <w:rsid w:val="00904BC1"/>
    <w:rsid w:val="0090729C"/>
    <w:rsid w:val="009345F1"/>
    <w:rsid w:val="009401D2"/>
    <w:rsid w:val="00961072"/>
    <w:rsid w:val="00972866"/>
    <w:rsid w:val="0099716A"/>
    <w:rsid w:val="009A5441"/>
    <w:rsid w:val="009A5BCD"/>
    <w:rsid w:val="009B22AA"/>
    <w:rsid w:val="009B438D"/>
    <w:rsid w:val="009B51E2"/>
    <w:rsid w:val="009E750F"/>
    <w:rsid w:val="00A04D96"/>
    <w:rsid w:val="00A0629B"/>
    <w:rsid w:val="00A16F8B"/>
    <w:rsid w:val="00A27F45"/>
    <w:rsid w:val="00A35A7F"/>
    <w:rsid w:val="00A47D17"/>
    <w:rsid w:val="00A50969"/>
    <w:rsid w:val="00A62095"/>
    <w:rsid w:val="00A7487F"/>
    <w:rsid w:val="00A76198"/>
    <w:rsid w:val="00A8217E"/>
    <w:rsid w:val="00A862A8"/>
    <w:rsid w:val="00A90D1B"/>
    <w:rsid w:val="00AA5A8A"/>
    <w:rsid w:val="00AE1B67"/>
    <w:rsid w:val="00B06A46"/>
    <w:rsid w:val="00B274D1"/>
    <w:rsid w:val="00B4796B"/>
    <w:rsid w:val="00B538D7"/>
    <w:rsid w:val="00B670EF"/>
    <w:rsid w:val="00B81B92"/>
    <w:rsid w:val="00B87B3B"/>
    <w:rsid w:val="00BA74A4"/>
    <w:rsid w:val="00BC093A"/>
    <w:rsid w:val="00BC4ACC"/>
    <w:rsid w:val="00BD750B"/>
    <w:rsid w:val="00BF05A1"/>
    <w:rsid w:val="00BF19F1"/>
    <w:rsid w:val="00C16DFC"/>
    <w:rsid w:val="00C217A8"/>
    <w:rsid w:val="00C23038"/>
    <w:rsid w:val="00C50CCA"/>
    <w:rsid w:val="00C56DD2"/>
    <w:rsid w:val="00C56DD9"/>
    <w:rsid w:val="00C56F19"/>
    <w:rsid w:val="00C6511F"/>
    <w:rsid w:val="00C65749"/>
    <w:rsid w:val="00C71B13"/>
    <w:rsid w:val="00CA00F9"/>
    <w:rsid w:val="00CB0EAD"/>
    <w:rsid w:val="00CC7C44"/>
    <w:rsid w:val="00CD3BF9"/>
    <w:rsid w:val="00CD5925"/>
    <w:rsid w:val="00CE557A"/>
    <w:rsid w:val="00CF6D8D"/>
    <w:rsid w:val="00D05312"/>
    <w:rsid w:val="00D07993"/>
    <w:rsid w:val="00D1410C"/>
    <w:rsid w:val="00D21ABC"/>
    <w:rsid w:val="00D33A42"/>
    <w:rsid w:val="00D57F79"/>
    <w:rsid w:val="00D66D37"/>
    <w:rsid w:val="00D72025"/>
    <w:rsid w:val="00D74A71"/>
    <w:rsid w:val="00D904F0"/>
    <w:rsid w:val="00D91378"/>
    <w:rsid w:val="00DC5B44"/>
    <w:rsid w:val="00DD111A"/>
    <w:rsid w:val="00DD1408"/>
    <w:rsid w:val="00DD356D"/>
    <w:rsid w:val="00DE3CDF"/>
    <w:rsid w:val="00DF5A0D"/>
    <w:rsid w:val="00E546A3"/>
    <w:rsid w:val="00E7653D"/>
    <w:rsid w:val="00E84012"/>
    <w:rsid w:val="00EA0724"/>
    <w:rsid w:val="00EA1613"/>
    <w:rsid w:val="00EA1E6E"/>
    <w:rsid w:val="00EB55D5"/>
    <w:rsid w:val="00EB6414"/>
    <w:rsid w:val="00EC757F"/>
    <w:rsid w:val="00ED18F2"/>
    <w:rsid w:val="00EF0712"/>
    <w:rsid w:val="00EF7B3B"/>
    <w:rsid w:val="00F45685"/>
    <w:rsid w:val="00F52DD1"/>
    <w:rsid w:val="00F5341C"/>
    <w:rsid w:val="00F7752A"/>
    <w:rsid w:val="00FA0462"/>
    <w:rsid w:val="00FA5A7B"/>
    <w:rsid w:val="00FB0734"/>
    <w:rsid w:val="00FB3311"/>
    <w:rsid w:val="00FC1D4F"/>
    <w:rsid w:val="00FD2383"/>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4"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4" w:qFormat="1"/>
    <w:lsdException w:name="header" w:semiHidden="0" w:uiPriority="49"/>
    <w:lsdException w:name="footer" w:semiHidden="0" w:uiPriority="49"/>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paragraph" w:styleId="ListParagraph">
    <w:name w:val="List Paragraph"/>
    <w:aliases w:val="Number,Recommendation,List Paragraph1,List Paragraph11,L"/>
    <w:basedOn w:val="Normal"/>
    <w:link w:val="ListParagraphChar"/>
    <w:uiPriority w:val="34"/>
    <w:qFormat/>
    <w:rsid w:val="00A76198"/>
    <w:pPr>
      <w:ind w:left="720"/>
      <w:contextualSpacing/>
    </w:p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A76198"/>
    <w:rPr>
      <w:rFonts w:asciiTheme="minorHAnsi" w:hAnsiTheme="minorHAnsi"/>
      <w:color w:val="000000" w:themeColor="text1"/>
      <w:sz w:val="22"/>
    </w:rPr>
  </w:style>
  <w:style w:type="character" w:styleId="Hyperlink">
    <w:name w:val="Hyperlink"/>
    <w:basedOn w:val="DefaultParagraphFont"/>
    <w:uiPriority w:val="99"/>
    <w:rsid w:val="00A76198"/>
    <w:rPr>
      <w:color w:val="3685F7" w:themeColor="hyperlink"/>
      <w:u w:val="single"/>
    </w:rPr>
  </w:style>
  <w:style w:type="table" w:styleId="LightList-Accent1">
    <w:name w:val="Light List Accent 1"/>
    <w:basedOn w:val="TableNormal"/>
    <w:uiPriority w:val="61"/>
    <w:rsid w:val="00A76198"/>
    <w:rPr>
      <w:rFonts w:asciiTheme="minorHAnsi" w:hAnsiTheme="minorHAnsi" w:cstheme="minorBidi"/>
      <w:sz w:val="22"/>
      <w:szCs w:val="22"/>
    </w:rPr>
    <w:tblPr>
      <w:tblStyleRowBandSize w:val="1"/>
      <w:tblStyleColBandSize w:val="1"/>
      <w:tblBorders>
        <w:top w:val="single" w:sz="8" w:space="0" w:color="808080" w:themeColor="accent1"/>
        <w:left w:val="single" w:sz="8" w:space="0" w:color="808080" w:themeColor="accent1"/>
        <w:bottom w:val="single" w:sz="8" w:space="0" w:color="808080" w:themeColor="accent1"/>
        <w:right w:val="single" w:sz="8" w:space="0" w:color="808080" w:themeColor="accent1"/>
      </w:tblBorders>
    </w:tblPr>
    <w:tblStylePr w:type="firstRow">
      <w:pPr>
        <w:spacing w:before="0" w:after="0" w:line="240" w:lineRule="auto"/>
      </w:pPr>
      <w:rPr>
        <w:b/>
        <w:bCs/>
        <w:color w:val="FFFFFF" w:themeColor="background1"/>
      </w:rPr>
      <w:tblPr/>
      <w:tcPr>
        <w:shd w:val="clear" w:color="auto" w:fill="808080" w:themeFill="accent1"/>
      </w:tcPr>
    </w:tblStylePr>
    <w:tblStylePr w:type="lastRow">
      <w:pPr>
        <w:spacing w:before="0" w:after="0" w:line="240" w:lineRule="auto"/>
      </w:pPr>
      <w:rPr>
        <w:b/>
        <w:bCs/>
      </w:rPr>
      <w:tblPr/>
      <w:tcPr>
        <w:tcBorders>
          <w:top w:val="double" w:sz="6" w:space="0" w:color="808080" w:themeColor="accent1"/>
          <w:left w:val="single" w:sz="8" w:space="0" w:color="808080" w:themeColor="accent1"/>
          <w:bottom w:val="single" w:sz="8" w:space="0" w:color="808080" w:themeColor="accent1"/>
          <w:right w:val="single" w:sz="8" w:space="0" w:color="808080" w:themeColor="accent1"/>
        </w:tcBorders>
      </w:tcPr>
    </w:tblStylePr>
    <w:tblStylePr w:type="firstCol">
      <w:rPr>
        <w:b/>
        <w:bCs/>
      </w:rPr>
    </w:tblStylePr>
    <w:tblStylePr w:type="lastCol">
      <w:rPr>
        <w:b/>
        <w:bCs/>
      </w:rPr>
    </w:tblStylePr>
    <w:tblStylePr w:type="band1Vert">
      <w:tblPr/>
      <w:tcPr>
        <w:tcBorders>
          <w:top w:val="single" w:sz="8" w:space="0" w:color="808080" w:themeColor="accent1"/>
          <w:left w:val="single" w:sz="8" w:space="0" w:color="808080" w:themeColor="accent1"/>
          <w:bottom w:val="single" w:sz="8" w:space="0" w:color="808080" w:themeColor="accent1"/>
          <w:right w:val="single" w:sz="8" w:space="0" w:color="808080" w:themeColor="accent1"/>
        </w:tcBorders>
      </w:tcPr>
    </w:tblStylePr>
    <w:tblStylePr w:type="band1Horz">
      <w:tblPr/>
      <w:tcPr>
        <w:tcBorders>
          <w:top w:val="single" w:sz="8" w:space="0" w:color="808080" w:themeColor="accent1"/>
          <w:left w:val="single" w:sz="8" w:space="0" w:color="808080" w:themeColor="accent1"/>
          <w:bottom w:val="single" w:sz="8" w:space="0" w:color="808080" w:themeColor="accent1"/>
          <w:right w:val="single" w:sz="8" w:space="0" w:color="80808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4"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4" w:qFormat="1"/>
    <w:lsdException w:name="header" w:semiHidden="0" w:uiPriority="49"/>
    <w:lsdException w:name="footer" w:semiHidden="0" w:uiPriority="49"/>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paragraph" w:styleId="ListParagraph">
    <w:name w:val="List Paragraph"/>
    <w:aliases w:val="Number,Recommendation,List Paragraph1,List Paragraph11,L"/>
    <w:basedOn w:val="Normal"/>
    <w:link w:val="ListParagraphChar"/>
    <w:uiPriority w:val="34"/>
    <w:qFormat/>
    <w:rsid w:val="00A76198"/>
    <w:pPr>
      <w:ind w:left="720"/>
      <w:contextualSpacing/>
    </w:p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A76198"/>
    <w:rPr>
      <w:rFonts w:asciiTheme="minorHAnsi" w:hAnsiTheme="minorHAnsi"/>
      <w:color w:val="000000" w:themeColor="text1"/>
      <w:sz w:val="22"/>
    </w:rPr>
  </w:style>
  <w:style w:type="character" w:styleId="Hyperlink">
    <w:name w:val="Hyperlink"/>
    <w:basedOn w:val="DefaultParagraphFont"/>
    <w:uiPriority w:val="99"/>
    <w:rsid w:val="00A76198"/>
    <w:rPr>
      <w:color w:val="3685F7" w:themeColor="hyperlink"/>
      <w:u w:val="single"/>
    </w:rPr>
  </w:style>
  <w:style w:type="table" w:styleId="LightList-Accent1">
    <w:name w:val="Light List Accent 1"/>
    <w:basedOn w:val="TableNormal"/>
    <w:uiPriority w:val="61"/>
    <w:rsid w:val="00A76198"/>
    <w:rPr>
      <w:rFonts w:asciiTheme="minorHAnsi" w:hAnsiTheme="minorHAnsi" w:cstheme="minorBidi"/>
      <w:sz w:val="22"/>
      <w:szCs w:val="22"/>
    </w:rPr>
    <w:tblPr>
      <w:tblStyleRowBandSize w:val="1"/>
      <w:tblStyleColBandSize w:val="1"/>
      <w:tblBorders>
        <w:top w:val="single" w:sz="8" w:space="0" w:color="808080" w:themeColor="accent1"/>
        <w:left w:val="single" w:sz="8" w:space="0" w:color="808080" w:themeColor="accent1"/>
        <w:bottom w:val="single" w:sz="8" w:space="0" w:color="808080" w:themeColor="accent1"/>
        <w:right w:val="single" w:sz="8" w:space="0" w:color="808080" w:themeColor="accent1"/>
      </w:tblBorders>
    </w:tblPr>
    <w:tblStylePr w:type="firstRow">
      <w:pPr>
        <w:spacing w:before="0" w:after="0" w:line="240" w:lineRule="auto"/>
      </w:pPr>
      <w:rPr>
        <w:b/>
        <w:bCs/>
        <w:color w:val="FFFFFF" w:themeColor="background1"/>
      </w:rPr>
      <w:tblPr/>
      <w:tcPr>
        <w:shd w:val="clear" w:color="auto" w:fill="808080" w:themeFill="accent1"/>
      </w:tcPr>
    </w:tblStylePr>
    <w:tblStylePr w:type="lastRow">
      <w:pPr>
        <w:spacing w:before="0" w:after="0" w:line="240" w:lineRule="auto"/>
      </w:pPr>
      <w:rPr>
        <w:b/>
        <w:bCs/>
      </w:rPr>
      <w:tblPr/>
      <w:tcPr>
        <w:tcBorders>
          <w:top w:val="double" w:sz="6" w:space="0" w:color="808080" w:themeColor="accent1"/>
          <w:left w:val="single" w:sz="8" w:space="0" w:color="808080" w:themeColor="accent1"/>
          <w:bottom w:val="single" w:sz="8" w:space="0" w:color="808080" w:themeColor="accent1"/>
          <w:right w:val="single" w:sz="8" w:space="0" w:color="808080" w:themeColor="accent1"/>
        </w:tcBorders>
      </w:tcPr>
    </w:tblStylePr>
    <w:tblStylePr w:type="firstCol">
      <w:rPr>
        <w:b/>
        <w:bCs/>
      </w:rPr>
    </w:tblStylePr>
    <w:tblStylePr w:type="lastCol">
      <w:rPr>
        <w:b/>
        <w:bCs/>
      </w:rPr>
    </w:tblStylePr>
    <w:tblStylePr w:type="band1Vert">
      <w:tblPr/>
      <w:tcPr>
        <w:tcBorders>
          <w:top w:val="single" w:sz="8" w:space="0" w:color="808080" w:themeColor="accent1"/>
          <w:left w:val="single" w:sz="8" w:space="0" w:color="808080" w:themeColor="accent1"/>
          <w:bottom w:val="single" w:sz="8" w:space="0" w:color="808080" w:themeColor="accent1"/>
          <w:right w:val="single" w:sz="8" w:space="0" w:color="808080" w:themeColor="accent1"/>
        </w:tcBorders>
      </w:tcPr>
    </w:tblStylePr>
    <w:tblStylePr w:type="band1Horz">
      <w:tblPr/>
      <w:tcPr>
        <w:tcBorders>
          <w:top w:val="single" w:sz="8" w:space="0" w:color="808080" w:themeColor="accent1"/>
          <w:left w:val="single" w:sz="8" w:space="0" w:color="808080" w:themeColor="accent1"/>
          <w:bottom w:val="single" w:sz="8" w:space="0" w:color="808080" w:themeColor="accent1"/>
          <w:right w:val="single" w:sz="8" w:space="0" w:color="80808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www.cyber.gov.au/is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csb.govt.nz/publications/the-nz-information-security-manual/"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nzism.gcsb.govt.nz/"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yber.gov.au/ism" TargetMode="External"/><Relationship Id="rId20" Type="http://schemas.openxmlformats.org/officeDocument/2006/relationships/hyperlink" Target="https://www.cyber.gov.au/is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gcsb.govt.nz/publications/the-nz-information-security-manual/" TargetMode="External"/><Relationship Id="rId5" Type="http://schemas.openxmlformats.org/officeDocument/2006/relationships/customXml" Target="../customXml/item5.xml"/><Relationship Id="rId15" Type="http://schemas.openxmlformats.org/officeDocument/2006/relationships/hyperlink" Target="https://www.nzism.gcsb.govt.nz/" TargetMode="External"/><Relationship Id="rId23" Type="http://schemas.openxmlformats.org/officeDocument/2006/relationships/hyperlink" Target="https://www.cyber.gov.au/ism"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ww.gcsb.govt.nz/publications/the-nz-information-security-manua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www.cyber.gov.au/ism" TargetMode="External"/><Relationship Id="rId22" Type="http://schemas.openxmlformats.org/officeDocument/2006/relationships/hyperlink" Target="https://acsc.gov.au/publications/protect/Multi_Factor_Authentication.pdf"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2"/>
    <w:rsid w:val="00131CCB"/>
    <w:rsid w:val="00420142"/>
    <w:rsid w:val="005B2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root xmlns="www.drdoc.com.au">
  <internalExternal>External</internalExternal>
</root>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4.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5.xml><?xml version="1.0" encoding="utf-8"?>
<ds:datastoreItem xmlns:ds="http://schemas.openxmlformats.org/officeDocument/2006/customXml" ds:itemID="{2C99D8C0-9149-4525-A8EB-93F91FBAE3F9}">
  <ds:schemaRefs>
    <ds:schemaRef ds:uri="www.drdoc.com.au"/>
  </ds:schemaRefs>
</ds:datastoreItem>
</file>

<file path=customXml/itemProps6.xml><?xml version="1.0" encoding="utf-8"?>
<ds:datastoreItem xmlns:ds="http://schemas.openxmlformats.org/officeDocument/2006/customXml" ds:itemID="{00B3FE26-AF19-457C-936E-A900881B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2</TotalTime>
  <Pages>8</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Terry Seiver</dc:creator>
  <cp:lastModifiedBy>Ashleigh Chirnside</cp:lastModifiedBy>
  <cp:revision>3</cp:revision>
  <dcterms:created xsi:type="dcterms:W3CDTF">2019-11-07T02:57:00Z</dcterms:created>
  <dcterms:modified xsi:type="dcterms:W3CDTF">2019-11-15T03:30:00Z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