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038" w:rsidRPr="00C23038" w:rsidRDefault="00C23038" w:rsidP="00C23038">
      <w:pPr>
        <w:pStyle w:val="InternalExternal"/>
        <w:framePr w:wrap="around"/>
        <w:rPr>
          <w:rStyle w:val="Classification"/>
          <w:b w:val="0"/>
          <w:sz w:val="16"/>
          <w:lang w:val="en-AU"/>
        </w:rPr>
      </w:pPr>
    </w:p>
    <w:p w:rsidR="00DF5A0D" w:rsidRDefault="00BA2A5F" w:rsidP="00DF5A0D">
      <w:pPr>
        <w:pStyle w:val="InternalExternal"/>
        <w:framePr w:wrap="around"/>
      </w:pPr>
      <w:sdt>
        <w:sdtPr>
          <w:rPr>
            <w:rStyle w:val="Classification"/>
          </w:rPr>
          <w:alias w:val="Classification"/>
          <w:tag w:val=""/>
          <w:id w:val="-1585443907"/>
          <w:placeholder>
            <w:docPart w:val="F15392DCBE15415E9AB93049E000179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>
          <w:rPr>
            <w:rStyle w:val="DefaultParagraphFont"/>
            <w:rFonts w:asciiTheme="minorHAnsi" w:hAnsiTheme="minorHAnsi"/>
            <w:b w:val="0"/>
            <w:sz w:val="16"/>
            <w:lang w:val="en-AU"/>
          </w:rPr>
        </w:sdtEndPr>
        <w:sdtContent>
          <w:r w:rsidR="00F64D0E">
            <w:rPr>
              <w:rStyle w:val="Classification"/>
            </w:rPr>
            <w:t>UNCLASSIFIED</w:t>
          </w:r>
        </w:sdtContent>
      </w:sdt>
      <w:r w:rsidR="00DF5A0D" w:rsidRPr="0023407E">
        <w:rPr>
          <w:rStyle w:val="Classification"/>
        </w:rPr>
        <w:t xml:space="preserve"> </w:t>
      </w:r>
      <w:sdt>
        <w:sdtPr>
          <w:alias w:val="Internal/External"/>
          <w:tag w:val="Internal/External"/>
          <w:id w:val="-193616095"/>
          <w:placeholder>
            <w:docPart w:val="D9DADFFC01F14929AAA408DA97587A05"/>
          </w:placeholder>
          <w:dataBinding w:prefixMappings="xmlns:ns0='www.drdoc.com.au'" w:xpath="/ns0:root[1]/ns0:internalExternal[1]" w:storeItemID="{2C99D8C0-9149-4525-A8EB-93F91FBAE3F9}"/>
          <w:comboBox w:lastValue="External">
            <w:listItem w:value="Choose an item."/>
            <w:listItem w:displayText="Internal" w:value="Internal"/>
            <w:listItem w:displayText="External" w:value="External"/>
          </w:comboBox>
        </w:sdtPr>
        <w:sdtEndPr/>
        <w:sdtContent>
          <w:r w:rsidR="00546051">
            <w:t>External</w:t>
          </w:r>
        </w:sdtContent>
      </w:sdt>
      <w:r w:rsidR="00DF5A0D">
        <w:t xml:space="preserve"> </w:t>
      </w:r>
    </w:p>
    <w:p w:rsidR="00904BC1" w:rsidRDefault="00D72025" w:rsidP="004C2310">
      <w:pPr>
        <w:pStyle w:val="Heading1"/>
        <w:framePr w:h="1678" w:hRule="exact" w:wrap="notBeside" w:y="-650"/>
      </w:pPr>
      <w:r>
        <w:t>A-NZ PEPPOL FRAMEWORK GUIDANCE NOTE</w:t>
      </w:r>
    </w:p>
    <w:p w:rsidR="00D72025" w:rsidRDefault="0063734E" w:rsidP="00D72025">
      <w:pPr>
        <w:pStyle w:val="Heading2"/>
      </w:pPr>
      <w:r>
        <w:t>Reporting statistics to the PEPPOL Authority</w:t>
      </w:r>
    </w:p>
    <w:p w:rsidR="00D72025" w:rsidRPr="0055292A" w:rsidRDefault="00E84332" w:rsidP="00D72025">
      <w:pPr>
        <w:rPr>
          <w:b/>
        </w:rPr>
      </w:pPr>
      <w:r>
        <w:rPr>
          <w:b/>
        </w:rPr>
        <w:t xml:space="preserve">Guidance note </w:t>
      </w:r>
      <w:r w:rsidR="005B0D49">
        <w:rPr>
          <w:b/>
        </w:rPr>
        <w:t>07</w:t>
      </w:r>
    </w:p>
    <w:p w:rsidR="00EB55D5" w:rsidRPr="00D72025" w:rsidRDefault="00EB55D5" w:rsidP="00D72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388"/>
        <w:gridCol w:w="3110"/>
      </w:tblGrid>
      <w:tr w:rsidR="00AE0E98" w:rsidRPr="0010233E" w:rsidTr="00AE0E98">
        <w:tc>
          <w:tcPr>
            <w:tcW w:w="3007" w:type="dxa"/>
            <w:tcBorders>
              <w:bottom w:val="single" w:sz="4" w:space="0" w:color="auto"/>
            </w:tcBorders>
          </w:tcPr>
          <w:p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Issue date</w:t>
            </w:r>
          </w:p>
        </w:tc>
        <w:tc>
          <w:tcPr>
            <w:tcW w:w="1388" w:type="dxa"/>
          </w:tcPr>
          <w:p w:rsidR="00AE0E98" w:rsidRPr="0010233E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Version</w:t>
            </w:r>
          </w:p>
        </w:tc>
      </w:tr>
      <w:tr w:rsidR="00AE0E98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E98" w:rsidRPr="005B0D49" w:rsidRDefault="00BA2A5F" w:rsidP="00D85804">
            <w:r>
              <w:t>31 January</w:t>
            </w:r>
            <w:r w:rsidR="00D85804" w:rsidRPr="005B0D49">
              <w:t xml:space="preserve"> </w:t>
            </w:r>
            <w:r w:rsidR="00AE0E98" w:rsidRPr="005B0D49">
              <w:t>2019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AE0E98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E98" w:rsidRDefault="00303E65" w:rsidP="00AE0E98">
            <w:r>
              <w:t>1</w:t>
            </w:r>
            <w:r w:rsidR="000F1CB2">
              <w:t>.0</w:t>
            </w:r>
          </w:p>
        </w:tc>
      </w:tr>
      <w:tr w:rsidR="00AE0E98" w:rsidRPr="0010233E" w:rsidTr="00AE0E98"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:rsidR="00AE0E98" w:rsidRPr="005B0D49" w:rsidRDefault="00AE0E98" w:rsidP="00AE0E98">
            <w:pPr>
              <w:rPr>
                <w:b/>
              </w:rPr>
            </w:pPr>
            <w:r w:rsidRPr="005B0D49">
              <w:rPr>
                <w:b/>
              </w:rPr>
              <w:t>Effective from</w:t>
            </w:r>
          </w:p>
        </w:tc>
        <w:tc>
          <w:tcPr>
            <w:tcW w:w="1388" w:type="dxa"/>
          </w:tcPr>
          <w:p w:rsidR="00AE0E98" w:rsidRPr="0010233E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</w:tcPr>
          <w:p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 xml:space="preserve">Artefacts </w:t>
            </w:r>
            <w:r>
              <w:rPr>
                <w:b/>
              </w:rPr>
              <w:t>impacted</w:t>
            </w:r>
          </w:p>
        </w:tc>
      </w:tr>
      <w:tr w:rsidR="00AE0E98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E98" w:rsidRPr="005B0D49" w:rsidRDefault="00BA2A5F" w:rsidP="00AE0E98">
            <w:r>
              <w:t>January</w:t>
            </w:r>
            <w:r w:rsidR="00D85804" w:rsidRPr="005B0D49">
              <w:t xml:space="preserve"> </w:t>
            </w:r>
            <w:r w:rsidR="00AE0E98" w:rsidRPr="005B0D49">
              <w:t>2019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:rsidR="00AE0E98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3B2" w:rsidRDefault="00E613B2" w:rsidP="00E613B2"/>
        </w:tc>
      </w:tr>
    </w:tbl>
    <w:p w:rsidR="006A3695" w:rsidRDefault="006A3695" w:rsidP="006A3695">
      <w:pPr>
        <w:jc w:val="right"/>
        <w:rPr>
          <w:b/>
        </w:rPr>
      </w:pPr>
    </w:p>
    <w:p w:rsidR="0025016C" w:rsidRPr="001A2C52" w:rsidRDefault="004C0277" w:rsidP="004C0277">
      <w:pPr>
        <w:pStyle w:val="Heading3"/>
        <w:rPr>
          <w:sz w:val="28"/>
        </w:rPr>
      </w:pPr>
      <w:r>
        <w:t>Introduction</w:t>
      </w:r>
      <w:r w:rsidR="00442B26">
        <w:rPr>
          <w:sz w:val="28"/>
        </w:rPr>
        <w:tab/>
        <w:t xml:space="preserve"> </w:t>
      </w:r>
    </w:p>
    <w:p w:rsidR="0063734E" w:rsidRDefault="005C70D0" w:rsidP="00033485">
      <w:pPr>
        <w:spacing w:before="120" w:after="120" w:line="276" w:lineRule="auto"/>
        <w:rPr>
          <w:rFonts w:cstheme="minorHAnsi"/>
        </w:rPr>
      </w:pPr>
      <w:r>
        <w:rPr>
          <w:rFonts w:cstheme="minorHAnsi"/>
        </w:rPr>
        <w:t xml:space="preserve">The purpose of this document is to provide instructions on how Access Point (AP) </w:t>
      </w:r>
      <w:r w:rsidR="0063734E">
        <w:rPr>
          <w:rFonts w:cstheme="minorHAnsi"/>
        </w:rPr>
        <w:t xml:space="preserve">Providers </w:t>
      </w:r>
      <w:r>
        <w:rPr>
          <w:rFonts w:cstheme="minorHAnsi"/>
        </w:rPr>
        <w:t xml:space="preserve">can meet their requirements in Annex 5 to </w:t>
      </w:r>
      <w:r w:rsidR="0063734E">
        <w:rPr>
          <w:rFonts w:cstheme="minorHAnsi"/>
        </w:rPr>
        <w:t xml:space="preserve">report key statistics to the Australian and New Zealand (A-NZ) </w:t>
      </w:r>
      <w:r w:rsidR="0063734E" w:rsidRPr="0063734E">
        <w:rPr>
          <w:rFonts w:cstheme="minorHAnsi"/>
        </w:rPr>
        <w:t>PEPPOL Authorit</w:t>
      </w:r>
      <w:r w:rsidR="0063734E">
        <w:rPr>
          <w:rFonts w:cstheme="minorHAnsi"/>
        </w:rPr>
        <w:t>ies.</w:t>
      </w:r>
    </w:p>
    <w:p w:rsidR="00DB530A" w:rsidRDefault="000628ED" w:rsidP="00033485">
      <w:pPr>
        <w:spacing w:before="120" w:after="120" w:line="276" w:lineRule="auto"/>
        <w:rPr>
          <w:rFonts w:cstheme="minorHAnsi"/>
        </w:rPr>
      </w:pPr>
      <w:r w:rsidRPr="000628ED">
        <w:rPr>
          <w:rFonts w:cstheme="minorHAnsi"/>
        </w:rPr>
        <w:t xml:space="preserve">All Service Providers are required to report certain </w:t>
      </w:r>
      <w:r>
        <w:rPr>
          <w:rFonts w:cstheme="minorHAnsi"/>
        </w:rPr>
        <w:t xml:space="preserve">statistical </w:t>
      </w:r>
      <w:r w:rsidRPr="000628ED">
        <w:rPr>
          <w:rFonts w:cstheme="minorHAnsi"/>
        </w:rPr>
        <w:t>information to their PEPPOL Authority to assist in the overall management and administration of the PEPPOL network</w:t>
      </w:r>
      <w:r>
        <w:rPr>
          <w:rFonts w:cstheme="minorHAnsi"/>
        </w:rPr>
        <w:t xml:space="preserve">. </w:t>
      </w:r>
      <w:r w:rsidR="0069163C">
        <w:rPr>
          <w:rFonts w:cstheme="minorHAnsi"/>
        </w:rPr>
        <w:t>R</w:t>
      </w:r>
      <w:r w:rsidR="00DB530A">
        <w:rPr>
          <w:rFonts w:cstheme="minorHAnsi"/>
        </w:rPr>
        <w:t xml:space="preserve">eporting </w:t>
      </w:r>
      <w:r w:rsidR="0069163C">
        <w:rPr>
          <w:rFonts w:cstheme="minorHAnsi"/>
        </w:rPr>
        <w:t>statistics benefits all e-invoicing participants</w:t>
      </w:r>
      <w:r w:rsidR="0069163C" w:rsidRPr="0069163C">
        <w:rPr>
          <w:rFonts w:cstheme="minorHAnsi"/>
        </w:rPr>
        <w:t xml:space="preserve"> </w:t>
      </w:r>
      <w:r w:rsidR="0069163C">
        <w:rPr>
          <w:rFonts w:cstheme="minorHAnsi"/>
        </w:rPr>
        <w:t>as it enables A-NZ Authorities to</w:t>
      </w:r>
      <w:r w:rsidR="00CD6C32">
        <w:rPr>
          <w:rFonts w:cstheme="minorHAnsi"/>
        </w:rPr>
        <w:t>:</w:t>
      </w:r>
    </w:p>
    <w:p w:rsidR="0063734E" w:rsidRPr="0063734E" w:rsidRDefault="00CD6C32" w:rsidP="00033485">
      <w:pPr>
        <w:pStyle w:val="ListParagraph"/>
        <w:numPr>
          <w:ilvl w:val="0"/>
          <w:numId w:val="11"/>
        </w:numPr>
        <w:spacing w:before="120" w:after="120" w:line="276" w:lineRule="auto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 xml:space="preserve">target </w:t>
      </w:r>
      <w:r w:rsidR="0063734E" w:rsidRPr="0063734E">
        <w:rPr>
          <w:rFonts w:cstheme="minorHAnsi"/>
        </w:rPr>
        <w:t>adoption</w:t>
      </w:r>
      <w:r>
        <w:rPr>
          <w:rFonts w:cstheme="minorHAnsi"/>
        </w:rPr>
        <w:t xml:space="preserve"> strategies</w:t>
      </w:r>
      <w:r w:rsidR="0063734E" w:rsidRPr="0063734E">
        <w:rPr>
          <w:rFonts w:cstheme="minorHAnsi"/>
        </w:rPr>
        <w:t xml:space="preserve"> </w:t>
      </w:r>
      <w:r w:rsidR="00BC2A9E">
        <w:rPr>
          <w:rFonts w:cstheme="minorHAnsi"/>
        </w:rPr>
        <w:t>–</w:t>
      </w:r>
      <w:r w:rsidR="00767996">
        <w:rPr>
          <w:rFonts w:cstheme="minorHAnsi"/>
        </w:rPr>
        <w:t xml:space="preserve"> </w:t>
      </w:r>
      <w:r w:rsidR="0063734E" w:rsidRPr="0063734E">
        <w:rPr>
          <w:rFonts w:cstheme="minorHAnsi"/>
        </w:rPr>
        <w:t>understanding</w:t>
      </w:r>
      <w:r w:rsidR="00BC2A9E">
        <w:rPr>
          <w:rFonts w:cstheme="minorHAnsi"/>
        </w:rPr>
        <w:t xml:space="preserve"> e-i</w:t>
      </w:r>
      <w:r w:rsidR="0063734E" w:rsidRPr="0063734E">
        <w:rPr>
          <w:rFonts w:cstheme="minorHAnsi"/>
        </w:rPr>
        <w:t>nvoice usage on a holistic basis and by segments and demographics</w:t>
      </w:r>
      <w:r w:rsidR="0063734E">
        <w:rPr>
          <w:rFonts w:cstheme="minorHAnsi"/>
        </w:rPr>
        <w:t xml:space="preserve"> will </w:t>
      </w:r>
      <w:r w:rsidR="0063734E" w:rsidRPr="0063734E">
        <w:rPr>
          <w:rFonts w:cstheme="minorHAnsi"/>
        </w:rPr>
        <w:t xml:space="preserve">aid communications and marketing activities, </w:t>
      </w:r>
      <w:r w:rsidR="0063734E">
        <w:rPr>
          <w:rFonts w:cstheme="minorHAnsi"/>
        </w:rPr>
        <w:t xml:space="preserve">including </w:t>
      </w:r>
      <w:r w:rsidR="00BC2A9E">
        <w:rPr>
          <w:rFonts w:cstheme="minorHAnsi"/>
        </w:rPr>
        <w:t xml:space="preserve">focussing on audience groups and </w:t>
      </w:r>
      <w:r w:rsidR="0063734E">
        <w:rPr>
          <w:rFonts w:cstheme="minorHAnsi"/>
        </w:rPr>
        <w:t>tailoring of m</w:t>
      </w:r>
      <w:r w:rsidR="00BC2A9E">
        <w:rPr>
          <w:rFonts w:cstheme="minorHAnsi"/>
        </w:rPr>
        <w:t>essages</w:t>
      </w:r>
      <w:r w:rsidR="0063734E">
        <w:rPr>
          <w:rFonts w:cstheme="minorHAnsi"/>
        </w:rPr>
        <w:t xml:space="preserve">, </w:t>
      </w:r>
      <w:r w:rsidR="0063734E" w:rsidRPr="0063734E">
        <w:rPr>
          <w:rFonts w:cstheme="minorHAnsi"/>
        </w:rPr>
        <w:t>and</w:t>
      </w:r>
    </w:p>
    <w:p w:rsidR="0063734E" w:rsidRDefault="0069163C" w:rsidP="00033485">
      <w:pPr>
        <w:pStyle w:val="ListParagraph"/>
        <w:numPr>
          <w:ilvl w:val="0"/>
          <w:numId w:val="11"/>
        </w:numPr>
        <w:spacing w:before="120" w:line="276" w:lineRule="auto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 xml:space="preserve">monitor and </w:t>
      </w:r>
      <w:r w:rsidR="00BC2A9E">
        <w:rPr>
          <w:rFonts w:cstheme="minorHAnsi"/>
        </w:rPr>
        <w:t>manag</w:t>
      </w:r>
      <w:r>
        <w:rPr>
          <w:rFonts w:cstheme="minorHAnsi"/>
        </w:rPr>
        <w:t>e</w:t>
      </w:r>
      <w:r w:rsidR="00BC2A9E">
        <w:rPr>
          <w:rFonts w:cstheme="minorHAnsi"/>
        </w:rPr>
        <w:t xml:space="preserve"> network performance </w:t>
      </w:r>
      <w:r w:rsidR="00767996">
        <w:rPr>
          <w:rFonts w:cstheme="minorHAnsi"/>
        </w:rPr>
        <w:t>–</w:t>
      </w:r>
      <w:r w:rsidR="0063734E">
        <w:rPr>
          <w:rFonts w:cstheme="minorHAnsi"/>
        </w:rPr>
        <w:t xml:space="preserve"> </w:t>
      </w:r>
      <w:r w:rsidR="00767996">
        <w:rPr>
          <w:rFonts w:cstheme="minorHAnsi"/>
        </w:rPr>
        <w:t xml:space="preserve">understanding </w:t>
      </w:r>
      <w:r w:rsidR="0063734E" w:rsidRPr="0063734E">
        <w:rPr>
          <w:rFonts w:cstheme="minorHAnsi"/>
        </w:rPr>
        <w:t>data flows in the network supports good governance</w:t>
      </w:r>
      <w:r w:rsidR="00BC2A9E">
        <w:rPr>
          <w:rFonts w:cstheme="minorHAnsi"/>
        </w:rPr>
        <w:t xml:space="preserve"> monitoring and decision making</w:t>
      </w:r>
      <w:r w:rsidR="00BC2A9E" w:rsidRPr="00BC2A9E">
        <w:rPr>
          <w:rFonts w:cstheme="minorHAnsi"/>
        </w:rPr>
        <w:t xml:space="preserve"> </w:t>
      </w:r>
      <w:r w:rsidR="00CD6C32">
        <w:rPr>
          <w:rFonts w:cstheme="minorHAnsi"/>
        </w:rPr>
        <w:t xml:space="preserve">to </w:t>
      </w:r>
      <w:r w:rsidR="00BC2A9E" w:rsidRPr="0063734E">
        <w:rPr>
          <w:rFonts w:cstheme="minorHAnsi"/>
        </w:rPr>
        <w:t>ensure the network is healthy and gro</w:t>
      </w:r>
      <w:r w:rsidR="00BC2A9E">
        <w:rPr>
          <w:rFonts w:cstheme="minorHAnsi"/>
        </w:rPr>
        <w:t>wth is in line with projections.</w:t>
      </w:r>
    </w:p>
    <w:p w:rsidR="000628ED" w:rsidRDefault="000628ED" w:rsidP="000628ED">
      <w:pPr>
        <w:spacing w:before="120" w:line="276" w:lineRule="auto"/>
        <w:rPr>
          <w:rFonts w:cstheme="minorHAnsi"/>
        </w:rPr>
      </w:pPr>
      <w:r w:rsidRPr="000628ED">
        <w:rPr>
          <w:rFonts w:cstheme="minorHAnsi"/>
        </w:rPr>
        <w:t xml:space="preserve">The information reported is metadata associated with transactions and does not include any </w:t>
      </w:r>
      <w:r w:rsidR="0085070E">
        <w:rPr>
          <w:rFonts w:cstheme="minorHAnsi"/>
        </w:rPr>
        <w:t>information</w:t>
      </w:r>
      <w:r w:rsidR="0085070E" w:rsidRPr="000628ED">
        <w:rPr>
          <w:rFonts w:cstheme="minorHAnsi"/>
        </w:rPr>
        <w:t xml:space="preserve"> </w:t>
      </w:r>
      <w:r w:rsidRPr="000628ED">
        <w:rPr>
          <w:rFonts w:cstheme="minorHAnsi"/>
        </w:rPr>
        <w:t>from the invoice</w:t>
      </w:r>
      <w:r w:rsidR="0085070E">
        <w:rPr>
          <w:rFonts w:cstheme="minorHAnsi"/>
        </w:rPr>
        <w:t xml:space="preserve"> or identifiable personal information</w:t>
      </w:r>
      <w:r w:rsidRPr="000628ED">
        <w:rPr>
          <w:rFonts w:cstheme="minorHAnsi"/>
        </w:rPr>
        <w:t>.</w:t>
      </w:r>
    </w:p>
    <w:p w:rsidR="000628ED" w:rsidRPr="000628ED" w:rsidRDefault="000628ED" w:rsidP="000628ED">
      <w:pPr>
        <w:spacing w:before="120" w:line="276" w:lineRule="auto"/>
        <w:rPr>
          <w:rFonts w:cstheme="minorHAnsi"/>
        </w:rPr>
      </w:pPr>
      <w:r>
        <w:rPr>
          <w:rFonts w:cstheme="minorHAnsi"/>
        </w:rPr>
        <w:t xml:space="preserve">Aggregated data will be published to provide information and transparency on the performance of the network </w:t>
      </w:r>
      <w:r w:rsidR="00954015">
        <w:rPr>
          <w:rFonts w:cstheme="minorHAnsi"/>
        </w:rPr>
        <w:t>to</w:t>
      </w:r>
      <w:r>
        <w:rPr>
          <w:rFonts w:cstheme="minorHAnsi"/>
        </w:rPr>
        <w:t xml:space="preserve"> industry and other interested stakeholders</w:t>
      </w:r>
      <w:r w:rsidR="00954015">
        <w:rPr>
          <w:rFonts w:cstheme="minorHAnsi"/>
        </w:rPr>
        <w:t>. This will not include any</w:t>
      </w:r>
      <w:r w:rsidR="0085070E">
        <w:rPr>
          <w:rFonts w:cstheme="minorHAnsi"/>
        </w:rPr>
        <w:t xml:space="preserve"> information which would</w:t>
      </w:r>
      <w:r w:rsidR="00954015">
        <w:rPr>
          <w:rFonts w:cstheme="minorHAnsi"/>
        </w:rPr>
        <w:t xml:space="preserve"> </w:t>
      </w:r>
      <w:r w:rsidRPr="000628ED">
        <w:rPr>
          <w:rFonts w:cstheme="minorHAnsi"/>
        </w:rPr>
        <w:t>identif</w:t>
      </w:r>
      <w:r w:rsidR="0085070E">
        <w:rPr>
          <w:rFonts w:cstheme="minorHAnsi"/>
        </w:rPr>
        <w:t>y</w:t>
      </w:r>
      <w:r w:rsidRPr="000628ED">
        <w:rPr>
          <w:rFonts w:cstheme="minorHAnsi"/>
        </w:rPr>
        <w:t xml:space="preserve"> </w:t>
      </w:r>
      <w:r w:rsidR="0085070E">
        <w:rPr>
          <w:rFonts w:cstheme="minorHAnsi"/>
        </w:rPr>
        <w:t xml:space="preserve">any </w:t>
      </w:r>
      <w:r w:rsidRPr="000628ED">
        <w:rPr>
          <w:rFonts w:cstheme="minorHAnsi"/>
        </w:rPr>
        <w:t>Service Provider or end</w:t>
      </w:r>
      <w:r w:rsidR="00954015">
        <w:rPr>
          <w:rFonts w:cstheme="minorHAnsi"/>
        </w:rPr>
        <w:t>-</w:t>
      </w:r>
      <w:r w:rsidRPr="000628ED">
        <w:rPr>
          <w:rFonts w:cstheme="minorHAnsi"/>
        </w:rPr>
        <w:t>user.</w:t>
      </w:r>
    </w:p>
    <w:p w:rsidR="009E5843" w:rsidRDefault="009E5843" w:rsidP="009E5843">
      <w:pPr>
        <w:spacing w:before="120" w:line="276" w:lineRule="auto"/>
        <w:rPr>
          <w:rFonts w:cstheme="minorHAnsi"/>
        </w:rPr>
      </w:pPr>
    </w:p>
    <w:p w:rsidR="009E5843" w:rsidRDefault="009E5843" w:rsidP="00D605C1">
      <w:pPr>
        <w:pStyle w:val="Heading4"/>
      </w:pPr>
      <w:r w:rsidRPr="009E5843">
        <w:lastRenderedPageBreak/>
        <w:t>PEPPOL Centralised Reporting</w:t>
      </w:r>
    </w:p>
    <w:p w:rsidR="000628ED" w:rsidRPr="000628ED" w:rsidRDefault="000628ED" w:rsidP="000628ED">
      <w:pPr>
        <w:spacing w:before="120" w:line="276" w:lineRule="auto"/>
        <w:rPr>
          <w:rFonts w:cstheme="minorHAnsi"/>
        </w:rPr>
      </w:pPr>
      <w:r w:rsidRPr="000628ED">
        <w:rPr>
          <w:rFonts w:cstheme="minorHAnsi"/>
        </w:rPr>
        <w:t>Reporting requirements are under review by OpenPEPPOL, with the intention of:</w:t>
      </w:r>
    </w:p>
    <w:p w:rsidR="000628ED" w:rsidRPr="000628ED" w:rsidRDefault="000628ED" w:rsidP="000628ED">
      <w:pPr>
        <w:pStyle w:val="ListParagraph"/>
        <w:numPr>
          <w:ilvl w:val="0"/>
          <w:numId w:val="25"/>
        </w:numPr>
        <w:spacing w:before="120" w:line="276" w:lineRule="auto"/>
        <w:ind w:left="426" w:hanging="426"/>
        <w:rPr>
          <w:rFonts w:cstheme="minorHAnsi"/>
        </w:rPr>
      </w:pPr>
      <w:r w:rsidRPr="000628ED">
        <w:rPr>
          <w:rFonts w:cstheme="minorHAnsi"/>
        </w:rPr>
        <w:t xml:space="preserve">replacing reporting to </w:t>
      </w:r>
      <w:r>
        <w:rPr>
          <w:rFonts w:cstheme="minorHAnsi"/>
        </w:rPr>
        <w:t>individual</w:t>
      </w:r>
      <w:r w:rsidRPr="000628ED">
        <w:rPr>
          <w:rFonts w:cstheme="minorHAnsi"/>
        </w:rPr>
        <w:t xml:space="preserve"> PEPPOL Authorities with standardised, automated reporting to OpenPEPPOL as the central Coordinating Authority; and</w:t>
      </w:r>
    </w:p>
    <w:p w:rsidR="000628ED" w:rsidRPr="000628ED" w:rsidRDefault="000628ED" w:rsidP="0070599F">
      <w:pPr>
        <w:pStyle w:val="ListParagraph"/>
        <w:numPr>
          <w:ilvl w:val="0"/>
          <w:numId w:val="25"/>
        </w:numPr>
        <w:spacing w:before="120" w:line="276" w:lineRule="auto"/>
        <w:ind w:left="425" w:hanging="425"/>
        <w:contextualSpacing w:val="0"/>
        <w:rPr>
          <w:rFonts w:cstheme="minorHAnsi"/>
        </w:rPr>
      </w:pPr>
      <w:r w:rsidRPr="000628ED">
        <w:rPr>
          <w:rFonts w:cstheme="minorHAnsi"/>
        </w:rPr>
        <w:t>OpenPEPPOL subsequently making the data available to PEPPOL Authorities.</w:t>
      </w:r>
    </w:p>
    <w:p w:rsidR="009E5843" w:rsidRPr="000628ED" w:rsidRDefault="000628ED" w:rsidP="009E5843">
      <w:pPr>
        <w:spacing w:before="120" w:line="276" w:lineRule="auto"/>
        <w:rPr>
          <w:rFonts w:cstheme="minorHAnsi"/>
        </w:rPr>
      </w:pPr>
      <w:r>
        <w:rPr>
          <w:rFonts w:cstheme="minorHAnsi"/>
        </w:rPr>
        <w:t>Until this</w:t>
      </w:r>
      <w:r w:rsidRPr="000628ED">
        <w:rPr>
          <w:rFonts w:cstheme="minorHAnsi"/>
        </w:rPr>
        <w:t xml:space="preserve"> centralised reporting </w:t>
      </w:r>
      <w:r w:rsidR="005C46EA">
        <w:rPr>
          <w:rFonts w:cstheme="minorHAnsi"/>
        </w:rPr>
        <w:t>is in place,</w:t>
      </w:r>
      <w:r w:rsidRPr="000628ED">
        <w:rPr>
          <w:rFonts w:cstheme="minorHAnsi"/>
        </w:rPr>
        <w:t xml:space="preserve"> </w:t>
      </w:r>
      <w:r>
        <w:rPr>
          <w:rFonts w:cstheme="minorHAnsi"/>
        </w:rPr>
        <w:t xml:space="preserve">the reporting requirements have been kept to a </w:t>
      </w:r>
      <w:r w:rsidR="009721A7">
        <w:rPr>
          <w:rFonts w:cstheme="minorHAnsi"/>
        </w:rPr>
        <w:t xml:space="preserve">minimum </w:t>
      </w:r>
      <w:r>
        <w:rPr>
          <w:rFonts w:cstheme="minorHAnsi"/>
        </w:rPr>
        <w:t xml:space="preserve">and to </w:t>
      </w:r>
      <w:r w:rsidR="009721A7">
        <w:rPr>
          <w:rFonts w:cstheme="minorHAnsi"/>
        </w:rPr>
        <w:t xml:space="preserve">reduce </w:t>
      </w:r>
      <w:r>
        <w:rPr>
          <w:rFonts w:cstheme="minorHAnsi"/>
        </w:rPr>
        <w:t>f</w:t>
      </w:r>
      <w:r w:rsidRPr="000628ED">
        <w:rPr>
          <w:rFonts w:cstheme="minorHAnsi"/>
        </w:rPr>
        <w:t xml:space="preserve">uture impacts on Service Providers, </w:t>
      </w:r>
      <w:r>
        <w:rPr>
          <w:rFonts w:cstheme="minorHAnsi"/>
        </w:rPr>
        <w:t xml:space="preserve">the </w:t>
      </w:r>
      <w:r w:rsidRPr="000628ED">
        <w:rPr>
          <w:rFonts w:cstheme="minorHAnsi"/>
        </w:rPr>
        <w:t>A-NZ reporting align</w:t>
      </w:r>
      <w:r>
        <w:rPr>
          <w:rFonts w:cstheme="minorHAnsi"/>
        </w:rPr>
        <w:t>s</w:t>
      </w:r>
      <w:r w:rsidRPr="000628ED">
        <w:rPr>
          <w:rFonts w:cstheme="minorHAnsi"/>
        </w:rPr>
        <w:t xml:space="preserve"> closely with indications from OpenPEPPOL about likely, future reporting. </w:t>
      </w:r>
    </w:p>
    <w:p w:rsidR="0025016C" w:rsidRPr="00D605C1" w:rsidRDefault="005C70D0" w:rsidP="00D605C1">
      <w:pPr>
        <w:pStyle w:val="Heading4"/>
      </w:pPr>
      <w:r w:rsidRPr="00D605C1">
        <w:t>Annex 5 re</w:t>
      </w:r>
      <w:r w:rsidR="00522EE2" w:rsidRPr="00D605C1">
        <w:t>quirements</w:t>
      </w:r>
    </w:p>
    <w:p w:rsidR="006739A4" w:rsidRPr="00E84332" w:rsidRDefault="006739A4" w:rsidP="00033485">
      <w:pPr>
        <w:spacing w:line="276" w:lineRule="auto"/>
      </w:pPr>
      <w:r w:rsidRPr="00E84332">
        <w:t>Annex 5 to the PEPPOL Transport Infrastructure Agreements for A</w:t>
      </w:r>
      <w:r w:rsidR="005E3976">
        <w:t xml:space="preserve">ustralia and </w:t>
      </w:r>
      <w:r w:rsidRPr="00E84332">
        <w:t>N</w:t>
      </w:r>
      <w:r w:rsidR="005E3976">
        <w:t xml:space="preserve">ew </w:t>
      </w:r>
      <w:r w:rsidRPr="00E84332">
        <w:t>Z</w:t>
      </w:r>
      <w:r w:rsidR="005E3976">
        <w:t>ealand</w:t>
      </w:r>
      <w:r w:rsidRPr="00E84332">
        <w:t xml:space="preserve"> states:</w:t>
      </w:r>
    </w:p>
    <w:p w:rsidR="006739A4" w:rsidRPr="00463080" w:rsidRDefault="0063734E" w:rsidP="0063734E">
      <w:pPr>
        <w:ind w:firstLine="720"/>
        <w:rPr>
          <w:i/>
        </w:rPr>
      </w:pPr>
      <w:r>
        <w:rPr>
          <w:i/>
        </w:rPr>
        <w:t>2.2.3</w:t>
      </w:r>
      <w:r w:rsidR="00DD7F6E">
        <w:rPr>
          <w:i/>
        </w:rPr>
        <w:t xml:space="preserve"> </w:t>
      </w:r>
      <w:r>
        <w:rPr>
          <w:i/>
        </w:rPr>
        <w:t>Reporting</w:t>
      </w:r>
    </w:p>
    <w:p w:rsidR="0063734E" w:rsidRPr="0063734E" w:rsidRDefault="0063734E" w:rsidP="0063734E">
      <w:pPr>
        <w:pStyle w:val="Pippo"/>
        <w:ind w:left="1211" w:firstLine="0"/>
        <w:rPr>
          <w:rFonts w:asciiTheme="minorHAnsi" w:hAnsiTheme="minorHAnsi"/>
          <w:bCs/>
          <w:i/>
          <w:sz w:val="22"/>
          <w:szCs w:val="20"/>
          <w:lang w:val="en-GB"/>
        </w:rPr>
      </w:pP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 xml:space="preserve">PEPPOL </w:t>
      </w:r>
      <w:r w:rsidRPr="003874E3">
        <w:rPr>
          <w:rFonts w:asciiTheme="minorHAnsi" w:hAnsiTheme="minorHAnsi"/>
          <w:bCs/>
          <w:i/>
          <w:sz w:val="22"/>
          <w:szCs w:val="20"/>
          <w:lang w:val="en-GB"/>
        </w:rPr>
        <w:t>AP Providers</w:t>
      </w: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 xml:space="preserve"> shall provide a report to the PEPPOL Authority, on a monthly basis that includes the following information:</w:t>
      </w:r>
    </w:p>
    <w:p w:rsidR="0063734E" w:rsidRPr="0063734E" w:rsidRDefault="0063734E" w:rsidP="00767996">
      <w:pPr>
        <w:pStyle w:val="Pippo"/>
        <w:numPr>
          <w:ilvl w:val="0"/>
          <w:numId w:val="10"/>
        </w:numPr>
        <w:spacing w:before="120"/>
        <w:ind w:left="1571"/>
        <w:rPr>
          <w:rFonts w:asciiTheme="minorHAnsi" w:hAnsiTheme="minorHAnsi"/>
          <w:bCs/>
          <w:i/>
          <w:sz w:val="22"/>
          <w:szCs w:val="20"/>
          <w:lang w:val="en-GB"/>
        </w:rPr>
      </w:pP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>number of effective senders;</w:t>
      </w:r>
    </w:p>
    <w:p w:rsidR="0063734E" w:rsidRPr="0063734E" w:rsidRDefault="0063734E" w:rsidP="00767996">
      <w:pPr>
        <w:pStyle w:val="Pippo"/>
        <w:numPr>
          <w:ilvl w:val="0"/>
          <w:numId w:val="10"/>
        </w:numPr>
        <w:spacing w:before="120"/>
        <w:ind w:left="1571"/>
        <w:rPr>
          <w:rFonts w:asciiTheme="minorHAnsi" w:hAnsiTheme="minorHAnsi"/>
          <w:bCs/>
          <w:i/>
          <w:sz w:val="22"/>
          <w:szCs w:val="20"/>
          <w:lang w:val="en-GB"/>
        </w:rPr>
      </w:pP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>number of transactions sent per Document Type ID; and</w:t>
      </w:r>
    </w:p>
    <w:p w:rsidR="0063734E" w:rsidRPr="0063734E" w:rsidRDefault="0063734E" w:rsidP="00033485">
      <w:pPr>
        <w:pStyle w:val="Pippo"/>
        <w:numPr>
          <w:ilvl w:val="0"/>
          <w:numId w:val="10"/>
        </w:numPr>
        <w:spacing w:before="120" w:after="120"/>
        <w:ind w:left="1570" w:hanging="357"/>
        <w:rPr>
          <w:rFonts w:asciiTheme="minorHAnsi" w:hAnsiTheme="minorHAnsi"/>
          <w:bCs/>
          <w:i/>
          <w:sz w:val="22"/>
          <w:szCs w:val="20"/>
          <w:lang w:val="en-GB"/>
        </w:rPr>
      </w:pP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>number of transactions received per Document Type ID.</w:t>
      </w:r>
    </w:p>
    <w:p w:rsidR="0063734E" w:rsidRPr="0063734E" w:rsidRDefault="0063734E" w:rsidP="00033485">
      <w:pPr>
        <w:pStyle w:val="Pippo"/>
        <w:spacing w:before="120" w:after="120"/>
        <w:ind w:left="1213" w:firstLine="0"/>
        <w:rPr>
          <w:rFonts w:asciiTheme="minorHAnsi" w:hAnsiTheme="minorHAnsi"/>
          <w:bCs/>
          <w:i/>
          <w:sz w:val="22"/>
          <w:szCs w:val="20"/>
          <w:lang w:val="en-GB"/>
        </w:rPr>
      </w:pPr>
      <w:r w:rsidRPr="0063734E">
        <w:rPr>
          <w:rFonts w:asciiTheme="minorHAnsi" w:hAnsiTheme="minorHAnsi"/>
          <w:bCs/>
          <w:i/>
          <w:sz w:val="22"/>
          <w:szCs w:val="20"/>
          <w:lang w:val="en-GB"/>
        </w:rPr>
        <w:t xml:space="preserve">Reports shall be sent to the PEPPOL Authority no later than 10 working days following the end of the calendar month being reported. </w:t>
      </w:r>
    </w:p>
    <w:p w:rsidR="00BE7F0F" w:rsidRDefault="00737638" w:rsidP="00BE7F0F">
      <w:pPr>
        <w:pStyle w:val="Heading3"/>
      </w:pPr>
      <w:r>
        <w:t>Guidance</w:t>
      </w:r>
    </w:p>
    <w:p w:rsidR="00B92E50" w:rsidRDefault="00B5090F" w:rsidP="00767996">
      <w:pPr>
        <w:pStyle w:val="ListParagraph"/>
        <w:numPr>
          <w:ilvl w:val="0"/>
          <w:numId w:val="5"/>
        </w:numPr>
        <w:spacing w:before="360" w:line="240" w:lineRule="auto"/>
        <w:ind w:left="357" w:hanging="357"/>
      </w:pPr>
      <w:r>
        <w:t>Reporting T</w:t>
      </w:r>
      <w:r w:rsidR="00B92E50">
        <w:t>emplate</w:t>
      </w:r>
    </w:p>
    <w:p w:rsidR="00AD700F" w:rsidRDefault="00AD700F" w:rsidP="00AD700F">
      <w:pPr>
        <w:pStyle w:val="ListParagraph"/>
        <w:spacing w:before="360" w:line="240" w:lineRule="auto"/>
        <w:ind w:left="357"/>
      </w:pPr>
    </w:p>
    <w:p w:rsidR="002569AC" w:rsidRPr="00B5090F" w:rsidRDefault="002569AC" w:rsidP="00AD700F">
      <w:pPr>
        <w:pStyle w:val="ListParagraph"/>
        <w:spacing w:before="360" w:line="240" w:lineRule="auto"/>
        <w:ind w:left="357"/>
      </w:pPr>
      <w:r w:rsidRPr="00B5090F">
        <w:t>Repor</w:t>
      </w:r>
      <w:r w:rsidR="00B5090F" w:rsidRPr="00B5090F">
        <w:t xml:space="preserve">ts are to be provided to the respective Australia or New Zealand PEPPOL Authority </w:t>
      </w:r>
      <w:r w:rsidR="00B5090F">
        <w:t xml:space="preserve">by completing the Reporting Template in </w:t>
      </w:r>
      <w:r w:rsidR="00B5090F" w:rsidRPr="00B5090F">
        <w:rPr>
          <w:b/>
        </w:rPr>
        <w:t>Appendix 1</w:t>
      </w:r>
      <w:r w:rsidR="00B5090F">
        <w:rPr>
          <w:b/>
        </w:rPr>
        <w:t>:</w:t>
      </w:r>
    </w:p>
    <w:p w:rsidR="00986D09" w:rsidRDefault="00986D09" w:rsidP="00614986">
      <w:pPr>
        <w:pStyle w:val="ListParagraph"/>
        <w:spacing w:before="360" w:line="240" w:lineRule="auto"/>
        <w:rPr>
          <w:highlight w:val="yellow"/>
        </w:rPr>
      </w:pPr>
    </w:p>
    <w:p w:rsidR="00B5090F" w:rsidRDefault="00B5090F" w:rsidP="00614986">
      <w:pPr>
        <w:pStyle w:val="ListParagraph"/>
        <w:spacing w:before="360" w:line="240" w:lineRule="auto"/>
      </w:pPr>
      <w:r>
        <w:t>Australia:</w:t>
      </w:r>
      <w:r>
        <w:tab/>
      </w:r>
      <w:r>
        <w:tab/>
      </w:r>
      <w:hyperlink r:id="rId13" w:history="1">
        <w:r w:rsidR="00BA2A5F" w:rsidRPr="00754683">
          <w:rPr>
            <w:rStyle w:val="Hyperlink"/>
          </w:rPr>
          <w:t>e-invoicing@ato.gov.au</w:t>
        </w:r>
      </w:hyperlink>
    </w:p>
    <w:p w:rsidR="00B5090F" w:rsidRDefault="00B5090F" w:rsidP="00614986">
      <w:pPr>
        <w:pStyle w:val="ListParagraph"/>
        <w:spacing w:before="360" w:line="240" w:lineRule="auto"/>
      </w:pPr>
      <w:r>
        <w:t>New Zealand:</w:t>
      </w:r>
      <w:r>
        <w:tab/>
      </w:r>
      <w:r w:rsidR="00614986">
        <w:tab/>
      </w:r>
      <w:hyperlink r:id="rId14" w:history="1">
        <w:r w:rsidR="00DF14FB">
          <w:rPr>
            <w:rStyle w:val="Hyperlink"/>
            <w:lang w:val="en-NZ"/>
          </w:rPr>
          <w:t>support@nzpeppol.govt.nz</w:t>
        </w:r>
      </w:hyperlink>
    </w:p>
    <w:p w:rsidR="00AD700F" w:rsidRDefault="00AD700F" w:rsidP="00AD700F">
      <w:pPr>
        <w:pStyle w:val="ListParagraph"/>
        <w:spacing w:before="360" w:line="240" w:lineRule="auto"/>
        <w:ind w:left="357"/>
      </w:pPr>
    </w:p>
    <w:p w:rsidR="00986D09" w:rsidRDefault="00986D09" w:rsidP="00AD700F">
      <w:pPr>
        <w:pStyle w:val="ListParagraph"/>
        <w:spacing w:before="360" w:line="240" w:lineRule="auto"/>
        <w:ind w:left="357"/>
      </w:pPr>
    </w:p>
    <w:p w:rsidR="00B5090F" w:rsidRDefault="00B5090F" w:rsidP="00B5090F">
      <w:pPr>
        <w:pStyle w:val="ListParagraph"/>
        <w:numPr>
          <w:ilvl w:val="0"/>
          <w:numId w:val="5"/>
        </w:numPr>
        <w:spacing w:before="360" w:line="240" w:lineRule="auto"/>
        <w:ind w:left="357" w:hanging="357"/>
      </w:pPr>
      <w:r>
        <w:t>Reporting Format</w:t>
      </w:r>
    </w:p>
    <w:p w:rsidR="00B5090F" w:rsidRDefault="00B5090F" w:rsidP="00AD700F">
      <w:pPr>
        <w:pStyle w:val="ListParagraph"/>
        <w:spacing w:before="360" w:line="240" w:lineRule="auto"/>
        <w:ind w:left="357"/>
      </w:pPr>
    </w:p>
    <w:p w:rsidR="00B5090F" w:rsidRDefault="00B5090F" w:rsidP="00B5090F">
      <w:pPr>
        <w:pStyle w:val="ListParagraph"/>
        <w:spacing w:before="360" w:line="240" w:lineRule="auto"/>
        <w:ind w:left="357"/>
      </w:pPr>
      <w:r>
        <w:t xml:space="preserve">The </w:t>
      </w:r>
      <w:r w:rsidR="00D85804">
        <w:t xml:space="preserve">information in the </w:t>
      </w:r>
      <w:r>
        <w:t>Reporting Template must be provided in a readily accessible format – e.g.:</w:t>
      </w:r>
    </w:p>
    <w:p w:rsidR="00B5090F" w:rsidRDefault="00B5090F" w:rsidP="00B5090F">
      <w:pPr>
        <w:pStyle w:val="ListParagraph"/>
        <w:numPr>
          <w:ilvl w:val="0"/>
          <w:numId w:val="15"/>
        </w:numPr>
        <w:spacing w:before="360" w:line="240" w:lineRule="auto"/>
      </w:pPr>
      <w:r>
        <w:t>CSV file</w:t>
      </w:r>
    </w:p>
    <w:p w:rsidR="00B5090F" w:rsidRDefault="00B5090F" w:rsidP="00B5090F">
      <w:pPr>
        <w:pStyle w:val="ListParagraph"/>
        <w:numPr>
          <w:ilvl w:val="0"/>
          <w:numId w:val="15"/>
        </w:numPr>
        <w:spacing w:before="360" w:line="240" w:lineRule="auto"/>
      </w:pPr>
      <w:r>
        <w:t>XLS file</w:t>
      </w:r>
    </w:p>
    <w:p w:rsidR="00B5090F" w:rsidRDefault="00B5090F" w:rsidP="00B5090F">
      <w:pPr>
        <w:pStyle w:val="ListParagraph"/>
        <w:numPr>
          <w:ilvl w:val="0"/>
          <w:numId w:val="15"/>
        </w:numPr>
        <w:spacing w:before="360" w:line="240" w:lineRule="auto"/>
      </w:pPr>
      <w:r>
        <w:t>email</w:t>
      </w:r>
    </w:p>
    <w:p w:rsidR="00B5090F" w:rsidRDefault="00B5090F" w:rsidP="00B5090F">
      <w:pPr>
        <w:pStyle w:val="ListParagraph"/>
        <w:numPr>
          <w:ilvl w:val="0"/>
          <w:numId w:val="15"/>
        </w:numPr>
        <w:spacing w:before="360" w:line="240" w:lineRule="auto"/>
      </w:pPr>
      <w:r>
        <w:t>Microsoft Word document</w:t>
      </w:r>
    </w:p>
    <w:p w:rsidR="00B5090F" w:rsidRDefault="00B5090F" w:rsidP="00B5090F">
      <w:pPr>
        <w:pStyle w:val="ListParagraph"/>
        <w:numPr>
          <w:ilvl w:val="0"/>
          <w:numId w:val="15"/>
        </w:numPr>
        <w:spacing w:before="360" w:line="240" w:lineRule="auto"/>
      </w:pPr>
      <w:r>
        <w:t>PDF file</w:t>
      </w:r>
    </w:p>
    <w:p w:rsidR="00AD700F" w:rsidRDefault="00AD700F" w:rsidP="00AD700F">
      <w:pPr>
        <w:pStyle w:val="ListParagraph"/>
        <w:spacing w:before="360" w:line="240" w:lineRule="auto"/>
        <w:ind w:left="357"/>
      </w:pPr>
    </w:p>
    <w:p w:rsidR="0019254F" w:rsidRDefault="0069163C" w:rsidP="00A874C3">
      <w:pPr>
        <w:pStyle w:val="ListParagraph"/>
        <w:numPr>
          <w:ilvl w:val="0"/>
          <w:numId w:val="5"/>
        </w:numPr>
        <w:spacing w:before="360" w:line="240" w:lineRule="auto"/>
        <w:ind w:left="357" w:hanging="357"/>
      </w:pPr>
      <w:r>
        <w:t xml:space="preserve">Country </w:t>
      </w:r>
      <w:r w:rsidR="00776468">
        <w:t>statistics</w:t>
      </w:r>
    </w:p>
    <w:p w:rsidR="00776468" w:rsidRDefault="0019254F" w:rsidP="0069163C">
      <w:pPr>
        <w:spacing w:before="360" w:line="240" w:lineRule="auto"/>
        <w:ind w:left="357"/>
      </w:pPr>
      <w:r>
        <w:t xml:space="preserve">AP Providers may be </w:t>
      </w:r>
      <w:r w:rsidR="00776468">
        <w:t>providing services to end-users of</w:t>
      </w:r>
      <w:r>
        <w:t xml:space="preserve"> more than one </w:t>
      </w:r>
      <w:r w:rsidR="00776468">
        <w:t>domain/country</w:t>
      </w:r>
      <w:r>
        <w:t xml:space="preserve"> (i.e. Australia</w:t>
      </w:r>
      <w:r w:rsidR="0069163C">
        <w:t xml:space="preserve"> and </w:t>
      </w:r>
      <w:r>
        <w:t>New Zealand</w:t>
      </w:r>
      <w:r w:rsidR="0069163C">
        <w:t xml:space="preserve"> or in a number of countries internationally</w:t>
      </w:r>
      <w:r>
        <w:t xml:space="preserve">). </w:t>
      </w:r>
    </w:p>
    <w:p w:rsidR="00A45056" w:rsidRDefault="00A45056" w:rsidP="00776468">
      <w:pPr>
        <w:spacing w:before="240" w:line="240" w:lineRule="auto"/>
        <w:ind w:left="357"/>
      </w:pPr>
      <w:r>
        <w:t xml:space="preserve">AP Providers must </w:t>
      </w:r>
      <w:r w:rsidR="0069163C">
        <w:t xml:space="preserve">report </w:t>
      </w:r>
      <w:r w:rsidR="00776468">
        <w:t xml:space="preserve">only </w:t>
      </w:r>
      <w:r w:rsidR="0069163C">
        <w:t xml:space="preserve">statistics </w:t>
      </w:r>
      <w:r>
        <w:t xml:space="preserve">relevant </w:t>
      </w:r>
      <w:r w:rsidR="00776468">
        <w:t>to e</w:t>
      </w:r>
      <w:r>
        <w:t xml:space="preserve">ach PEPPOL Authority </w:t>
      </w:r>
      <w:r w:rsidR="00776468">
        <w:t xml:space="preserve">relating to their domain </w:t>
      </w:r>
      <w:r>
        <w:t>– i.e.</w:t>
      </w:r>
    </w:p>
    <w:p w:rsidR="0069163C" w:rsidRDefault="00A45056" w:rsidP="00A45056">
      <w:pPr>
        <w:pStyle w:val="ListParagraph"/>
        <w:numPr>
          <w:ilvl w:val="0"/>
          <w:numId w:val="23"/>
        </w:numPr>
        <w:spacing w:before="120" w:line="240" w:lineRule="auto"/>
        <w:ind w:left="1139" w:hanging="357"/>
      </w:pPr>
      <w:r>
        <w:t>statistics relating to Australian end-users are to be reported to the Australian PEPPOL Authority</w:t>
      </w:r>
    </w:p>
    <w:p w:rsidR="00A45056" w:rsidRDefault="00A45056" w:rsidP="00A45056">
      <w:pPr>
        <w:pStyle w:val="ListParagraph"/>
        <w:numPr>
          <w:ilvl w:val="0"/>
          <w:numId w:val="23"/>
        </w:numPr>
        <w:spacing w:before="120" w:line="240" w:lineRule="auto"/>
        <w:ind w:left="1139" w:hanging="357"/>
        <w:contextualSpacing w:val="0"/>
      </w:pPr>
      <w:r>
        <w:t>statistics relating to New Zealand end-users are to be reported to the New Zealand PEPPOL Authority</w:t>
      </w:r>
    </w:p>
    <w:p w:rsidR="003A1F0D" w:rsidRDefault="003A1F0D" w:rsidP="003A1F0D">
      <w:pPr>
        <w:spacing w:before="240" w:line="240" w:lineRule="auto"/>
        <w:ind w:left="357"/>
      </w:pPr>
      <w:r>
        <w:t>For example, if an Australian business sends an e-invoice to a New Zealand business, this would be reported as:</w:t>
      </w:r>
    </w:p>
    <w:p w:rsidR="003A1F0D" w:rsidRDefault="003A1F0D" w:rsidP="003A1F0D">
      <w:pPr>
        <w:spacing w:before="240" w:line="240" w:lineRule="auto"/>
        <w:ind w:left="357"/>
      </w:pPr>
      <w:r>
        <w:tab/>
        <w:t>To Australian PEPPOL Authority:</w:t>
      </w:r>
    </w:p>
    <w:p w:rsidR="003A1F0D" w:rsidRDefault="003A1F0D" w:rsidP="003A1F0D">
      <w:pPr>
        <w:pStyle w:val="ListParagraph"/>
        <w:numPr>
          <w:ilvl w:val="0"/>
          <w:numId w:val="27"/>
        </w:numPr>
        <w:spacing w:before="240" w:line="240" w:lineRule="auto"/>
      </w:pPr>
      <w:r>
        <w:t>Effective sender = 1</w:t>
      </w:r>
    </w:p>
    <w:p w:rsidR="003A1F0D" w:rsidRDefault="003A1F0D" w:rsidP="003A1F0D">
      <w:pPr>
        <w:pStyle w:val="ListParagraph"/>
        <w:numPr>
          <w:ilvl w:val="0"/>
          <w:numId w:val="27"/>
        </w:numPr>
        <w:spacing w:before="240" w:line="240" w:lineRule="auto"/>
      </w:pPr>
      <w:r>
        <w:t>A-NZ Invoice Sent = 1</w:t>
      </w:r>
    </w:p>
    <w:p w:rsidR="003A1F0D" w:rsidRDefault="003A1F0D" w:rsidP="003A1F0D">
      <w:pPr>
        <w:pStyle w:val="ListParagraph"/>
        <w:spacing w:before="240" w:line="240" w:lineRule="auto"/>
        <w:ind w:left="2160"/>
      </w:pPr>
    </w:p>
    <w:p w:rsidR="003A1F0D" w:rsidRDefault="003A1F0D" w:rsidP="003A1F0D">
      <w:pPr>
        <w:spacing w:before="240" w:line="240" w:lineRule="auto"/>
        <w:ind w:left="357"/>
      </w:pPr>
      <w:r>
        <w:tab/>
        <w:t>To New Zealand PEPPOL Authority:</w:t>
      </w:r>
    </w:p>
    <w:p w:rsidR="003A1F0D" w:rsidRDefault="003A1F0D" w:rsidP="003A1F0D">
      <w:pPr>
        <w:pStyle w:val="ListParagraph"/>
        <w:numPr>
          <w:ilvl w:val="0"/>
          <w:numId w:val="27"/>
        </w:numPr>
        <w:spacing w:before="240" w:line="240" w:lineRule="auto"/>
      </w:pPr>
      <w:r>
        <w:t>A-NZ Invoice Received = 1</w:t>
      </w:r>
    </w:p>
    <w:p w:rsidR="003A1F0D" w:rsidRDefault="0069163C" w:rsidP="003A1F0D">
      <w:pPr>
        <w:spacing w:before="240" w:line="240" w:lineRule="auto"/>
        <w:ind w:left="357"/>
      </w:pPr>
      <w:r>
        <w:t xml:space="preserve">The AP Provider </w:t>
      </w:r>
      <w:r w:rsidR="00776468">
        <w:t>must</w:t>
      </w:r>
      <w:r w:rsidR="00A45056">
        <w:t xml:space="preserve"> </w:t>
      </w:r>
      <w:r w:rsidR="00776468">
        <w:t xml:space="preserve">take care in </w:t>
      </w:r>
      <w:r w:rsidR="00F92A19">
        <w:t xml:space="preserve">reporting data </w:t>
      </w:r>
      <w:r w:rsidR="00776468">
        <w:t xml:space="preserve">to each country </w:t>
      </w:r>
      <w:r w:rsidR="00A45056">
        <w:t xml:space="preserve">to avoid </w:t>
      </w:r>
      <w:r w:rsidR="00776468">
        <w:t xml:space="preserve">incorrect reporting or </w:t>
      </w:r>
      <w:r w:rsidR="00A45056">
        <w:t>duplicate counting leading to inflated statistics.</w:t>
      </w:r>
      <w:r w:rsidR="00A45056" w:rsidRPr="00A45056">
        <w:t xml:space="preserve"> </w:t>
      </w:r>
    </w:p>
    <w:p w:rsidR="00A45056" w:rsidRDefault="003A1F0D" w:rsidP="00776468">
      <w:pPr>
        <w:spacing w:before="240" w:line="240" w:lineRule="auto"/>
        <w:ind w:left="357"/>
      </w:pPr>
      <w:r>
        <w:t xml:space="preserve">PEPPOL </w:t>
      </w:r>
      <w:r w:rsidR="00AB784E">
        <w:t>Access Points</w:t>
      </w:r>
      <w:r>
        <w:t xml:space="preserve"> </w:t>
      </w:r>
      <w:r w:rsidR="00E81C61">
        <w:t xml:space="preserve">may have </w:t>
      </w:r>
      <w:r w:rsidR="00B65A64">
        <w:t>a number of options</w:t>
      </w:r>
      <w:r w:rsidR="00E81C61">
        <w:t xml:space="preserve"> </w:t>
      </w:r>
      <w:r w:rsidR="00B65A64">
        <w:t>to</w:t>
      </w:r>
      <w:r>
        <w:t xml:space="preserve"> determine the relevant country to report to </w:t>
      </w:r>
      <w:r w:rsidR="00B65A64">
        <w:t xml:space="preserve">– for example, this could be allocated </w:t>
      </w:r>
      <w:r w:rsidR="00E81C61">
        <w:t>based</w:t>
      </w:r>
      <w:r w:rsidR="00E81C61" w:rsidRPr="00E81C61">
        <w:t xml:space="preserve"> </w:t>
      </w:r>
      <w:r w:rsidR="00E81C61">
        <w:t>on</w:t>
      </w:r>
      <w:r w:rsidR="00776468">
        <w:t>:</w:t>
      </w:r>
    </w:p>
    <w:p w:rsidR="00E81C61" w:rsidRDefault="00A45056" w:rsidP="00283BB2">
      <w:pPr>
        <w:pStyle w:val="ListParagraph"/>
        <w:numPr>
          <w:ilvl w:val="0"/>
          <w:numId w:val="23"/>
        </w:numPr>
        <w:spacing w:before="120" w:line="240" w:lineRule="auto"/>
        <w:ind w:left="1139" w:hanging="357"/>
        <w:contextualSpacing w:val="0"/>
      </w:pPr>
      <w:r>
        <w:t>ISO</w:t>
      </w:r>
      <w:r w:rsidR="00463586">
        <w:t>3166</w:t>
      </w:r>
      <w:r>
        <w:t xml:space="preserve"> country code</w:t>
      </w:r>
      <w:r w:rsidR="00776468">
        <w:t xml:space="preserve">, </w:t>
      </w:r>
    </w:p>
    <w:p w:rsidR="00580570" w:rsidRDefault="00580570" w:rsidP="00087919">
      <w:pPr>
        <w:pStyle w:val="ListParagraph"/>
        <w:numPr>
          <w:ilvl w:val="0"/>
          <w:numId w:val="23"/>
        </w:numPr>
        <w:spacing w:before="120" w:line="240" w:lineRule="auto"/>
        <w:ind w:left="1139" w:hanging="357"/>
        <w:contextualSpacing w:val="0"/>
      </w:pPr>
      <w:r>
        <w:t>Scheme ID</w:t>
      </w:r>
      <w:r w:rsidR="00E9701D">
        <w:t xml:space="preserve"> </w:t>
      </w:r>
      <w:r>
        <w:t>– e.g.</w:t>
      </w:r>
    </w:p>
    <w:p w:rsidR="00580570" w:rsidRDefault="00E9701D" w:rsidP="00580570">
      <w:pPr>
        <w:pStyle w:val="ListParagraph"/>
        <w:numPr>
          <w:ilvl w:val="1"/>
          <w:numId w:val="23"/>
        </w:numPr>
        <w:spacing w:before="120" w:line="240" w:lineRule="auto"/>
        <w:contextualSpacing w:val="0"/>
      </w:pPr>
      <w:r>
        <w:t>ABNs = 0151</w:t>
      </w:r>
    </w:p>
    <w:p w:rsidR="00580570" w:rsidRDefault="00E9701D" w:rsidP="00580570">
      <w:pPr>
        <w:pStyle w:val="ListParagraph"/>
        <w:numPr>
          <w:ilvl w:val="1"/>
          <w:numId w:val="23"/>
        </w:numPr>
        <w:spacing w:before="120" w:line="240" w:lineRule="auto"/>
        <w:contextualSpacing w:val="0"/>
      </w:pPr>
      <w:r>
        <w:t xml:space="preserve">NZBNs = </w:t>
      </w:r>
      <w:r w:rsidR="00580570">
        <w:t xml:space="preserve">0088 </w:t>
      </w:r>
      <w:r>
        <w:t>(</w:t>
      </w:r>
      <w:r w:rsidR="00580570">
        <w:t>GLN</w:t>
      </w:r>
      <w:r>
        <w:t xml:space="preserve">) and the first </w:t>
      </w:r>
      <w:r w:rsidR="009721A7">
        <w:t>two</w:t>
      </w:r>
      <w:r>
        <w:t xml:space="preserve"> digits of 94 (NZBN)</w:t>
      </w:r>
    </w:p>
    <w:p w:rsidR="0069163C" w:rsidRDefault="00E81C61" w:rsidP="00087919">
      <w:pPr>
        <w:pStyle w:val="ListParagraph"/>
        <w:numPr>
          <w:ilvl w:val="0"/>
          <w:numId w:val="23"/>
        </w:numPr>
        <w:spacing w:before="120" w:line="240" w:lineRule="auto"/>
        <w:ind w:left="1139" w:hanging="357"/>
        <w:contextualSpacing w:val="0"/>
      </w:pPr>
      <w:r>
        <w:t xml:space="preserve">PEPPOL Directory, </w:t>
      </w:r>
      <w:r w:rsidR="00776468">
        <w:t>or</w:t>
      </w:r>
    </w:p>
    <w:p w:rsidR="003A1F0D" w:rsidRDefault="00E9701D" w:rsidP="003A1F0D">
      <w:pPr>
        <w:pStyle w:val="ListParagraph"/>
        <w:numPr>
          <w:ilvl w:val="0"/>
          <w:numId w:val="23"/>
        </w:numPr>
        <w:spacing w:before="120" w:line="240" w:lineRule="auto"/>
        <w:ind w:left="1139" w:hanging="357"/>
        <w:contextualSpacing w:val="0"/>
      </w:pPr>
      <w:r>
        <w:t>other r</w:t>
      </w:r>
      <w:r w:rsidR="00776468">
        <w:t xml:space="preserve">easonable </w:t>
      </w:r>
      <w:r w:rsidR="003A1F0D">
        <w:t xml:space="preserve">allocation </w:t>
      </w:r>
      <w:r w:rsidR="00E81C61">
        <w:t xml:space="preserve">(e.g. </w:t>
      </w:r>
      <w:r w:rsidR="00776468">
        <w:t>based on knowledge of the customer</w:t>
      </w:r>
      <w:r w:rsidR="00E81C61">
        <w:t>)</w:t>
      </w:r>
    </w:p>
    <w:p w:rsidR="00776468" w:rsidRDefault="00776468" w:rsidP="00776468">
      <w:pPr>
        <w:pStyle w:val="ListParagraph"/>
        <w:spacing w:before="120" w:line="240" w:lineRule="auto"/>
        <w:ind w:left="1139"/>
      </w:pPr>
    </w:p>
    <w:p w:rsidR="00A874C3" w:rsidRDefault="00A874C3" w:rsidP="00A874C3">
      <w:pPr>
        <w:pStyle w:val="ListParagraph"/>
        <w:numPr>
          <w:ilvl w:val="0"/>
          <w:numId w:val="5"/>
        </w:numPr>
        <w:spacing w:before="360" w:line="240" w:lineRule="auto"/>
        <w:ind w:left="357" w:hanging="357"/>
      </w:pPr>
      <w:r>
        <w:t>Data</w:t>
      </w:r>
    </w:p>
    <w:p w:rsidR="00A874C3" w:rsidRDefault="00A874C3" w:rsidP="00AD700F">
      <w:pPr>
        <w:pStyle w:val="ListParagraph"/>
        <w:spacing w:before="360" w:line="240" w:lineRule="auto"/>
        <w:ind w:left="357"/>
      </w:pPr>
    </w:p>
    <w:tbl>
      <w:tblPr>
        <w:tblStyle w:val="TableGrid"/>
        <w:tblW w:w="875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88"/>
        <w:gridCol w:w="1725"/>
        <w:gridCol w:w="5646"/>
      </w:tblGrid>
      <w:tr w:rsidR="00B47F9F" w:rsidRPr="00B47F9F" w:rsidTr="00BA2A5F">
        <w:tc>
          <w:tcPr>
            <w:tcW w:w="1388" w:type="dxa"/>
            <w:shd w:val="clear" w:color="auto" w:fill="005EB0" w:themeFill="accent2" w:themeFillTint="BF"/>
          </w:tcPr>
          <w:p w:rsidR="00B47F9F" w:rsidRPr="00B47F9F" w:rsidRDefault="00B47F9F" w:rsidP="00B47F9F">
            <w:pPr>
              <w:pStyle w:val="ListParagraph"/>
              <w:spacing w:before="0" w:line="240" w:lineRule="auto"/>
              <w:ind w:left="0"/>
              <w:rPr>
                <w:b/>
                <w:color w:val="FFFFFF" w:themeColor="background1"/>
                <w:sz w:val="20"/>
              </w:rPr>
            </w:pPr>
            <w:r w:rsidRPr="00B47F9F">
              <w:rPr>
                <w:b/>
                <w:color w:val="FFFFFF" w:themeColor="background1"/>
                <w:sz w:val="20"/>
              </w:rPr>
              <w:t>Item</w:t>
            </w:r>
          </w:p>
        </w:tc>
        <w:tc>
          <w:tcPr>
            <w:tcW w:w="1725" w:type="dxa"/>
            <w:shd w:val="clear" w:color="auto" w:fill="005EB0" w:themeFill="accent2" w:themeFillTint="BF"/>
          </w:tcPr>
          <w:p w:rsidR="00B47F9F" w:rsidRPr="00B47F9F" w:rsidRDefault="00B47F9F" w:rsidP="00B47F9F">
            <w:pPr>
              <w:pStyle w:val="ListParagraph"/>
              <w:spacing w:before="0" w:line="240" w:lineRule="auto"/>
              <w:ind w:left="0"/>
              <w:rPr>
                <w:b/>
                <w:color w:val="FFFFFF" w:themeColor="background1"/>
                <w:sz w:val="20"/>
              </w:rPr>
            </w:pPr>
            <w:r w:rsidRPr="00B47F9F">
              <w:rPr>
                <w:b/>
                <w:color w:val="FFFFFF" w:themeColor="background1"/>
                <w:sz w:val="20"/>
              </w:rPr>
              <w:t>Description</w:t>
            </w:r>
          </w:p>
        </w:tc>
        <w:tc>
          <w:tcPr>
            <w:tcW w:w="5646" w:type="dxa"/>
            <w:shd w:val="clear" w:color="auto" w:fill="005EB0" w:themeFill="accent2" w:themeFillTint="BF"/>
          </w:tcPr>
          <w:p w:rsidR="00B47F9F" w:rsidRPr="00B47F9F" w:rsidRDefault="00B47F9F" w:rsidP="00B47F9F">
            <w:pPr>
              <w:pStyle w:val="ListParagraph"/>
              <w:spacing w:before="0" w:line="240" w:lineRule="auto"/>
              <w:ind w:left="0"/>
              <w:rPr>
                <w:b/>
                <w:color w:val="FFFFFF" w:themeColor="background1"/>
                <w:sz w:val="20"/>
              </w:rPr>
            </w:pPr>
            <w:r w:rsidRPr="00B47F9F">
              <w:rPr>
                <w:b/>
                <w:color w:val="FFFFFF" w:themeColor="background1"/>
                <w:sz w:val="20"/>
              </w:rPr>
              <w:t>Method</w:t>
            </w:r>
          </w:p>
        </w:tc>
      </w:tr>
      <w:tr w:rsidR="00B47F9F" w:rsidTr="00BA2A5F">
        <w:tc>
          <w:tcPr>
            <w:tcW w:w="1388" w:type="dxa"/>
          </w:tcPr>
          <w:p w:rsidR="00B47F9F" w:rsidRPr="00334A7F" w:rsidRDefault="00B47F9F" w:rsidP="00B47F9F">
            <w:pPr>
              <w:pStyle w:val="ListParagraph"/>
              <w:spacing w:before="0" w:line="240" w:lineRule="auto"/>
              <w:ind w:left="0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Numbers of effective senders</w:t>
            </w:r>
          </w:p>
          <w:p w:rsidR="00B47F9F" w:rsidRPr="00334A7F" w:rsidRDefault="00B47F9F" w:rsidP="00B47F9F">
            <w:pPr>
              <w:pStyle w:val="ListParagraph"/>
              <w:spacing w:before="0" w:line="240" w:lineRule="auto"/>
              <w:ind w:left="0"/>
              <w:rPr>
                <w:color w:val="auto"/>
                <w:sz w:val="20"/>
              </w:rPr>
            </w:pPr>
          </w:p>
        </w:tc>
        <w:tc>
          <w:tcPr>
            <w:tcW w:w="1725" w:type="dxa"/>
          </w:tcPr>
          <w:p w:rsidR="00B47F9F" w:rsidRPr="00334A7F" w:rsidRDefault="00B47F9F" w:rsidP="00B47F9F">
            <w:pPr>
              <w:pStyle w:val="ListParagraph"/>
              <w:spacing w:before="0" w:line="240" w:lineRule="auto"/>
              <w:ind w:left="0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 xml:space="preserve">The number of </w:t>
            </w:r>
            <w:r w:rsidR="007774A0">
              <w:rPr>
                <w:color w:val="auto"/>
                <w:sz w:val="20"/>
              </w:rPr>
              <w:t xml:space="preserve">unique </w:t>
            </w:r>
            <w:r w:rsidRPr="00334A7F">
              <w:rPr>
                <w:color w:val="auto"/>
                <w:sz w:val="20"/>
              </w:rPr>
              <w:t xml:space="preserve">end-users </w:t>
            </w:r>
            <w:r w:rsidR="007774A0">
              <w:rPr>
                <w:color w:val="auto"/>
                <w:sz w:val="20"/>
              </w:rPr>
              <w:t xml:space="preserve">(e.g. businesses or government agencies) </w:t>
            </w:r>
            <w:r w:rsidRPr="00334A7F">
              <w:rPr>
                <w:color w:val="auto"/>
                <w:sz w:val="20"/>
              </w:rPr>
              <w:t>who sent at least one e-invoice in the reporting period.</w:t>
            </w:r>
          </w:p>
          <w:p w:rsidR="00B47F9F" w:rsidRPr="00334A7F" w:rsidRDefault="00B47F9F" w:rsidP="00B47F9F">
            <w:pPr>
              <w:pStyle w:val="ListParagraph"/>
              <w:spacing w:before="0" w:line="240" w:lineRule="auto"/>
              <w:ind w:left="0"/>
              <w:rPr>
                <w:color w:val="auto"/>
                <w:sz w:val="20"/>
              </w:rPr>
            </w:pPr>
          </w:p>
        </w:tc>
        <w:tc>
          <w:tcPr>
            <w:tcW w:w="5646" w:type="dxa"/>
          </w:tcPr>
          <w:p w:rsidR="001B1C2D" w:rsidRPr="00334A7F" w:rsidRDefault="002678A1" w:rsidP="001B1C2D">
            <w:p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lastRenderedPageBreak/>
              <w:t xml:space="preserve">This </w:t>
            </w:r>
            <w:r w:rsidR="00B47F9F" w:rsidRPr="00334A7F">
              <w:rPr>
                <w:color w:val="auto"/>
                <w:sz w:val="20"/>
              </w:rPr>
              <w:t xml:space="preserve">needs to be calculated by the AP </w:t>
            </w:r>
            <w:r w:rsidR="001B1C2D" w:rsidRPr="00334A7F">
              <w:rPr>
                <w:color w:val="auto"/>
                <w:sz w:val="20"/>
              </w:rPr>
              <w:t>Providers</w:t>
            </w:r>
            <w:r w:rsidRPr="00334A7F">
              <w:rPr>
                <w:color w:val="auto"/>
                <w:sz w:val="20"/>
              </w:rPr>
              <w:t xml:space="preserve"> </w:t>
            </w:r>
            <w:r w:rsidR="001B1C2D" w:rsidRPr="00334A7F">
              <w:rPr>
                <w:color w:val="auto"/>
                <w:sz w:val="20"/>
              </w:rPr>
              <w:t>by:</w:t>
            </w:r>
          </w:p>
          <w:p w:rsidR="00B47F9F" w:rsidRPr="00334A7F" w:rsidRDefault="00B47F9F" w:rsidP="001B1C2D">
            <w:pPr>
              <w:pStyle w:val="ListParagraph"/>
              <w:spacing w:before="0" w:line="240" w:lineRule="auto"/>
              <w:ind w:left="-360"/>
              <w:rPr>
                <w:color w:val="auto"/>
                <w:sz w:val="20"/>
              </w:rPr>
            </w:pPr>
          </w:p>
          <w:p w:rsidR="00B47F9F" w:rsidRPr="00334A7F" w:rsidRDefault="001B1C2D" w:rsidP="001B1C2D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360"/>
              <w:contextualSpacing w:val="0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I</w:t>
            </w:r>
            <w:r w:rsidR="00B47F9F" w:rsidRPr="00334A7F">
              <w:rPr>
                <w:color w:val="auto"/>
                <w:sz w:val="20"/>
              </w:rPr>
              <w:t>nspect</w:t>
            </w:r>
            <w:r w:rsidR="002678A1" w:rsidRPr="00334A7F">
              <w:rPr>
                <w:color w:val="auto"/>
                <w:sz w:val="20"/>
              </w:rPr>
              <w:t>ing</w:t>
            </w:r>
            <w:r w:rsidR="00B47F9F" w:rsidRPr="00334A7F">
              <w:rPr>
                <w:color w:val="auto"/>
                <w:sz w:val="20"/>
              </w:rPr>
              <w:t xml:space="preserve"> the Standard Business Document Header (SBDH) to identify each sender:</w:t>
            </w:r>
          </w:p>
          <w:p w:rsidR="00B47F9F" w:rsidRPr="00334A7F" w:rsidRDefault="00B47F9F" w:rsidP="001B1C2D">
            <w:pPr>
              <w:pStyle w:val="ListParagraph"/>
              <w:spacing w:before="0" w:line="240" w:lineRule="auto"/>
              <w:ind w:left="360"/>
              <w:contextualSpacing w:val="0"/>
              <w:rPr>
                <w:color w:val="auto"/>
                <w:sz w:val="20"/>
              </w:rPr>
            </w:pPr>
          </w:p>
          <w:p w:rsidR="00B47F9F" w:rsidRPr="00334A7F" w:rsidRDefault="00B47F9F" w:rsidP="002678A1">
            <w:pPr>
              <w:pStyle w:val="ListParagraph"/>
              <w:spacing w:before="0" w:line="240" w:lineRule="auto"/>
              <w:ind w:left="737" w:right="595"/>
              <w:rPr>
                <w:rFonts w:ascii="ArialMT" w:hAnsi="ArialMT" w:cs="ArialMT"/>
                <w:i/>
                <w:color w:val="auto"/>
                <w:sz w:val="20"/>
              </w:rPr>
            </w:pPr>
            <w:r w:rsidRPr="00334A7F">
              <w:rPr>
                <w:rFonts w:ascii="ArialMT" w:hAnsi="ArialMT" w:cs="ArialMT"/>
                <w:i/>
                <w:color w:val="auto"/>
                <w:sz w:val="20"/>
              </w:rPr>
              <w:t>/StandardBusinessDocument/StandardBusinessDocumentHeader/Sender/Identifier</w:t>
            </w:r>
          </w:p>
          <w:p w:rsidR="00B47F9F" w:rsidRPr="00334A7F" w:rsidRDefault="00B47F9F" w:rsidP="00B47F9F">
            <w:pPr>
              <w:pStyle w:val="ListParagraph"/>
              <w:spacing w:before="0" w:line="240" w:lineRule="auto"/>
              <w:ind w:left="0" w:right="1415"/>
              <w:rPr>
                <w:color w:val="auto"/>
                <w:sz w:val="20"/>
              </w:rPr>
            </w:pPr>
          </w:p>
          <w:p w:rsidR="00B47F9F" w:rsidRDefault="007774A0" w:rsidP="001B1C2D">
            <w:pPr>
              <w:pStyle w:val="ListParagraph"/>
              <w:numPr>
                <w:ilvl w:val="0"/>
                <w:numId w:val="16"/>
              </w:numPr>
              <w:spacing w:before="0" w:line="240" w:lineRule="auto"/>
              <w:ind w:left="360"/>
              <w:contextualSpacing w:val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lastRenderedPageBreak/>
              <w:t>Count of</w:t>
            </w:r>
            <w:r w:rsidRPr="00334A7F">
              <w:rPr>
                <w:color w:val="auto"/>
                <w:sz w:val="20"/>
              </w:rPr>
              <w:t xml:space="preserve"> </w:t>
            </w:r>
            <w:r w:rsidR="00B47F9F" w:rsidRPr="00334A7F">
              <w:rPr>
                <w:color w:val="auto"/>
                <w:sz w:val="20"/>
              </w:rPr>
              <w:t xml:space="preserve">the total number of </w:t>
            </w:r>
            <w:r>
              <w:rPr>
                <w:color w:val="auto"/>
                <w:sz w:val="20"/>
              </w:rPr>
              <w:t>sender</w:t>
            </w:r>
            <w:r w:rsidRPr="00334A7F">
              <w:rPr>
                <w:color w:val="auto"/>
                <w:sz w:val="20"/>
              </w:rPr>
              <w:t xml:space="preserve"> </w:t>
            </w:r>
            <w:r w:rsidR="00B47F9F" w:rsidRPr="00334A7F">
              <w:rPr>
                <w:color w:val="auto"/>
                <w:sz w:val="20"/>
              </w:rPr>
              <w:t>unique identifiers during the reporting period – i.e. if the same end-user sends e-invoices on 5 occasions, this end-user will only be counted once.</w:t>
            </w:r>
          </w:p>
          <w:p w:rsidR="00F92A19" w:rsidRPr="00F92A19" w:rsidRDefault="00F92A19" w:rsidP="00F92A19">
            <w:pPr>
              <w:spacing w:before="0" w:line="240" w:lineRule="auto"/>
              <w:rPr>
                <w:color w:val="auto"/>
                <w:sz w:val="20"/>
              </w:rPr>
            </w:pPr>
          </w:p>
        </w:tc>
      </w:tr>
      <w:tr w:rsidR="001B1C2D" w:rsidTr="00BA2A5F">
        <w:tc>
          <w:tcPr>
            <w:tcW w:w="1388" w:type="dxa"/>
          </w:tcPr>
          <w:p w:rsidR="001B1C2D" w:rsidRPr="00334A7F" w:rsidRDefault="001B1C2D" w:rsidP="001B1C2D">
            <w:p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lastRenderedPageBreak/>
              <w:t>Number of transactions sent per Document Type ID</w:t>
            </w:r>
          </w:p>
        </w:tc>
        <w:tc>
          <w:tcPr>
            <w:tcW w:w="1725" w:type="dxa"/>
          </w:tcPr>
          <w:p w:rsidR="001B1C2D" w:rsidRPr="00334A7F" w:rsidRDefault="002678A1" w:rsidP="002678A1">
            <w:p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The sum total of the e-invoices sent for each Document Type ID</w:t>
            </w:r>
          </w:p>
        </w:tc>
        <w:tc>
          <w:tcPr>
            <w:tcW w:w="5646" w:type="dxa"/>
          </w:tcPr>
          <w:p w:rsidR="002678A1" w:rsidRPr="00334A7F" w:rsidRDefault="002678A1" w:rsidP="002678A1">
            <w:p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This needs to be calculated by the AP Providers by:</w:t>
            </w:r>
          </w:p>
          <w:p w:rsidR="002678A1" w:rsidRPr="00334A7F" w:rsidRDefault="002678A1" w:rsidP="002678A1">
            <w:pPr>
              <w:spacing w:before="0" w:line="240" w:lineRule="auto"/>
              <w:rPr>
                <w:color w:val="auto"/>
                <w:sz w:val="20"/>
              </w:rPr>
            </w:pPr>
          </w:p>
          <w:p w:rsidR="002678A1" w:rsidRPr="00334A7F" w:rsidRDefault="002678A1" w:rsidP="002678A1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contextualSpacing w:val="0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 xml:space="preserve">Inspecting the SBDH to identify the Document Type ID for each e-invoice </w:t>
            </w:r>
          </w:p>
          <w:p w:rsidR="002678A1" w:rsidRPr="00334A7F" w:rsidRDefault="002678A1" w:rsidP="002678A1">
            <w:pPr>
              <w:spacing w:before="0" w:line="240" w:lineRule="auto"/>
              <w:rPr>
                <w:color w:val="auto"/>
                <w:sz w:val="20"/>
              </w:rPr>
            </w:pPr>
          </w:p>
          <w:p w:rsidR="002678A1" w:rsidRPr="00334A7F" w:rsidRDefault="002678A1" w:rsidP="002678A1">
            <w:pPr>
              <w:spacing w:before="0" w:line="240" w:lineRule="auto"/>
              <w:ind w:left="596" w:right="595"/>
              <w:rPr>
                <w:i/>
                <w:color w:val="auto"/>
                <w:sz w:val="20"/>
              </w:rPr>
            </w:pPr>
            <w:r w:rsidRPr="00334A7F">
              <w:rPr>
                <w:i/>
                <w:color w:val="auto"/>
                <w:sz w:val="20"/>
              </w:rPr>
              <w:t>/StandardBusinessDocument/StandardBusinessDocumentHeader/BusinessScope/Scope[Type='DOCUMENTID']/InstanceIdentifier</w:t>
            </w:r>
          </w:p>
          <w:p w:rsidR="002678A1" w:rsidRPr="00334A7F" w:rsidRDefault="002678A1" w:rsidP="002678A1">
            <w:pPr>
              <w:spacing w:before="0" w:line="240" w:lineRule="auto"/>
              <w:rPr>
                <w:color w:val="auto"/>
                <w:sz w:val="20"/>
              </w:rPr>
            </w:pPr>
          </w:p>
          <w:p w:rsidR="002678A1" w:rsidRPr="00334A7F" w:rsidRDefault="002678A1" w:rsidP="002678A1">
            <w:pPr>
              <w:pStyle w:val="ListParagraph"/>
              <w:numPr>
                <w:ilvl w:val="0"/>
                <w:numId w:val="17"/>
              </w:numPr>
              <w:spacing w:before="0" w:line="240" w:lineRule="auto"/>
              <w:contextualSpacing w:val="0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Calculating the total number</w:t>
            </w:r>
            <w:r w:rsidR="006B4AA3" w:rsidRPr="00334A7F">
              <w:rPr>
                <w:color w:val="auto"/>
                <w:sz w:val="20"/>
              </w:rPr>
              <w:t xml:space="preserve"> e-invoices sent for each</w:t>
            </w:r>
            <w:r w:rsidRPr="00334A7F">
              <w:rPr>
                <w:color w:val="auto"/>
                <w:sz w:val="20"/>
              </w:rPr>
              <w:t xml:space="preserve"> </w:t>
            </w:r>
            <w:r w:rsidR="00455B30" w:rsidRPr="00334A7F">
              <w:rPr>
                <w:color w:val="auto"/>
                <w:sz w:val="20"/>
              </w:rPr>
              <w:t xml:space="preserve">Document Type ID </w:t>
            </w:r>
            <w:r w:rsidRPr="00334A7F">
              <w:rPr>
                <w:color w:val="auto"/>
                <w:sz w:val="20"/>
              </w:rPr>
              <w:t>during the reporting period.</w:t>
            </w:r>
          </w:p>
          <w:p w:rsidR="006B4AA3" w:rsidRPr="00334A7F" w:rsidRDefault="006B4AA3" w:rsidP="002678A1">
            <w:pPr>
              <w:spacing w:before="0" w:line="240" w:lineRule="auto"/>
              <w:rPr>
                <w:color w:val="auto"/>
                <w:sz w:val="20"/>
              </w:rPr>
            </w:pPr>
          </w:p>
          <w:p w:rsidR="00F833E7" w:rsidRPr="00334A7F" w:rsidRDefault="006B4AA3" w:rsidP="00F833E7">
            <w:p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An e-invoice is considered to be sent after it has been sent</w:t>
            </w:r>
            <w:r w:rsidR="00F833E7" w:rsidRPr="00334A7F">
              <w:rPr>
                <w:color w:val="auto"/>
                <w:sz w:val="20"/>
              </w:rPr>
              <w:t>.</w:t>
            </w:r>
          </w:p>
          <w:p w:rsidR="00FA7871" w:rsidRPr="00B312E7" w:rsidRDefault="00F833E7" w:rsidP="00FA7871">
            <w:pPr>
              <w:pStyle w:val="ListParagraph"/>
              <w:numPr>
                <w:ilvl w:val="0"/>
                <w:numId w:val="21"/>
              </w:numPr>
              <w:spacing w:before="0" w:line="240" w:lineRule="auto"/>
              <w:rPr>
                <w:color w:val="auto"/>
                <w:sz w:val="20"/>
              </w:rPr>
            </w:pPr>
            <w:r w:rsidRPr="00334A7F">
              <w:rPr>
                <w:color w:val="auto"/>
                <w:sz w:val="20"/>
              </w:rPr>
              <w:t>u</w:t>
            </w:r>
            <w:r w:rsidR="006B4AA3" w:rsidRPr="00334A7F">
              <w:rPr>
                <w:color w:val="auto"/>
                <w:sz w:val="20"/>
              </w:rPr>
              <w:t xml:space="preserve">nsuccessful attempts should not be counted (this would result in </w:t>
            </w:r>
            <w:r w:rsidR="0069163C">
              <w:rPr>
                <w:color w:val="auto"/>
                <w:sz w:val="20"/>
              </w:rPr>
              <w:t xml:space="preserve">duplication of counting leading to </w:t>
            </w:r>
            <w:r w:rsidR="006B4AA3" w:rsidRPr="00334A7F">
              <w:rPr>
                <w:color w:val="auto"/>
                <w:sz w:val="20"/>
              </w:rPr>
              <w:t xml:space="preserve">inflated </w:t>
            </w:r>
            <w:r w:rsidR="00D500DA" w:rsidRPr="00334A7F">
              <w:rPr>
                <w:color w:val="auto"/>
                <w:sz w:val="20"/>
              </w:rPr>
              <w:t>invoice volumes</w:t>
            </w:r>
            <w:r w:rsidR="006B4AA3" w:rsidRPr="00334A7F">
              <w:rPr>
                <w:color w:val="auto"/>
                <w:sz w:val="20"/>
              </w:rPr>
              <w:t>)</w:t>
            </w:r>
            <w:r w:rsidRPr="00334A7F">
              <w:rPr>
                <w:color w:val="auto"/>
                <w:sz w:val="20"/>
              </w:rPr>
              <w:t>.</w:t>
            </w:r>
          </w:p>
        </w:tc>
      </w:tr>
      <w:tr w:rsidR="00B47F9F" w:rsidTr="00BA2A5F">
        <w:tc>
          <w:tcPr>
            <w:tcW w:w="1388" w:type="dxa"/>
          </w:tcPr>
          <w:p w:rsidR="001B1C2D" w:rsidRPr="00D500DA" w:rsidRDefault="001B1C2D" w:rsidP="001B1C2D">
            <w:pPr>
              <w:spacing w:before="0" w:line="240" w:lineRule="auto"/>
              <w:rPr>
                <w:sz w:val="20"/>
              </w:rPr>
            </w:pPr>
            <w:r w:rsidRPr="00D500DA">
              <w:rPr>
                <w:sz w:val="20"/>
              </w:rPr>
              <w:t>Number of transactions received per Document Type ID.</w:t>
            </w:r>
          </w:p>
          <w:p w:rsidR="00B47F9F" w:rsidRPr="00D500DA" w:rsidRDefault="00B47F9F" w:rsidP="001B1C2D">
            <w:pPr>
              <w:spacing w:before="0" w:line="240" w:lineRule="auto"/>
              <w:rPr>
                <w:sz w:val="20"/>
              </w:rPr>
            </w:pPr>
          </w:p>
        </w:tc>
        <w:tc>
          <w:tcPr>
            <w:tcW w:w="1725" w:type="dxa"/>
          </w:tcPr>
          <w:p w:rsidR="00B47F9F" w:rsidRPr="00D500DA" w:rsidRDefault="00D500DA" w:rsidP="00D500DA">
            <w:pPr>
              <w:spacing w:before="0" w:line="240" w:lineRule="auto"/>
              <w:rPr>
                <w:sz w:val="20"/>
              </w:rPr>
            </w:pPr>
            <w:r w:rsidRPr="00D500DA">
              <w:rPr>
                <w:sz w:val="20"/>
              </w:rPr>
              <w:t xml:space="preserve">The sum total of the e-invoices </w:t>
            </w:r>
            <w:r>
              <w:rPr>
                <w:sz w:val="20"/>
              </w:rPr>
              <w:t>received</w:t>
            </w:r>
            <w:r w:rsidRPr="00D500DA">
              <w:rPr>
                <w:sz w:val="20"/>
              </w:rPr>
              <w:t xml:space="preserve"> for each Document Type ID</w:t>
            </w:r>
          </w:p>
        </w:tc>
        <w:tc>
          <w:tcPr>
            <w:tcW w:w="5646" w:type="dxa"/>
          </w:tcPr>
          <w:p w:rsidR="00D500DA" w:rsidRPr="00D500DA" w:rsidRDefault="00D500DA" w:rsidP="00D500DA">
            <w:pPr>
              <w:spacing w:before="0" w:line="240" w:lineRule="auto"/>
              <w:rPr>
                <w:sz w:val="20"/>
              </w:rPr>
            </w:pPr>
            <w:r w:rsidRPr="00D500DA">
              <w:rPr>
                <w:sz w:val="20"/>
              </w:rPr>
              <w:t>This needs to be calculated by the AP Providers by:</w:t>
            </w:r>
          </w:p>
          <w:p w:rsidR="00D500DA" w:rsidRPr="00D500DA" w:rsidRDefault="00D500DA" w:rsidP="00D500DA">
            <w:pPr>
              <w:spacing w:before="0" w:line="240" w:lineRule="auto"/>
              <w:rPr>
                <w:sz w:val="20"/>
              </w:rPr>
            </w:pPr>
          </w:p>
          <w:p w:rsidR="00D500DA" w:rsidRPr="00D500DA" w:rsidRDefault="00D500DA" w:rsidP="00D500DA">
            <w:pPr>
              <w:pStyle w:val="ListParagraph"/>
              <w:numPr>
                <w:ilvl w:val="0"/>
                <w:numId w:val="20"/>
              </w:numPr>
              <w:spacing w:before="0" w:line="240" w:lineRule="auto"/>
              <w:contextualSpacing w:val="0"/>
              <w:rPr>
                <w:sz w:val="20"/>
              </w:rPr>
            </w:pPr>
            <w:r w:rsidRPr="00D500DA">
              <w:rPr>
                <w:sz w:val="20"/>
              </w:rPr>
              <w:t xml:space="preserve">Inspecting the SBDH to identify the Document Type ID for each e-invoice </w:t>
            </w:r>
          </w:p>
          <w:p w:rsidR="00D500DA" w:rsidRPr="00D500DA" w:rsidRDefault="00D500DA" w:rsidP="00D500DA">
            <w:pPr>
              <w:spacing w:before="0" w:line="240" w:lineRule="auto"/>
              <w:rPr>
                <w:sz w:val="20"/>
              </w:rPr>
            </w:pPr>
          </w:p>
          <w:p w:rsidR="00D500DA" w:rsidRPr="00D500DA" w:rsidRDefault="00D500DA" w:rsidP="00D500DA">
            <w:pPr>
              <w:spacing w:before="0" w:line="240" w:lineRule="auto"/>
              <w:ind w:left="596" w:right="595"/>
              <w:rPr>
                <w:i/>
                <w:sz w:val="20"/>
              </w:rPr>
            </w:pPr>
            <w:r w:rsidRPr="00D500DA">
              <w:rPr>
                <w:i/>
                <w:sz w:val="20"/>
              </w:rPr>
              <w:t>/StandardBusinessDocument/StandardBusinessDocumentHeader/BusinessScope/Scope[Type='DOCUMENTID']/InstanceIdentifier</w:t>
            </w:r>
          </w:p>
          <w:p w:rsidR="00D500DA" w:rsidRPr="00D500DA" w:rsidRDefault="00D500DA" w:rsidP="00D500DA">
            <w:pPr>
              <w:spacing w:before="0" w:line="240" w:lineRule="auto"/>
              <w:rPr>
                <w:sz w:val="20"/>
              </w:rPr>
            </w:pPr>
          </w:p>
          <w:p w:rsidR="00D500DA" w:rsidRPr="00D500DA" w:rsidRDefault="00D500DA" w:rsidP="00D500DA">
            <w:pPr>
              <w:pStyle w:val="ListParagraph"/>
              <w:numPr>
                <w:ilvl w:val="0"/>
                <w:numId w:val="20"/>
              </w:numPr>
              <w:spacing w:before="0" w:line="240" w:lineRule="auto"/>
              <w:contextualSpacing w:val="0"/>
              <w:rPr>
                <w:sz w:val="20"/>
              </w:rPr>
            </w:pPr>
            <w:r w:rsidRPr="00D500DA">
              <w:rPr>
                <w:sz w:val="20"/>
              </w:rPr>
              <w:t xml:space="preserve">Calculating the total number e-invoices </w:t>
            </w:r>
            <w:r>
              <w:rPr>
                <w:sz w:val="20"/>
              </w:rPr>
              <w:t>received</w:t>
            </w:r>
            <w:r w:rsidRPr="00D500DA">
              <w:rPr>
                <w:sz w:val="20"/>
              </w:rPr>
              <w:t xml:space="preserve"> for each </w:t>
            </w:r>
            <w:r w:rsidR="00A87994" w:rsidRPr="00334A7F">
              <w:rPr>
                <w:color w:val="auto"/>
                <w:sz w:val="20"/>
              </w:rPr>
              <w:t xml:space="preserve">Document Type ID </w:t>
            </w:r>
            <w:r w:rsidRPr="00D500DA">
              <w:rPr>
                <w:sz w:val="20"/>
              </w:rPr>
              <w:t>during the reporting period.</w:t>
            </w:r>
          </w:p>
          <w:p w:rsidR="00F833E7" w:rsidRDefault="00F833E7" w:rsidP="00F833E7">
            <w:pPr>
              <w:spacing w:before="0" w:line="240" w:lineRule="auto"/>
              <w:rPr>
                <w:sz w:val="20"/>
              </w:rPr>
            </w:pPr>
          </w:p>
          <w:p w:rsidR="00F833E7" w:rsidRPr="00F833E7" w:rsidRDefault="00F833E7" w:rsidP="00F833E7">
            <w:pPr>
              <w:spacing w:before="0" w:line="240" w:lineRule="auto"/>
              <w:rPr>
                <w:sz w:val="20"/>
              </w:rPr>
            </w:pPr>
            <w:r w:rsidRPr="00F833E7">
              <w:rPr>
                <w:sz w:val="20"/>
              </w:rPr>
              <w:t xml:space="preserve">An e-invoice is “received” for reporting purposes once it </w:t>
            </w:r>
            <w:r w:rsidR="009721A7">
              <w:rPr>
                <w:sz w:val="20"/>
              </w:rPr>
              <w:t xml:space="preserve">is </w:t>
            </w:r>
            <w:r w:rsidR="00A87994">
              <w:rPr>
                <w:sz w:val="20"/>
              </w:rPr>
              <w:t>received by</w:t>
            </w:r>
            <w:r w:rsidRPr="00F833E7">
              <w:rPr>
                <w:sz w:val="20"/>
              </w:rPr>
              <w:t xml:space="preserve"> the receiving AP regardless of any business or data quality errors contained within the message. </w:t>
            </w:r>
          </w:p>
          <w:p w:rsidR="00F833E7" w:rsidRDefault="00F833E7" w:rsidP="00D500DA">
            <w:pPr>
              <w:spacing w:before="0" w:line="240" w:lineRule="auto"/>
              <w:rPr>
                <w:sz w:val="20"/>
              </w:rPr>
            </w:pPr>
          </w:p>
          <w:p w:rsidR="00D500DA" w:rsidRPr="00D500DA" w:rsidRDefault="00D500DA" w:rsidP="00D500DA">
            <w:pPr>
              <w:spacing w:before="0" w:line="240" w:lineRule="auto"/>
              <w:rPr>
                <w:sz w:val="20"/>
              </w:rPr>
            </w:pPr>
            <w:r w:rsidRPr="00D500DA">
              <w:rPr>
                <w:sz w:val="20"/>
              </w:rPr>
              <w:t xml:space="preserve">An e-invoice is considered to be </w:t>
            </w:r>
            <w:r>
              <w:rPr>
                <w:sz w:val="20"/>
              </w:rPr>
              <w:t>received</w:t>
            </w:r>
            <w:r w:rsidRPr="00D500DA">
              <w:rPr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 w:rsidRPr="00D500DA">
              <w:rPr>
                <w:sz w:val="20"/>
              </w:rPr>
              <w:t xml:space="preserve">n receipt </w:t>
            </w:r>
            <w:r>
              <w:rPr>
                <w:sz w:val="20"/>
              </w:rPr>
              <w:t xml:space="preserve">by an </w:t>
            </w:r>
            <w:r w:rsidRPr="00D500DA">
              <w:rPr>
                <w:sz w:val="20"/>
              </w:rPr>
              <w:t>AP Provider of a new PEPPOL message.</w:t>
            </w:r>
          </w:p>
          <w:p w:rsidR="00D500DA" w:rsidRPr="00D500DA" w:rsidRDefault="00D500DA" w:rsidP="00D500DA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sz w:val="20"/>
              </w:rPr>
            </w:pPr>
            <w:r w:rsidRPr="00D500DA">
              <w:rPr>
                <w:sz w:val="20"/>
              </w:rPr>
              <w:t xml:space="preserve">unsuccessful attempts should not be counted (this would result in inflated </w:t>
            </w:r>
            <w:r>
              <w:rPr>
                <w:sz w:val="20"/>
              </w:rPr>
              <w:t>invoice volumes</w:t>
            </w:r>
            <w:r w:rsidRPr="00D500DA">
              <w:rPr>
                <w:sz w:val="20"/>
              </w:rPr>
              <w:t>)</w:t>
            </w:r>
            <w:r w:rsidR="00F914E5">
              <w:rPr>
                <w:sz w:val="20"/>
              </w:rPr>
              <w:t>,</w:t>
            </w:r>
          </w:p>
          <w:p w:rsidR="00D500DA" w:rsidRPr="00D500DA" w:rsidRDefault="00F833E7" w:rsidP="00D500DA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sz w:val="20"/>
              </w:rPr>
            </w:pPr>
            <w:r>
              <w:rPr>
                <w:sz w:val="20"/>
              </w:rPr>
              <w:t xml:space="preserve">the e-invoice is received by the AP Provider even though it hasn’t be on-sent to the </w:t>
            </w:r>
            <w:r w:rsidR="00F914E5">
              <w:rPr>
                <w:sz w:val="20"/>
              </w:rPr>
              <w:t>end-user,</w:t>
            </w:r>
          </w:p>
          <w:p w:rsidR="001B1C2D" w:rsidRPr="00F833E7" w:rsidRDefault="00F833E7" w:rsidP="00F914E5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sz w:val="20"/>
              </w:rPr>
            </w:pPr>
            <w:r>
              <w:rPr>
                <w:sz w:val="20"/>
              </w:rPr>
              <w:t xml:space="preserve">the e-invoice is received by the AP Provider even though it hasn’t been </w:t>
            </w:r>
            <w:r w:rsidR="00D500DA" w:rsidRPr="00D500DA">
              <w:rPr>
                <w:sz w:val="20"/>
              </w:rPr>
              <w:t>validated by the</w:t>
            </w:r>
            <w:r w:rsidR="00F914E5">
              <w:rPr>
                <w:sz w:val="20"/>
              </w:rPr>
              <w:t xml:space="preserve"> </w:t>
            </w:r>
            <w:r w:rsidR="00F914E5" w:rsidRPr="00D500DA">
              <w:rPr>
                <w:sz w:val="20"/>
              </w:rPr>
              <w:t xml:space="preserve">receiving </w:t>
            </w:r>
            <w:r w:rsidR="00F914E5">
              <w:rPr>
                <w:sz w:val="20"/>
              </w:rPr>
              <w:t>party/s or end-user.</w:t>
            </w:r>
          </w:p>
        </w:tc>
      </w:tr>
    </w:tbl>
    <w:p w:rsidR="00101B3D" w:rsidRDefault="00101B3D" w:rsidP="002608D8">
      <w:pPr>
        <w:pStyle w:val="Heading3"/>
        <w:spacing w:before="480"/>
      </w:pPr>
      <w:r>
        <w:t>Optional Reporting</w:t>
      </w:r>
    </w:p>
    <w:p w:rsidR="002608D8" w:rsidRDefault="00101B3D" w:rsidP="002608D8">
      <w:pPr>
        <w:spacing w:before="120" w:line="276" w:lineRule="auto"/>
        <w:rPr>
          <w:rFonts w:cstheme="minorHAnsi"/>
        </w:rPr>
      </w:pPr>
      <w:r>
        <w:t>Service providers are encouraged to report additional information to support better monitoring of adoption progress and trends</w:t>
      </w:r>
      <w:r w:rsidR="004629C2">
        <w:t xml:space="preserve"> which will </w:t>
      </w:r>
      <w:r>
        <w:t>help to identify areas of focus and</w:t>
      </w:r>
      <w:r w:rsidRPr="00101B3D">
        <w:t xml:space="preserve"> </w:t>
      </w:r>
      <w:r>
        <w:t>targeting adoption strategies and initiatives</w:t>
      </w:r>
      <w:r w:rsidR="002608D8">
        <w:t xml:space="preserve">. </w:t>
      </w:r>
      <w:r w:rsidR="002608D8" w:rsidRPr="000628ED">
        <w:rPr>
          <w:rFonts w:cstheme="minorHAnsi"/>
        </w:rPr>
        <w:t xml:space="preserve">The information reported is </w:t>
      </w:r>
      <w:r w:rsidR="002608D8">
        <w:rPr>
          <w:rFonts w:cstheme="minorHAnsi"/>
        </w:rPr>
        <w:t xml:space="preserve">aggregated to prevent </w:t>
      </w:r>
      <w:r w:rsidR="002608D8" w:rsidRPr="000628ED">
        <w:rPr>
          <w:rFonts w:cstheme="minorHAnsi"/>
        </w:rPr>
        <w:t xml:space="preserve">any </w:t>
      </w:r>
      <w:r w:rsidR="002608D8">
        <w:rPr>
          <w:rFonts w:cstheme="minorHAnsi"/>
        </w:rPr>
        <w:t>identifiable personal information</w:t>
      </w:r>
      <w:r w:rsidR="002608D8" w:rsidRPr="000628ED">
        <w:rPr>
          <w:rFonts w:cstheme="minorHAnsi"/>
        </w:rPr>
        <w:t>.</w:t>
      </w:r>
    </w:p>
    <w:p w:rsidR="00101B3D" w:rsidRDefault="007C48AF" w:rsidP="00101B3D">
      <w:pPr>
        <w:pStyle w:val="ListParagraph"/>
        <w:numPr>
          <w:ilvl w:val="0"/>
          <w:numId w:val="30"/>
        </w:numPr>
      </w:pPr>
      <w:r>
        <w:t>e-</w:t>
      </w:r>
      <w:r w:rsidR="002608D8">
        <w:t>Invoice v</w:t>
      </w:r>
      <w:r w:rsidR="00101B3D" w:rsidRPr="00101B3D">
        <w:t xml:space="preserve">olumes of </w:t>
      </w:r>
      <w:r w:rsidR="00101B3D">
        <w:t>invoices by geographic location, and</w:t>
      </w:r>
    </w:p>
    <w:p w:rsidR="00101B3D" w:rsidRDefault="007C48AF" w:rsidP="00101B3D">
      <w:pPr>
        <w:pStyle w:val="ListParagraph"/>
        <w:numPr>
          <w:ilvl w:val="0"/>
          <w:numId w:val="30"/>
        </w:numPr>
      </w:pPr>
      <w:r>
        <w:t>e-</w:t>
      </w:r>
      <w:r w:rsidR="002608D8">
        <w:t>Invoice volumes</w:t>
      </w:r>
      <w:r w:rsidR="00101B3D" w:rsidRPr="00101B3D">
        <w:t xml:space="preserve"> industry </w:t>
      </w:r>
      <w:r w:rsidR="00101B3D">
        <w:t>groups</w:t>
      </w:r>
    </w:p>
    <w:p w:rsidR="002608D8" w:rsidRDefault="002608D8" w:rsidP="002608D8">
      <w:pPr>
        <w:pStyle w:val="ListParagraph"/>
        <w:spacing w:before="360" w:line="240" w:lineRule="auto"/>
        <w:ind w:left="360"/>
      </w:pPr>
    </w:p>
    <w:p w:rsidR="00101B3D" w:rsidRDefault="007C48AF" w:rsidP="00101B3D">
      <w:pPr>
        <w:pStyle w:val="ListParagraph"/>
        <w:numPr>
          <w:ilvl w:val="0"/>
          <w:numId w:val="31"/>
        </w:numPr>
        <w:spacing w:before="360" w:line="240" w:lineRule="auto"/>
      </w:pPr>
      <w:r>
        <w:t>e-</w:t>
      </w:r>
      <w:r w:rsidR="002608D8">
        <w:t>Invoice</w:t>
      </w:r>
      <w:r w:rsidR="00101B3D" w:rsidRPr="00101B3D">
        <w:t xml:space="preserve"> volumes of invoices by geographic location</w:t>
      </w:r>
    </w:p>
    <w:p w:rsidR="00101B3D" w:rsidRDefault="00101B3D" w:rsidP="004629C2">
      <w:pPr>
        <w:spacing w:before="0"/>
        <w:ind w:left="357"/>
      </w:pPr>
    </w:p>
    <w:tbl>
      <w:tblPr>
        <w:tblW w:w="595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2126"/>
        <w:gridCol w:w="2410"/>
      </w:tblGrid>
      <w:tr w:rsidR="00101B3D" w:rsidRPr="00986D09" w:rsidTr="00101B3D">
        <w:trPr>
          <w:trHeight w:val="465"/>
        </w:trPr>
        <w:tc>
          <w:tcPr>
            <w:tcW w:w="59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vAlign w:val="center"/>
          </w:tcPr>
          <w:p w:rsidR="00101B3D" w:rsidRPr="00986D09" w:rsidRDefault="002608D8" w:rsidP="00101B3D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Volumes</w:t>
            </w:r>
            <w:r w:rsidR="00101B3D"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 xml:space="preserve"> by postal code</w:t>
            </w:r>
          </w:p>
        </w:tc>
      </w:tr>
      <w:tr w:rsidR="00101B3D" w:rsidRPr="00986D09" w:rsidTr="00101B3D">
        <w:trPr>
          <w:trHeight w:val="465"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</w:tcPr>
          <w:p w:rsidR="00101B3D" w:rsidRPr="00624A5E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Postcode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  <w:noWrap/>
            <w:vAlign w:val="center"/>
          </w:tcPr>
          <w:p w:rsidR="00101B3D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Volume</w:t>
            </w:r>
          </w:p>
          <w:p w:rsidR="00101B3D" w:rsidRPr="00624A5E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(sent)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F81BD" w:fill="92D050"/>
            <w:noWrap/>
            <w:vAlign w:val="center"/>
          </w:tcPr>
          <w:p w:rsidR="00101B3D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Volume</w:t>
            </w:r>
          </w:p>
          <w:p w:rsidR="00101B3D" w:rsidRPr="00624A5E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(received)</w:t>
            </w:r>
          </w:p>
        </w:tc>
      </w:tr>
      <w:tr w:rsidR="00101B3D" w:rsidRPr="00986D09" w:rsidTr="00101B3D">
        <w:trPr>
          <w:trHeight w:val="560"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:rsidR="00101B3D" w:rsidRPr="00986D09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XXXX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  <w:hideMark/>
          </w:tcPr>
          <w:p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  <w:hideMark/>
          </w:tcPr>
          <w:p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101B3D" w:rsidRPr="00986D09" w:rsidTr="00101B3D">
        <w:trPr>
          <w:trHeight w:val="576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101B3D" w:rsidRPr="00986D09" w:rsidRDefault="00101B3D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XXXX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101B3D" w:rsidRPr="00986D09" w:rsidTr="00101B3D">
        <w:trPr>
          <w:trHeight w:val="559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:rsidR="00101B3D" w:rsidRPr="00986D09" w:rsidRDefault="009506B1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Add as needed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</w:tcPr>
          <w:p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</w:tcPr>
          <w:p w:rsidR="00101B3D" w:rsidRPr="00986D09" w:rsidRDefault="00101B3D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</w:tr>
    </w:tbl>
    <w:p w:rsidR="00101B3D" w:rsidRDefault="00101B3D" w:rsidP="004629C2">
      <w:pPr>
        <w:spacing w:before="0"/>
        <w:ind w:left="357"/>
      </w:pPr>
    </w:p>
    <w:p w:rsidR="00101B3D" w:rsidRDefault="00101B3D" w:rsidP="002608D8">
      <w:pPr>
        <w:spacing w:before="120"/>
        <w:ind w:left="357"/>
      </w:pPr>
      <w:r>
        <w:t>In Australia</w:t>
      </w:r>
    </w:p>
    <w:p w:rsidR="002E345A" w:rsidRDefault="00101B3D" w:rsidP="002E345A">
      <w:pPr>
        <w:pStyle w:val="ListParagraph"/>
        <w:numPr>
          <w:ilvl w:val="0"/>
          <w:numId w:val="32"/>
        </w:numPr>
      </w:pPr>
      <w:r>
        <w:t>Postcode</w:t>
      </w:r>
      <w:r w:rsidR="002E345A">
        <w:t xml:space="preserve">s for a business with an ABN </w:t>
      </w:r>
      <w:r w:rsidR="002E345A" w:rsidRPr="002E345A">
        <w:t>are available on the Australian Business Register (ABR).</w:t>
      </w:r>
      <w:r w:rsidR="002E345A">
        <w:t xml:space="preserve"> There are </w:t>
      </w:r>
      <w:r w:rsidR="009506B1">
        <w:t>services and too</w:t>
      </w:r>
      <w:r w:rsidR="004629C2">
        <w:t>ls</w:t>
      </w:r>
      <w:r w:rsidR="002E345A">
        <w:t xml:space="preserve"> to assist in developing automated processes to access </w:t>
      </w:r>
      <w:r w:rsidR="009506B1">
        <w:t>information on the ABR</w:t>
      </w:r>
      <w:r w:rsidR="002E345A">
        <w:t>:</w:t>
      </w:r>
    </w:p>
    <w:p w:rsidR="002E345A" w:rsidRDefault="00BA2A5F" w:rsidP="002E345A">
      <w:pPr>
        <w:pStyle w:val="ListParagraph"/>
        <w:numPr>
          <w:ilvl w:val="1"/>
          <w:numId w:val="32"/>
        </w:numPr>
      </w:pPr>
      <w:hyperlink r:id="rId15" w:history="1">
        <w:r w:rsidR="002E345A" w:rsidRPr="006648B4">
          <w:rPr>
            <w:rStyle w:val="Hyperlink"/>
          </w:rPr>
          <w:t>ABN Lookup Web Servic</w:t>
        </w:r>
        <w:r w:rsidR="002E345A">
          <w:rPr>
            <w:rStyle w:val="Hyperlink"/>
          </w:rPr>
          <w:t>es</w:t>
        </w:r>
      </w:hyperlink>
    </w:p>
    <w:p w:rsidR="002E345A" w:rsidRDefault="00BA2A5F" w:rsidP="002E345A">
      <w:pPr>
        <w:pStyle w:val="ListParagraph"/>
        <w:numPr>
          <w:ilvl w:val="1"/>
          <w:numId w:val="32"/>
        </w:numPr>
      </w:pPr>
      <w:hyperlink r:id="rId16" w:history="1">
        <w:r w:rsidR="002E345A" w:rsidRPr="00091029">
          <w:rPr>
            <w:rStyle w:val="Hyperlink"/>
          </w:rPr>
          <w:t>ABN Lookup too</w:t>
        </w:r>
        <w:r w:rsidR="002E345A">
          <w:rPr>
            <w:rStyle w:val="Hyperlink"/>
          </w:rPr>
          <w:t>ls</w:t>
        </w:r>
      </w:hyperlink>
      <w:r w:rsidR="002E345A">
        <w:t xml:space="preserve"> </w:t>
      </w:r>
    </w:p>
    <w:p w:rsidR="00101B3D" w:rsidRPr="00101B3D" w:rsidRDefault="00101B3D" w:rsidP="004629C2">
      <w:pPr>
        <w:spacing w:before="0"/>
        <w:ind w:left="357"/>
      </w:pPr>
    </w:p>
    <w:p w:rsidR="00101B3D" w:rsidRPr="002A6CC9" w:rsidRDefault="00101B3D" w:rsidP="002608D8">
      <w:pPr>
        <w:spacing w:before="120"/>
        <w:ind w:left="357"/>
      </w:pPr>
      <w:r w:rsidRPr="002A6CC9">
        <w:t>In New Zealand</w:t>
      </w:r>
    </w:p>
    <w:p w:rsidR="002E345A" w:rsidRPr="002A6CC9" w:rsidRDefault="002E345A" w:rsidP="002E345A">
      <w:pPr>
        <w:pStyle w:val="ListParagraph"/>
        <w:numPr>
          <w:ilvl w:val="0"/>
          <w:numId w:val="32"/>
        </w:numPr>
      </w:pPr>
      <w:r w:rsidRPr="002A6CC9">
        <w:t xml:space="preserve">Postcodes for a business with an NZBN are available on the NZBN Register. An Application Programming Interface (API) is available to assist in developing automated processes to access information on the </w:t>
      </w:r>
      <w:r w:rsidR="009506B1" w:rsidRPr="002A6CC9">
        <w:t>NZBN Register</w:t>
      </w:r>
      <w:r w:rsidRPr="002A6CC9">
        <w:t>:</w:t>
      </w:r>
    </w:p>
    <w:p w:rsidR="002E345A" w:rsidRPr="002A6CC9" w:rsidRDefault="00BA2A5F" w:rsidP="002E345A">
      <w:pPr>
        <w:pStyle w:val="ListParagraph"/>
        <w:numPr>
          <w:ilvl w:val="1"/>
          <w:numId w:val="32"/>
        </w:numPr>
      </w:pPr>
      <w:hyperlink r:id="rId17" w:history="1">
        <w:r w:rsidR="009506B1" w:rsidRPr="002A6CC9">
          <w:rPr>
            <w:rStyle w:val="Hyperlink"/>
          </w:rPr>
          <w:t>NZBN Register - API</w:t>
        </w:r>
      </w:hyperlink>
    </w:p>
    <w:p w:rsidR="002E345A" w:rsidRDefault="002E345A" w:rsidP="002E345A">
      <w:pPr>
        <w:pStyle w:val="ListParagraph"/>
        <w:spacing w:before="360" w:line="240" w:lineRule="auto"/>
        <w:ind w:left="360"/>
      </w:pPr>
    </w:p>
    <w:p w:rsidR="00101B3D" w:rsidRDefault="007C48AF" w:rsidP="00101B3D">
      <w:pPr>
        <w:pStyle w:val="ListParagraph"/>
        <w:numPr>
          <w:ilvl w:val="0"/>
          <w:numId w:val="31"/>
        </w:numPr>
        <w:spacing w:before="360" w:line="240" w:lineRule="auto"/>
      </w:pPr>
      <w:r>
        <w:t>e-</w:t>
      </w:r>
      <w:r w:rsidR="002608D8">
        <w:t>Invoice v</w:t>
      </w:r>
      <w:r w:rsidR="00101B3D" w:rsidRPr="00101B3D">
        <w:t>olumes industry groups</w:t>
      </w:r>
    </w:p>
    <w:p w:rsidR="002E345A" w:rsidRPr="004629C2" w:rsidRDefault="002E345A" w:rsidP="004629C2">
      <w:pPr>
        <w:spacing w:before="0"/>
        <w:ind w:left="357"/>
      </w:pPr>
    </w:p>
    <w:tbl>
      <w:tblPr>
        <w:tblW w:w="595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2126"/>
        <w:gridCol w:w="2410"/>
      </w:tblGrid>
      <w:tr w:rsidR="002E345A" w:rsidRPr="00986D09" w:rsidTr="00490D9D">
        <w:trPr>
          <w:trHeight w:val="465"/>
        </w:trPr>
        <w:tc>
          <w:tcPr>
            <w:tcW w:w="59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vAlign w:val="center"/>
          </w:tcPr>
          <w:p w:rsidR="002E345A" w:rsidRPr="00986D09" w:rsidRDefault="002E345A" w:rsidP="002E345A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Volumes by industry group</w:t>
            </w:r>
          </w:p>
        </w:tc>
      </w:tr>
      <w:tr w:rsidR="002E345A" w:rsidRPr="00986D09" w:rsidTr="00490D9D">
        <w:trPr>
          <w:trHeight w:val="465"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</w:tcPr>
          <w:p w:rsidR="002E345A" w:rsidRPr="00624A5E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Industry code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  <w:noWrap/>
            <w:vAlign w:val="center"/>
          </w:tcPr>
          <w:p w:rsidR="002E345A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Volume</w:t>
            </w:r>
          </w:p>
          <w:p w:rsidR="002E345A" w:rsidRPr="00624A5E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(sent)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F81BD" w:fill="92D050"/>
            <w:noWrap/>
            <w:vAlign w:val="center"/>
          </w:tcPr>
          <w:p w:rsidR="002E345A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Volume</w:t>
            </w:r>
          </w:p>
          <w:p w:rsidR="002E345A" w:rsidRPr="00624A5E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(received)</w:t>
            </w:r>
          </w:p>
        </w:tc>
      </w:tr>
      <w:tr w:rsidR="002E345A" w:rsidRPr="00986D09" w:rsidTr="00490D9D">
        <w:trPr>
          <w:trHeight w:val="560"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:rsidR="002E345A" w:rsidRPr="00986D09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XXXX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  <w:hideMark/>
          </w:tcPr>
          <w:p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  <w:hideMark/>
          </w:tcPr>
          <w:p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2E345A" w:rsidRPr="00986D09" w:rsidTr="00490D9D">
        <w:trPr>
          <w:trHeight w:val="576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2E345A" w:rsidRPr="00986D09" w:rsidRDefault="002E345A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XXXX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2E345A" w:rsidRPr="00986D09" w:rsidTr="00490D9D">
        <w:trPr>
          <w:trHeight w:val="559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:rsidR="002E345A" w:rsidRPr="00986D09" w:rsidRDefault="009506B1" w:rsidP="00490D9D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Add as needed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</w:tcPr>
          <w:p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</w:tcPr>
          <w:p w:rsidR="002E345A" w:rsidRPr="00986D09" w:rsidRDefault="002E345A" w:rsidP="00490D9D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</w:tr>
    </w:tbl>
    <w:p w:rsidR="002E345A" w:rsidRPr="004629C2" w:rsidRDefault="002E345A" w:rsidP="004629C2">
      <w:pPr>
        <w:spacing w:before="0"/>
        <w:ind w:left="357"/>
      </w:pPr>
    </w:p>
    <w:p w:rsidR="002E345A" w:rsidRDefault="002E345A" w:rsidP="002608D8">
      <w:pPr>
        <w:spacing w:before="120"/>
        <w:ind w:left="357"/>
      </w:pPr>
      <w:r>
        <w:t>In Australia</w:t>
      </w:r>
    </w:p>
    <w:p w:rsidR="002E345A" w:rsidRDefault="009506B1" w:rsidP="002E345A">
      <w:pPr>
        <w:pStyle w:val="ListParagraph"/>
        <w:numPr>
          <w:ilvl w:val="0"/>
          <w:numId w:val="32"/>
        </w:numPr>
      </w:pPr>
      <w:r>
        <w:t>Business industry codes will need to be sourced directly from business</w:t>
      </w:r>
      <w:r w:rsidR="004629C2">
        <w:t>es as these are not publicly available on the ABR</w:t>
      </w:r>
      <w:r>
        <w:t>.</w:t>
      </w:r>
    </w:p>
    <w:p w:rsidR="002E345A" w:rsidRPr="004629C2" w:rsidRDefault="002E345A" w:rsidP="004629C2">
      <w:pPr>
        <w:spacing w:before="0"/>
        <w:ind w:left="357"/>
      </w:pPr>
    </w:p>
    <w:p w:rsidR="009506B1" w:rsidRPr="002A6CC9" w:rsidRDefault="002E345A" w:rsidP="002608D8">
      <w:pPr>
        <w:spacing w:before="120"/>
        <w:ind w:left="357"/>
      </w:pPr>
      <w:r w:rsidRPr="002A6CC9">
        <w:t>In New Zealand</w:t>
      </w:r>
    </w:p>
    <w:p w:rsidR="009506B1" w:rsidRPr="002A6CC9" w:rsidRDefault="009506B1" w:rsidP="009506B1">
      <w:pPr>
        <w:pStyle w:val="ListParagraph"/>
        <w:numPr>
          <w:ilvl w:val="0"/>
          <w:numId w:val="32"/>
        </w:numPr>
      </w:pPr>
      <w:r w:rsidRPr="002A6CC9">
        <w:t>Business Industry Classification Codes for a business with an NZBN are available on the NZBN Register. An Application Programming Interface (API) is available to assist in developing automated processes to access information on the NZBN Register:</w:t>
      </w:r>
    </w:p>
    <w:p w:rsidR="009506B1" w:rsidRPr="002A6CC9" w:rsidRDefault="00BA2A5F" w:rsidP="009506B1">
      <w:pPr>
        <w:pStyle w:val="ListParagraph"/>
        <w:numPr>
          <w:ilvl w:val="1"/>
          <w:numId w:val="32"/>
        </w:numPr>
        <w:spacing w:before="0" w:line="240" w:lineRule="auto"/>
        <w:rPr>
          <w:rFonts w:ascii="Arial" w:eastAsiaTheme="majorEastAsia" w:hAnsi="Arial" w:cstheme="majorBidi"/>
          <w:b/>
          <w:bCs/>
          <w:iCs/>
          <w:sz w:val="28"/>
        </w:rPr>
      </w:pPr>
      <w:hyperlink r:id="rId18" w:history="1">
        <w:r w:rsidR="009506B1" w:rsidRPr="002A6CC9">
          <w:rPr>
            <w:rStyle w:val="Hyperlink"/>
          </w:rPr>
          <w:t>NZBN Register - API</w:t>
        </w:r>
      </w:hyperlink>
      <w:r w:rsidR="009506B1" w:rsidRPr="002A6CC9">
        <w:rPr>
          <w:rFonts w:ascii="Arial" w:eastAsiaTheme="majorEastAsia" w:hAnsi="Arial" w:cstheme="majorBidi"/>
          <w:b/>
          <w:bCs/>
          <w:iCs/>
          <w:sz w:val="28"/>
        </w:rPr>
        <w:br w:type="page"/>
      </w:r>
    </w:p>
    <w:p w:rsidR="008A434D" w:rsidRPr="00F21E3A" w:rsidRDefault="00986D09" w:rsidP="001B1C2D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8"/>
        </w:rPr>
      </w:pPr>
      <w:r w:rsidRPr="00F21E3A">
        <w:rPr>
          <w:rFonts w:ascii="Arial" w:eastAsiaTheme="majorEastAsia" w:hAnsi="Arial" w:cstheme="majorBidi"/>
          <w:b/>
          <w:bCs/>
          <w:iCs/>
          <w:sz w:val="28"/>
        </w:rPr>
        <w:lastRenderedPageBreak/>
        <w:t>Appendix 1</w:t>
      </w:r>
    </w:p>
    <w:p w:rsidR="00986D09" w:rsidRDefault="00986D09" w:rsidP="008F2281">
      <w:pPr>
        <w:spacing w:before="12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</w:p>
    <w:tbl>
      <w:tblPr>
        <w:tblW w:w="92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276"/>
        <w:gridCol w:w="1417"/>
        <w:gridCol w:w="2126"/>
        <w:gridCol w:w="2410"/>
      </w:tblGrid>
      <w:tr w:rsidR="00D85804" w:rsidRPr="00986D09" w:rsidTr="00013A09">
        <w:trPr>
          <w:trHeight w:val="435"/>
        </w:trPr>
        <w:tc>
          <w:tcPr>
            <w:tcW w:w="92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:rsidR="00D85804" w:rsidRPr="00986D09" w:rsidRDefault="00D85804" w:rsidP="00986D09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986D0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e-Invoicing Stati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st</w:t>
            </w:r>
            <w:r w:rsidRPr="00986D0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AU"/>
              </w:rPr>
              <w:t>ical reporting</w:t>
            </w:r>
          </w:p>
        </w:tc>
      </w:tr>
      <w:tr w:rsidR="00D85804" w:rsidRPr="00986D09" w:rsidTr="00013A09">
        <w:trPr>
          <w:trHeight w:val="270"/>
        </w:trPr>
        <w:tc>
          <w:tcPr>
            <w:tcW w:w="9229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85804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 </w:t>
            </w:r>
          </w:p>
          <w:p w:rsidR="009A3EF7" w:rsidRPr="009A3EF7" w:rsidRDefault="009A3EF7" w:rsidP="00986D09">
            <w:pPr>
              <w:spacing w:before="0" w:line="240" w:lineRule="auto"/>
              <w:rPr>
                <w:rFonts w:ascii="Arial" w:eastAsia="Times New Roman" w:hAnsi="Arial" w:cs="Arial"/>
                <w:b/>
                <w:color w:val="000000"/>
                <w:szCs w:val="22"/>
                <w:lang w:eastAsia="en-AU"/>
              </w:rPr>
            </w:pPr>
            <w:r w:rsidRPr="009A3EF7">
              <w:rPr>
                <w:rFonts w:ascii="Arial" w:eastAsia="Times New Roman" w:hAnsi="Arial" w:cs="Arial"/>
                <w:b/>
                <w:color w:val="000000"/>
                <w:szCs w:val="22"/>
                <w:lang w:eastAsia="en-AU"/>
              </w:rPr>
              <w:t>Send to respective Australia or New Zealand PEPPOL Authority:</w:t>
            </w:r>
          </w:p>
          <w:p w:rsidR="00D85804" w:rsidRPr="006B07E4" w:rsidRDefault="009A3EF7" w:rsidP="006B07E4">
            <w:pPr>
              <w:pStyle w:val="ListParagraph"/>
              <w:numPr>
                <w:ilvl w:val="0"/>
                <w:numId w:val="26"/>
              </w:numPr>
              <w:spacing w:before="120" w:line="240" w:lineRule="auto"/>
              <w:ind w:left="714" w:hanging="357"/>
              <w:contextualSpacing w:val="0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 xml:space="preserve">Australian Peppol Authority </w:t>
            </w:r>
            <w:hyperlink r:id="rId19" w:history="1">
              <w:r w:rsidR="00D85804" w:rsidRPr="006B07E4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en-AU"/>
                </w:rPr>
                <w:t>e-Invoicing@ato.gov.au</w:t>
              </w:r>
            </w:hyperlink>
            <w:r>
              <w:rPr>
                <w:rFonts w:ascii="Arial" w:eastAsia="Times New Roman" w:hAnsi="Arial" w:cs="Arial"/>
                <w:color w:val="0000FF"/>
                <w:sz w:val="21"/>
                <w:szCs w:val="21"/>
                <w:u w:val="single"/>
                <w:lang w:eastAsia="en-AU"/>
              </w:rPr>
              <w:t>,</w:t>
            </w:r>
          </w:p>
          <w:p w:rsidR="00D85804" w:rsidRPr="006B07E4" w:rsidRDefault="00D85804" w:rsidP="006B07E4">
            <w:pPr>
              <w:pStyle w:val="ListParagraph"/>
              <w:numPr>
                <w:ilvl w:val="0"/>
                <w:numId w:val="26"/>
              </w:numPr>
              <w:spacing w:before="120" w:line="240" w:lineRule="auto"/>
              <w:ind w:left="714" w:hanging="357"/>
              <w:contextualSpacing w:val="0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 w:rsidRPr="006B07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New Zealand</w:t>
            </w:r>
            <w:r w:rsidR="009A3EF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 xml:space="preserve"> Peppol Authority</w:t>
            </w:r>
            <w:r w:rsidRPr="006B07E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 xml:space="preserve"> </w:t>
            </w:r>
            <w:hyperlink r:id="rId20" w:history="1">
              <w:r>
                <w:rPr>
                  <w:rStyle w:val="Hyperlink"/>
                  <w:lang w:val="en-NZ"/>
                </w:rPr>
                <w:t>support@nzpeppol.govt.nz</w:t>
              </w:r>
            </w:hyperlink>
          </w:p>
          <w:p w:rsidR="00D85804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</w:p>
          <w:p w:rsidR="00D85804" w:rsidRPr="00624A5E" w:rsidRDefault="00D85804" w:rsidP="006B07E4">
            <w:pPr>
              <w:spacing w:before="0" w:line="240" w:lineRule="auto"/>
              <w:rPr>
                <w:rFonts w:ascii="Arial" w:eastAsia="Times New Roman" w:hAnsi="Arial" w:cs="Arial"/>
                <w:b/>
                <w:color w:val="000000"/>
                <w:szCs w:val="22"/>
                <w:lang w:eastAsia="en-AU"/>
              </w:rPr>
            </w:pPr>
            <w:r w:rsidRPr="00624A5E">
              <w:rPr>
                <w:rFonts w:ascii="Arial" w:eastAsia="Times New Roman" w:hAnsi="Arial" w:cs="Arial"/>
                <w:b/>
                <w:color w:val="000000"/>
                <w:szCs w:val="22"/>
                <w:lang w:eastAsia="en-AU"/>
              </w:rPr>
              <w:t>Only statistics relevant to each PEPPOL Authority relating to their domain</w:t>
            </w:r>
          </w:p>
          <w:p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</w:p>
        </w:tc>
      </w:tr>
      <w:tr w:rsidR="00D85804" w:rsidRPr="00986D09" w:rsidTr="00013A09">
        <w:trPr>
          <w:trHeight w:val="450"/>
        </w:trPr>
        <w:tc>
          <w:tcPr>
            <w:tcW w:w="92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4F81BD" w:fill="4F81BD"/>
            <w:noWrap/>
            <w:vAlign w:val="center"/>
            <w:hideMark/>
          </w:tcPr>
          <w:p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Reported by</w:t>
            </w:r>
          </w:p>
        </w:tc>
      </w:tr>
      <w:tr w:rsidR="00D85804" w:rsidRPr="00986D09" w:rsidTr="00013A09">
        <w:trPr>
          <w:trHeight w:val="514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AP Provider name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:rsidTr="00013A09">
        <w:trPr>
          <w:trHeight w:val="517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Contact person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:rsidTr="00013A09">
        <w:trPr>
          <w:trHeight w:val="537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Contact phone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:rsidTr="00013A09">
        <w:trPr>
          <w:trHeight w:val="270"/>
        </w:trPr>
        <w:tc>
          <w:tcPr>
            <w:tcW w:w="92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85804" w:rsidRPr="00986D09" w:rsidRDefault="00D85804" w:rsidP="008F2281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  </w:t>
            </w:r>
          </w:p>
        </w:tc>
      </w:tr>
      <w:tr w:rsidR="00D85804" w:rsidRPr="00986D09" w:rsidTr="00013A09">
        <w:trPr>
          <w:trHeight w:val="450"/>
        </w:trPr>
        <w:tc>
          <w:tcPr>
            <w:tcW w:w="92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4F81BD" w:fill="4F81BD"/>
            <w:noWrap/>
            <w:vAlign w:val="center"/>
            <w:hideMark/>
          </w:tcPr>
          <w:p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Reporting period</w:t>
            </w:r>
          </w:p>
        </w:tc>
      </w:tr>
      <w:tr w:rsidR="00D85804" w:rsidRPr="00986D09" w:rsidTr="00013A09">
        <w:trPr>
          <w:trHeight w:val="574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Month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5953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:rsidR="00D85804" w:rsidRPr="00986D09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:rsidTr="00013A09">
        <w:trPr>
          <w:trHeight w:val="270"/>
        </w:trPr>
        <w:tc>
          <w:tcPr>
            <w:tcW w:w="92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85804" w:rsidRPr="00986D09" w:rsidRDefault="00D85804" w:rsidP="008F2281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 w:val="20"/>
                <w:lang w:eastAsia="en-AU"/>
              </w:rPr>
              <w:t>  </w:t>
            </w:r>
          </w:p>
        </w:tc>
      </w:tr>
      <w:tr w:rsidR="009A3EF7" w:rsidRPr="00986D09" w:rsidTr="00013A09">
        <w:trPr>
          <w:trHeight w:val="450"/>
        </w:trPr>
        <w:tc>
          <w:tcPr>
            <w:tcW w:w="92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4F81BD" w:fill="4F81BD"/>
            <w:noWrap/>
            <w:vAlign w:val="center"/>
            <w:hideMark/>
          </w:tcPr>
          <w:p w:rsidR="009A3EF7" w:rsidRPr="00986D09" w:rsidRDefault="009A3EF7" w:rsidP="00B67121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Report Data</w:t>
            </w:r>
          </w:p>
        </w:tc>
      </w:tr>
      <w:tr w:rsidR="009A3EF7" w:rsidRPr="00986D09" w:rsidTr="00013A09">
        <w:trPr>
          <w:trHeight w:val="609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CE6F1"/>
            <w:noWrap/>
            <w:vAlign w:val="center"/>
            <w:hideMark/>
          </w:tcPr>
          <w:p w:rsidR="009A3EF7" w:rsidRPr="00986D09" w:rsidRDefault="009A3EF7" w:rsidP="00B67121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2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Numbers of effective senders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5953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:rsidR="009A3EF7" w:rsidRPr="00986D09" w:rsidRDefault="009A3EF7" w:rsidP="00B67121">
            <w:pPr>
              <w:spacing w:before="0" w:line="240" w:lineRule="auto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101B3D" w:rsidRPr="00986D09" w:rsidTr="00101B3D">
        <w:trPr>
          <w:trHeight w:val="465"/>
        </w:trPr>
        <w:tc>
          <w:tcPr>
            <w:tcW w:w="92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vAlign w:val="center"/>
          </w:tcPr>
          <w:p w:rsidR="00101B3D" w:rsidRPr="00986D09" w:rsidRDefault="00101B3D" w:rsidP="00101B3D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n-AU"/>
              </w:rPr>
              <w:t>Volumes by document type</w:t>
            </w:r>
          </w:p>
        </w:tc>
      </w:tr>
      <w:tr w:rsidR="00D85804" w:rsidRPr="00986D09" w:rsidTr="00EA58EA">
        <w:trPr>
          <w:trHeight w:val="465"/>
        </w:trPr>
        <w:tc>
          <w:tcPr>
            <w:tcW w:w="3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4F81BD" w:fill="92D050"/>
            <w:noWrap/>
            <w:vAlign w:val="center"/>
            <w:hideMark/>
          </w:tcPr>
          <w:p w:rsidR="00D85804" w:rsidRPr="00624A5E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 w:rsidRPr="00624A5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Document Type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</w:tcPr>
          <w:p w:rsidR="00D85804" w:rsidRPr="00624A5E" w:rsidRDefault="00013A09" w:rsidP="00986D09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Document type ID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F81BD" w:fill="92D050"/>
            <w:noWrap/>
            <w:vAlign w:val="center"/>
            <w:hideMark/>
          </w:tcPr>
          <w:p w:rsidR="00D85804" w:rsidRPr="00624A5E" w:rsidRDefault="00D85804" w:rsidP="00986D09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 w:rsidRPr="00624A5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Sent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F81BD" w:fill="92D050"/>
            <w:noWrap/>
            <w:vAlign w:val="center"/>
            <w:hideMark/>
          </w:tcPr>
          <w:p w:rsidR="00D85804" w:rsidRPr="00624A5E" w:rsidRDefault="00D85804" w:rsidP="00986D09">
            <w:pPr>
              <w:spacing w:before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</w:pPr>
            <w:r w:rsidRPr="00624A5E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AU"/>
              </w:rPr>
              <w:t>Received</w:t>
            </w:r>
          </w:p>
        </w:tc>
      </w:tr>
      <w:tr w:rsidR="00D85804" w:rsidRPr="00986D09" w:rsidTr="00EA58EA">
        <w:trPr>
          <w:trHeight w:val="560"/>
        </w:trPr>
        <w:tc>
          <w:tcPr>
            <w:tcW w:w="3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D85804" w:rsidRPr="00C5101D" w:rsidRDefault="00D85804" w:rsidP="00A87994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A-NZ Invoice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:rsidR="00D85804" w:rsidRPr="00986D09" w:rsidRDefault="00013A09" w:rsidP="00EA58EA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380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  <w:hideMark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  <w:hideMark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:rsidTr="00EA58EA">
        <w:trPr>
          <w:trHeight w:val="576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85804" w:rsidRPr="00C5101D" w:rsidRDefault="00D85804" w:rsidP="00A87994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C5101D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A-NZ Self-Billing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D85804" w:rsidRPr="00986D09" w:rsidRDefault="00013A09" w:rsidP="00EA58EA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389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 w:rsidRPr="00986D09"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 </w:t>
            </w:r>
          </w:p>
        </w:tc>
      </w:tr>
      <w:tr w:rsidR="00D85804" w:rsidRPr="00986D09" w:rsidTr="00EA58EA">
        <w:trPr>
          <w:trHeight w:val="559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A-NZ Credit Note: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:rsidR="00D85804" w:rsidRPr="00986D09" w:rsidRDefault="00013A09" w:rsidP="00EA58EA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381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</w:tr>
      <w:tr w:rsidR="00D85804" w:rsidRPr="00986D09" w:rsidTr="00EA58EA">
        <w:trPr>
          <w:trHeight w:val="559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</w:tcPr>
          <w:p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A-NZ Self-Billing Credit Note: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CC"/>
            <w:vAlign w:val="center"/>
          </w:tcPr>
          <w:p w:rsidR="00D85804" w:rsidRPr="00986D09" w:rsidRDefault="00013A09" w:rsidP="00EA58EA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  <w:t>261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FFFFCC"/>
            <w:noWrap/>
            <w:vAlign w:val="center"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CE6F1" w:fill="FFFFCC"/>
            <w:noWrap/>
            <w:vAlign w:val="center"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</w:tr>
      <w:tr w:rsidR="00D85804" w:rsidRPr="00986D09" w:rsidTr="00EA58EA">
        <w:trPr>
          <w:trHeight w:val="405"/>
        </w:trPr>
        <w:tc>
          <w:tcPr>
            <w:tcW w:w="3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</w:tcPr>
          <w:p w:rsidR="00D85804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</w:p>
          <w:p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E726E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>&lt;Add further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 xml:space="preserve"> rows</w:t>
            </w:r>
            <w:r w:rsidRPr="00E726E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  <w:t xml:space="preserve"> as needed&gt;</w:t>
            </w:r>
          </w:p>
          <w:p w:rsidR="00D85804" w:rsidRPr="00C5101D" w:rsidRDefault="00D85804" w:rsidP="00986D09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AU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D85804" w:rsidRPr="00986D09" w:rsidRDefault="00D85804" w:rsidP="00EA58EA">
            <w:pPr>
              <w:spacing w:before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</w:tcPr>
          <w:p w:rsidR="00D85804" w:rsidRPr="00986D09" w:rsidRDefault="00D85804" w:rsidP="00EA58EA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000000"/>
                <w:szCs w:val="22"/>
                <w:lang w:eastAsia="en-AU"/>
              </w:rPr>
            </w:pPr>
          </w:p>
        </w:tc>
      </w:tr>
    </w:tbl>
    <w:p w:rsidR="00F21E3A" w:rsidRDefault="00F21E3A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</w:p>
    <w:p w:rsidR="00F21E3A" w:rsidRDefault="00F21E3A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  <w:r>
        <w:rPr>
          <w:rFonts w:ascii="Arial" w:eastAsiaTheme="majorEastAsia" w:hAnsi="Arial" w:cstheme="majorBidi"/>
          <w:b/>
          <w:bCs/>
          <w:iCs/>
          <w:sz w:val="26"/>
        </w:rPr>
        <w:br w:type="page"/>
      </w:r>
    </w:p>
    <w:p w:rsidR="00C6511F" w:rsidRPr="00701E1F" w:rsidRDefault="00701E1F" w:rsidP="004C0277">
      <w:pPr>
        <w:pStyle w:val="Heading4"/>
      </w:pPr>
      <w:r w:rsidRPr="00701E1F">
        <w:lastRenderedPageBreak/>
        <w:t>Version history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73"/>
        <w:gridCol w:w="5242"/>
      </w:tblGrid>
      <w:tr w:rsidR="00701E1F" w:rsidRPr="00A862A8" w:rsidTr="00701E1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73" w:type="dxa"/>
          </w:tcPr>
          <w:p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01E1F" w:rsidRPr="00A862A8" w:rsidTr="00701E1F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01E1F" w:rsidRDefault="00701E1F" w:rsidP="00701E1F">
            <w:pPr>
              <w:pStyle w:val="Tabletext"/>
            </w:pPr>
            <w:r>
              <w:t>1.0</w:t>
            </w:r>
          </w:p>
        </w:tc>
        <w:tc>
          <w:tcPr>
            <w:tcW w:w="2273" w:type="dxa"/>
          </w:tcPr>
          <w:p w:rsidR="00701E1F" w:rsidRPr="00A862A8" w:rsidRDefault="00BA2A5F" w:rsidP="005B0D49">
            <w:pPr>
              <w:pStyle w:val="Tabletext"/>
            </w:pPr>
            <w:r>
              <w:t>31</w:t>
            </w:r>
            <w:r w:rsidR="005B0D49">
              <w:t>/</w:t>
            </w:r>
            <w:r>
              <w:t>01</w:t>
            </w:r>
            <w:r w:rsidR="005B0D49">
              <w:t>/2019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:rsidR="00701E1F" w:rsidRPr="00A862A8" w:rsidRDefault="00701E1F" w:rsidP="00AE0E98">
            <w:pPr>
              <w:pStyle w:val="Tabletext"/>
            </w:pPr>
            <w:r>
              <w:t>Initial published version</w:t>
            </w:r>
          </w:p>
        </w:tc>
      </w:tr>
    </w:tbl>
    <w:p w:rsidR="00380CB9" w:rsidRDefault="00380CB9" w:rsidP="00CC7C44">
      <w:bookmarkStart w:id="0" w:name="_GoBack"/>
      <w:bookmarkEnd w:id="0"/>
    </w:p>
    <w:sectPr w:rsidR="00380CB9" w:rsidSect="00C5101D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418" w:right="1418" w:bottom="1418" w:left="1418" w:header="397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7BB" w:rsidRDefault="001847BB" w:rsidP="00B538D7">
      <w:r>
        <w:separator/>
      </w:r>
    </w:p>
  </w:endnote>
  <w:endnote w:type="continuationSeparator" w:id="0">
    <w:p w:rsidR="001847BB" w:rsidRDefault="001847BB" w:rsidP="00B5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E98" w:rsidRDefault="00BA2A5F" w:rsidP="0024029D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  <w:sdt>
      <w:sdtPr>
        <w:rPr>
          <w:rStyle w:val="Classification"/>
        </w:rPr>
        <w:alias w:val="DLM"/>
        <w:tag w:val=""/>
        <w:id w:val="722255799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DefaultParagraphFont"/>
          <w:rFonts w:asciiTheme="minorHAnsi" w:hAnsiTheme="minorHAnsi"/>
          <w:b w:val="0"/>
          <w:sz w:val="16"/>
          <w:lang w:val="en-AU"/>
        </w:rPr>
      </w:sdtEndPr>
      <w:sdtContent>
        <w:r w:rsidR="00AE0E98" w:rsidRPr="0056745C">
          <w:rPr>
            <w:rStyle w:val="Classification"/>
          </w:rPr>
          <w:t>[DLM]</w:t>
        </w:r>
      </w:sdtContent>
    </w:sdt>
  </w:p>
  <w:p w:rsidR="00AE0E98" w:rsidRPr="002B0C38" w:rsidRDefault="00BA2A5F" w:rsidP="0024029D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sdt>
      <w:sdtPr>
        <w:rPr>
          <w:rStyle w:val="Classification"/>
        </w:rPr>
        <w:alias w:val="Classification"/>
        <w:tag w:val=""/>
        <w:id w:val="-113379517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rFonts w:asciiTheme="minorHAnsi" w:hAnsiTheme="minorHAnsi"/>
          <w:b w:val="0"/>
          <w:sz w:val="16"/>
          <w:lang w:val="en-AU"/>
        </w:rPr>
      </w:sdtEndPr>
      <w:sdtContent>
        <w:r w:rsidR="00AE0E98">
          <w:rPr>
            <w:rStyle w:val="Classification"/>
            <w:lang w:val="en-AU"/>
          </w:rPr>
          <w:t>UNCLASSIFIED</w:t>
        </w:r>
      </w:sdtContent>
    </w:sdt>
    <w:r w:rsidR="00AE0E98">
      <w:rPr>
        <w:rStyle w:val="Classification"/>
      </w:rPr>
      <w:t xml:space="preserve"> </w:t>
    </w:r>
    <w:r w:rsidR="00AE0E98" w:rsidRPr="0044347B">
      <w:rPr>
        <w:lang w:val="en-US"/>
      </w:rPr>
      <w:t xml:space="preserve"> </w:t>
    </w:r>
    <w:sdt>
      <w:sdtPr>
        <w:rPr>
          <w:lang w:val="en-US"/>
        </w:rPr>
        <w:alias w:val="Internal/External"/>
        <w:tag w:val="Internal/External"/>
        <w:id w:val="1830472434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EndPr/>
      <w:sdtContent>
        <w:r w:rsidR="00546051">
          <w:rPr>
            <w:lang w:val="en-US"/>
          </w:rPr>
          <w:t>External</w:t>
        </w:r>
      </w:sdtContent>
    </w:sdt>
    <w:r w:rsidR="00AE0E98">
      <w:rPr>
        <w:lang w:val="en-US"/>
      </w:rPr>
      <w:tab/>
    </w:r>
    <w:r w:rsidR="00AE0E98" w:rsidRPr="00F67130">
      <w:rPr>
        <w:noProof/>
        <w:sz w:val="20"/>
        <w:lang w:val="en-US"/>
      </w:rPr>
      <w:fldChar w:fldCharType="begin"/>
    </w:r>
    <w:r w:rsidR="00AE0E98" w:rsidRPr="00F67130">
      <w:rPr>
        <w:noProof/>
        <w:sz w:val="20"/>
        <w:lang w:val="en-US"/>
      </w:rPr>
      <w:instrText xml:space="preserve"> </w:instrText>
    </w:r>
    <w:r w:rsidR="00AE0E98">
      <w:rPr>
        <w:noProof/>
        <w:sz w:val="20"/>
        <w:lang w:val="en-US"/>
      </w:rPr>
      <w:instrText>PAGE</w:instrText>
    </w:r>
    <w:r w:rsidR="00AE0E98" w:rsidRPr="00F67130">
      <w:rPr>
        <w:noProof/>
        <w:sz w:val="20"/>
        <w:lang w:val="en-US"/>
      </w:rPr>
      <w:instrText xml:space="preserve">   \* MERGEFORMAT </w:instrText>
    </w:r>
    <w:r w:rsidR="00AE0E98" w:rsidRPr="00F67130">
      <w:rPr>
        <w:noProof/>
        <w:sz w:val="20"/>
        <w:lang w:val="en-US"/>
      </w:rPr>
      <w:fldChar w:fldCharType="separate"/>
    </w:r>
    <w:r w:rsidR="003F162C" w:rsidRPr="003F162C">
      <w:rPr>
        <w:caps w:val="0"/>
        <w:noProof/>
        <w:sz w:val="20"/>
        <w:lang w:val="en-US"/>
      </w:rPr>
      <w:t>7</w:t>
    </w:r>
    <w:r w:rsidR="00AE0E98" w:rsidRPr="00F67130">
      <w:rPr>
        <w:noProof/>
        <w:sz w:val="2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E98" w:rsidRPr="002B0C38" w:rsidRDefault="00AE0E98" w:rsidP="00DF5A0D">
    <w:pPr>
      <w:pStyle w:val="Footer"/>
      <w:tabs>
        <w:tab w:val="clear" w:pos="4513"/>
        <w:tab w:val="clear" w:pos="9026"/>
        <w:tab w:val="right" w:pos="9923"/>
      </w:tabs>
      <w:ind w:left="0"/>
      <w:rPr>
        <w:lang w:val="en-US"/>
      </w:rPr>
    </w:pPr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 w:rsidRPr="00F67130">
      <w:rPr>
        <w:noProof/>
        <w:sz w:val="20"/>
        <w:lang w:val="en-US"/>
      </w:rPr>
      <w:instrText xml:space="preserve"> </w:instrText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="003F162C" w:rsidRPr="003F162C">
      <w:rPr>
        <w:caps w:val="0"/>
        <w:noProof/>
        <w:sz w:val="20"/>
        <w:lang w:val="en-US"/>
      </w:rPr>
      <w:t>1</w:t>
    </w:r>
    <w:r w:rsidRPr="00F67130">
      <w:rPr>
        <w:noProof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7BB" w:rsidRDefault="001847BB" w:rsidP="00B538D7">
      <w:r>
        <w:separator/>
      </w:r>
    </w:p>
  </w:footnote>
  <w:footnote w:type="continuationSeparator" w:id="0">
    <w:p w:rsidR="001847BB" w:rsidRDefault="001847BB" w:rsidP="00B53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E98" w:rsidRDefault="00BA2A5F" w:rsidP="00C23038">
    <w:pPr>
      <w:pStyle w:val="ClassificationInfo"/>
      <w:rPr>
        <w:rStyle w:val="ClassificationBody"/>
      </w:rPr>
    </w:pPr>
    <w:sdt>
      <w:sdtPr>
        <w:rPr>
          <w:rStyle w:val="ClassificationBody"/>
        </w:rPr>
        <w:alias w:val="Classification"/>
        <w:tag w:val=""/>
        <w:id w:val="-167618435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 w:rsidR="00AE0E98">
          <w:rPr>
            <w:rStyle w:val="ClassificationBody"/>
          </w:rPr>
          <w:t>UNCLASSIFIED</w:t>
        </w:r>
      </w:sdtContent>
    </w:sdt>
  </w:p>
  <w:p w:rsidR="00AE0E98" w:rsidRPr="00EB0912" w:rsidRDefault="00BA2A5F" w:rsidP="00C23038">
    <w:pPr>
      <w:pStyle w:val="ClassificationInfo"/>
      <w:rPr>
        <w:color w:val="auto"/>
      </w:rPr>
    </w:pPr>
    <w:sdt>
      <w:sdtPr>
        <w:rPr>
          <w:rStyle w:val="ClassificationBody"/>
          <w:color w:val="auto"/>
        </w:rPr>
        <w:alias w:val="DLM"/>
        <w:tag w:val=""/>
        <w:id w:val="-1792819443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DefaultParagraphFont"/>
          <w:b w:val="0"/>
          <w:caps w:val="0"/>
        </w:rPr>
      </w:sdtEndPr>
      <w:sdtContent>
        <w:r w:rsidR="00AE0E98">
          <w:rPr>
            <w:rStyle w:val="ClassificationBody"/>
            <w:color w:val="auto"/>
          </w:rPr>
          <w:t xml:space="preserve">     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E98" w:rsidRDefault="00CC4A97" w:rsidP="004F244C">
    <w:pPr>
      <w:pStyle w:val="Header"/>
      <w:spacing w:after="2640"/>
    </w:pPr>
    <w:r>
      <w:rPr>
        <w:noProof/>
        <w:lang w:val="en-NZ" w:eastAsia="en-NZ"/>
      </w:rPr>
      <w:drawing>
        <wp:anchor distT="0" distB="0" distL="114300" distR="114300" simplePos="0" relativeHeight="251658240" behindDoc="0" locked="0" layoutInCell="1" allowOverlap="1" wp14:anchorId="58D9CF71" wp14:editId="36F81225">
          <wp:simplePos x="0" y="0"/>
          <wp:positionH relativeFrom="column">
            <wp:posOffset>3801745</wp:posOffset>
          </wp:positionH>
          <wp:positionV relativeFrom="paragraph">
            <wp:posOffset>288893</wp:posOffset>
          </wp:positionV>
          <wp:extent cx="2188845" cy="582295"/>
          <wp:effectExtent l="0" t="0" r="1905" b="0"/>
          <wp:wrapNone/>
          <wp:docPr id="9" name="Picture 9" descr="C:\Users\uct5k\Desktop\4x\NewZealand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uct5k\Desktop\4x\NewZealand crest_rev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8845" cy="582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0E98">
      <w:rPr>
        <w:noProof/>
        <w:lang w:val="en-NZ" w:eastAsia="en-NZ"/>
      </w:rPr>
      <w:drawing>
        <wp:anchor distT="0" distB="0" distL="114300" distR="114300" simplePos="0" relativeHeight="251657216" behindDoc="0" locked="0" layoutInCell="1" allowOverlap="1" wp14:anchorId="65DCE517" wp14:editId="664D806A">
          <wp:simplePos x="0" y="0"/>
          <wp:positionH relativeFrom="column">
            <wp:posOffset>-290830</wp:posOffset>
          </wp:positionH>
          <wp:positionV relativeFrom="paragraph">
            <wp:posOffset>290830</wp:posOffset>
          </wp:positionV>
          <wp:extent cx="2324100" cy="581660"/>
          <wp:effectExtent l="0" t="0" r="0" b="8890"/>
          <wp:wrapNone/>
          <wp:docPr id="7" name="Picture 7" descr="C:\Users\uct5k\Desktop\4x\Australian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ct5k\Desktop\4x\Australian crest_rev@4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0E98" w:rsidRPr="00677B28">
      <w:rPr>
        <w:noProof/>
        <w:color w:val="auto"/>
        <w:lang w:val="en-NZ" w:eastAsia="en-NZ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6445346" wp14:editId="463B8C6E">
              <wp:simplePos x="0" y="0"/>
              <wp:positionH relativeFrom="page">
                <wp:posOffset>285750</wp:posOffset>
              </wp:positionH>
              <wp:positionV relativeFrom="page">
                <wp:posOffset>285750</wp:posOffset>
              </wp:positionV>
              <wp:extent cx="6984000" cy="1080000"/>
              <wp:effectExtent l="0" t="0" r="7620" b="635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00" cy="10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A1F163" id="Rectangle 4" o:spid="_x0000_s1026" style="position:absolute;margin-left:22.5pt;margin-top:22.5pt;width:549.9pt;height:85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" fillcolor="black [3213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8A2"/>
    <w:multiLevelType w:val="hybridMultilevel"/>
    <w:tmpl w:val="448E8C86"/>
    <w:lvl w:ilvl="0" w:tplc="FF645F9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441F36"/>
    <w:multiLevelType w:val="hybridMultilevel"/>
    <w:tmpl w:val="1C344F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60F0C"/>
    <w:multiLevelType w:val="hybridMultilevel"/>
    <w:tmpl w:val="0764FD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839E2"/>
    <w:multiLevelType w:val="hybridMultilevel"/>
    <w:tmpl w:val="B3DCA32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168DD"/>
    <w:multiLevelType w:val="hybridMultilevel"/>
    <w:tmpl w:val="5A1424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62F8D"/>
    <w:multiLevelType w:val="hybridMultilevel"/>
    <w:tmpl w:val="DC82F8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680596"/>
    <w:multiLevelType w:val="hybridMultilevel"/>
    <w:tmpl w:val="739C8E64"/>
    <w:lvl w:ilvl="0" w:tplc="2C867972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5343A1"/>
    <w:multiLevelType w:val="hybridMultilevel"/>
    <w:tmpl w:val="889661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C4145"/>
    <w:multiLevelType w:val="hybridMultilevel"/>
    <w:tmpl w:val="540825D0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1E0909A5"/>
    <w:multiLevelType w:val="hybridMultilevel"/>
    <w:tmpl w:val="47C6E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65294"/>
    <w:multiLevelType w:val="hybridMultilevel"/>
    <w:tmpl w:val="67663D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044780"/>
    <w:multiLevelType w:val="hybridMultilevel"/>
    <w:tmpl w:val="61AC88AA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2CE5002E"/>
    <w:multiLevelType w:val="hybridMultilevel"/>
    <w:tmpl w:val="448E8C86"/>
    <w:lvl w:ilvl="0" w:tplc="FF645F9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3BC6A84"/>
    <w:multiLevelType w:val="hybridMultilevel"/>
    <w:tmpl w:val="448E8C86"/>
    <w:lvl w:ilvl="0" w:tplc="FF645F9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5" w15:restartNumberingAfterBreak="0">
    <w:nsid w:val="39830AD2"/>
    <w:multiLevelType w:val="hybridMultilevel"/>
    <w:tmpl w:val="87926AC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8F613C"/>
    <w:multiLevelType w:val="hybridMultilevel"/>
    <w:tmpl w:val="EAEAA62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8F4B01"/>
    <w:multiLevelType w:val="hybridMultilevel"/>
    <w:tmpl w:val="3D182A8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0C05E1"/>
    <w:multiLevelType w:val="hybridMultilevel"/>
    <w:tmpl w:val="415E1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93846"/>
    <w:multiLevelType w:val="hybridMultilevel"/>
    <w:tmpl w:val="4A7CD9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82045"/>
    <w:multiLevelType w:val="hybridMultilevel"/>
    <w:tmpl w:val="3FC600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34B93"/>
    <w:multiLevelType w:val="hybridMultilevel"/>
    <w:tmpl w:val="5FB412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D27B10"/>
    <w:multiLevelType w:val="hybridMultilevel"/>
    <w:tmpl w:val="E084BCC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9A126E"/>
    <w:multiLevelType w:val="multilevel"/>
    <w:tmpl w:val="A90CA550"/>
    <w:styleLink w:val="Bullets"/>
    <w:lvl w:ilvl="0">
      <w:start w:val="1"/>
      <w:numFmt w:val="bullet"/>
      <w:pStyle w:val="Bulletedlist1"/>
      <w:lvlText w:val="&gt;"/>
      <w:lvlJc w:val="left"/>
      <w:pPr>
        <w:ind w:left="284" w:hanging="284"/>
      </w:pPr>
      <w:rPr>
        <w:rFonts w:ascii="Calibri" w:hAnsi="Calibri" w:hint="default"/>
        <w:color w:val="3685F7" w:themeColor="accent3"/>
      </w:rPr>
    </w:lvl>
    <w:lvl w:ilvl="1">
      <w:start w:val="1"/>
      <w:numFmt w:val="bullet"/>
      <w:pStyle w:val="Bulletedlist2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pStyle w:val="Bulletedlist3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pStyle w:val="Boxbulletedlist1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pStyle w:val="Boxbulletedlist2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pStyle w:val="Boxbulletedlist3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pStyle w:val="Tablebulletedlist1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pStyle w:val="Tablebulletedlist2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pStyle w:val="Tablebulletedlist3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24" w15:restartNumberingAfterBreak="0">
    <w:nsid w:val="5AF10B33"/>
    <w:multiLevelType w:val="hybridMultilevel"/>
    <w:tmpl w:val="89DA07D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9F0F71"/>
    <w:multiLevelType w:val="hybridMultilevel"/>
    <w:tmpl w:val="410E17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96973"/>
    <w:multiLevelType w:val="hybridMultilevel"/>
    <w:tmpl w:val="5FB412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3208CE"/>
    <w:multiLevelType w:val="hybridMultilevel"/>
    <w:tmpl w:val="D22EB6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43561"/>
    <w:multiLevelType w:val="hybridMultilevel"/>
    <w:tmpl w:val="0BC00C3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D021566"/>
    <w:multiLevelType w:val="hybridMultilevel"/>
    <w:tmpl w:val="5FB412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3D1AC6"/>
    <w:multiLevelType w:val="multilevel"/>
    <w:tmpl w:val="B1664C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04"/>
        </w:tabs>
        <w:ind w:left="7804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23"/>
  </w:num>
  <w:num w:numId="3">
    <w:abstractNumId w:val="23"/>
  </w:num>
  <w:num w:numId="4">
    <w:abstractNumId w:val="30"/>
  </w:num>
  <w:num w:numId="5">
    <w:abstractNumId w:val="16"/>
  </w:num>
  <w:num w:numId="6">
    <w:abstractNumId w:val="24"/>
  </w:num>
  <w:num w:numId="7">
    <w:abstractNumId w:val="27"/>
  </w:num>
  <w:num w:numId="8">
    <w:abstractNumId w:val="10"/>
  </w:num>
  <w:num w:numId="9">
    <w:abstractNumId w:val="5"/>
  </w:num>
  <w:num w:numId="10">
    <w:abstractNumId w:val="12"/>
  </w:num>
  <w:num w:numId="11">
    <w:abstractNumId w:val="19"/>
  </w:num>
  <w:num w:numId="12">
    <w:abstractNumId w:val="13"/>
  </w:num>
  <w:num w:numId="13">
    <w:abstractNumId w:val="0"/>
  </w:num>
  <w:num w:numId="14">
    <w:abstractNumId w:val="3"/>
  </w:num>
  <w:num w:numId="15">
    <w:abstractNumId w:val="8"/>
  </w:num>
  <w:num w:numId="16">
    <w:abstractNumId w:val="29"/>
  </w:num>
  <w:num w:numId="17">
    <w:abstractNumId w:val="21"/>
  </w:num>
  <w:num w:numId="18">
    <w:abstractNumId w:val="15"/>
  </w:num>
  <w:num w:numId="19">
    <w:abstractNumId w:val="22"/>
  </w:num>
  <w:num w:numId="20">
    <w:abstractNumId w:val="26"/>
  </w:num>
  <w:num w:numId="21">
    <w:abstractNumId w:val="2"/>
  </w:num>
  <w:num w:numId="22">
    <w:abstractNumId w:val="1"/>
  </w:num>
  <w:num w:numId="23">
    <w:abstractNumId w:val="11"/>
  </w:num>
  <w:num w:numId="24">
    <w:abstractNumId w:val="9"/>
  </w:num>
  <w:num w:numId="25">
    <w:abstractNumId w:val="6"/>
  </w:num>
  <w:num w:numId="26">
    <w:abstractNumId w:val="25"/>
  </w:num>
  <w:num w:numId="27">
    <w:abstractNumId w:val="28"/>
  </w:num>
  <w:num w:numId="28">
    <w:abstractNumId w:val="20"/>
  </w:num>
  <w:num w:numId="29">
    <w:abstractNumId w:val="18"/>
  </w:num>
  <w:num w:numId="30">
    <w:abstractNumId w:val="7"/>
  </w:num>
  <w:num w:numId="31">
    <w:abstractNumId w:val="17"/>
  </w:num>
  <w:num w:numId="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3D"/>
    <w:rsid w:val="00000B16"/>
    <w:rsid w:val="00013A09"/>
    <w:rsid w:val="00015AE4"/>
    <w:rsid w:val="000221BE"/>
    <w:rsid w:val="00022F36"/>
    <w:rsid w:val="000308CA"/>
    <w:rsid w:val="00031353"/>
    <w:rsid w:val="00031D41"/>
    <w:rsid w:val="00033485"/>
    <w:rsid w:val="00037AE8"/>
    <w:rsid w:val="00037D78"/>
    <w:rsid w:val="00042FF8"/>
    <w:rsid w:val="0005052C"/>
    <w:rsid w:val="00051586"/>
    <w:rsid w:val="000628ED"/>
    <w:rsid w:val="00066507"/>
    <w:rsid w:val="00087919"/>
    <w:rsid w:val="0009005F"/>
    <w:rsid w:val="00090FDB"/>
    <w:rsid w:val="000950A9"/>
    <w:rsid w:val="00097C3B"/>
    <w:rsid w:val="000B3331"/>
    <w:rsid w:val="000B6C00"/>
    <w:rsid w:val="000C7D36"/>
    <w:rsid w:val="000E0D2F"/>
    <w:rsid w:val="000E1D48"/>
    <w:rsid w:val="000E533A"/>
    <w:rsid w:val="000F148D"/>
    <w:rsid w:val="000F1CB2"/>
    <w:rsid w:val="000F28B8"/>
    <w:rsid w:val="000F3766"/>
    <w:rsid w:val="00101B3D"/>
    <w:rsid w:val="0010233E"/>
    <w:rsid w:val="0010365A"/>
    <w:rsid w:val="00110561"/>
    <w:rsid w:val="00111F0C"/>
    <w:rsid w:val="001129C0"/>
    <w:rsid w:val="001226CA"/>
    <w:rsid w:val="00127003"/>
    <w:rsid w:val="0013646F"/>
    <w:rsid w:val="00137F16"/>
    <w:rsid w:val="00145E2D"/>
    <w:rsid w:val="00150D53"/>
    <w:rsid w:val="00157BDF"/>
    <w:rsid w:val="00175961"/>
    <w:rsid w:val="001763D4"/>
    <w:rsid w:val="00181967"/>
    <w:rsid w:val="00182778"/>
    <w:rsid w:val="001847BB"/>
    <w:rsid w:val="00185A8C"/>
    <w:rsid w:val="00185C92"/>
    <w:rsid w:val="0019254F"/>
    <w:rsid w:val="001968B4"/>
    <w:rsid w:val="001A2C52"/>
    <w:rsid w:val="001A4DDA"/>
    <w:rsid w:val="001B1C2D"/>
    <w:rsid w:val="001C53CE"/>
    <w:rsid w:val="001D0E18"/>
    <w:rsid w:val="001D5459"/>
    <w:rsid w:val="001D6908"/>
    <w:rsid w:val="001E66CE"/>
    <w:rsid w:val="001F2FC5"/>
    <w:rsid w:val="0020357D"/>
    <w:rsid w:val="00206308"/>
    <w:rsid w:val="002126A7"/>
    <w:rsid w:val="00217701"/>
    <w:rsid w:val="00221DC2"/>
    <w:rsid w:val="0023407E"/>
    <w:rsid w:val="0024029D"/>
    <w:rsid w:val="0025016C"/>
    <w:rsid w:val="00254A90"/>
    <w:rsid w:val="002569AC"/>
    <w:rsid w:val="002573D5"/>
    <w:rsid w:val="002608D8"/>
    <w:rsid w:val="00266F56"/>
    <w:rsid w:val="002678A1"/>
    <w:rsid w:val="00282773"/>
    <w:rsid w:val="00283BB2"/>
    <w:rsid w:val="00284962"/>
    <w:rsid w:val="00296FFB"/>
    <w:rsid w:val="002A3081"/>
    <w:rsid w:val="002A41E1"/>
    <w:rsid w:val="002A4919"/>
    <w:rsid w:val="002A5D36"/>
    <w:rsid w:val="002A6CC9"/>
    <w:rsid w:val="002B0C38"/>
    <w:rsid w:val="002B0C63"/>
    <w:rsid w:val="002B6574"/>
    <w:rsid w:val="002C2A8E"/>
    <w:rsid w:val="002C70A1"/>
    <w:rsid w:val="002E1AE8"/>
    <w:rsid w:val="002E345A"/>
    <w:rsid w:val="002E54C6"/>
    <w:rsid w:val="002F55D0"/>
    <w:rsid w:val="002F7D3C"/>
    <w:rsid w:val="00300CCA"/>
    <w:rsid w:val="00303E65"/>
    <w:rsid w:val="003103E2"/>
    <w:rsid w:val="003131AB"/>
    <w:rsid w:val="00317A33"/>
    <w:rsid w:val="003217BE"/>
    <w:rsid w:val="0032539E"/>
    <w:rsid w:val="00334A7F"/>
    <w:rsid w:val="003618DC"/>
    <w:rsid w:val="00366219"/>
    <w:rsid w:val="003669B2"/>
    <w:rsid w:val="00380CB9"/>
    <w:rsid w:val="003874E3"/>
    <w:rsid w:val="00393D87"/>
    <w:rsid w:val="00393DD9"/>
    <w:rsid w:val="00394DA1"/>
    <w:rsid w:val="003A1F0D"/>
    <w:rsid w:val="003A69A2"/>
    <w:rsid w:val="003B10F1"/>
    <w:rsid w:val="003B2DF3"/>
    <w:rsid w:val="003B7BB8"/>
    <w:rsid w:val="003C1490"/>
    <w:rsid w:val="003C4310"/>
    <w:rsid w:val="003D3B1D"/>
    <w:rsid w:val="003D5DBE"/>
    <w:rsid w:val="003D67FE"/>
    <w:rsid w:val="003D7250"/>
    <w:rsid w:val="003E525C"/>
    <w:rsid w:val="003E79F5"/>
    <w:rsid w:val="003F162C"/>
    <w:rsid w:val="003F47FB"/>
    <w:rsid w:val="00404841"/>
    <w:rsid w:val="00407638"/>
    <w:rsid w:val="00412059"/>
    <w:rsid w:val="00414AF3"/>
    <w:rsid w:val="00420E15"/>
    <w:rsid w:val="004223B1"/>
    <w:rsid w:val="00422E7C"/>
    <w:rsid w:val="00424787"/>
    <w:rsid w:val="00434C35"/>
    <w:rsid w:val="00440995"/>
    <w:rsid w:val="00440F3C"/>
    <w:rsid w:val="00441E79"/>
    <w:rsid w:val="00442B26"/>
    <w:rsid w:val="00455B30"/>
    <w:rsid w:val="00456D61"/>
    <w:rsid w:val="00457411"/>
    <w:rsid w:val="0046116C"/>
    <w:rsid w:val="004629C2"/>
    <w:rsid w:val="00463080"/>
    <w:rsid w:val="00463586"/>
    <w:rsid w:val="00465E2B"/>
    <w:rsid w:val="00480424"/>
    <w:rsid w:val="00483A58"/>
    <w:rsid w:val="00487CC2"/>
    <w:rsid w:val="004A5F71"/>
    <w:rsid w:val="004B35F2"/>
    <w:rsid w:val="004B49CA"/>
    <w:rsid w:val="004C0277"/>
    <w:rsid w:val="004C2310"/>
    <w:rsid w:val="004D3DE4"/>
    <w:rsid w:val="004D743D"/>
    <w:rsid w:val="004D7E0E"/>
    <w:rsid w:val="004D7F17"/>
    <w:rsid w:val="004E7F37"/>
    <w:rsid w:val="004F244C"/>
    <w:rsid w:val="005066D4"/>
    <w:rsid w:val="00510C6E"/>
    <w:rsid w:val="00522EE2"/>
    <w:rsid w:val="00523D41"/>
    <w:rsid w:val="005308AB"/>
    <w:rsid w:val="0054562C"/>
    <w:rsid w:val="00546051"/>
    <w:rsid w:val="0055292A"/>
    <w:rsid w:val="00556488"/>
    <w:rsid w:val="005617B6"/>
    <w:rsid w:val="00580570"/>
    <w:rsid w:val="0058150A"/>
    <w:rsid w:val="005818A7"/>
    <w:rsid w:val="0059552B"/>
    <w:rsid w:val="005B0D49"/>
    <w:rsid w:val="005B4C55"/>
    <w:rsid w:val="005B7FA7"/>
    <w:rsid w:val="005C46EA"/>
    <w:rsid w:val="005C4EF7"/>
    <w:rsid w:val="005C55BD"/>
    <w:rsid w:val="005C70D0"/>
    <w:rsid w:val="005E3976"/>
    <w:rsid w:val="005F5FFB"/>
    <w:rsid w:val="006030BA"/>
    <w:rsid w:val="00603227"/>
    <w:rsid w:val="00607CA6"/>
    <w:rsid w:val="00614986"/>
    <w:rsid w:val="00616EBA"/>
    <w:rsid w:val="00617FB5"/>
    <w:rsid w:val="00621ECC"/>
    <w:rsid w:val="00624A5E"/>
    <w:rsid w:val="00626B43"/>
    <w:rsid w:val="00626FEB"/>
    <w:rsid w:val="00631F8F"/>
    <w:rsid w:val="00632C08"/>
    <w:rsid w:val="00634FBE"/>
    <w:rsid w:val="0063734E"/>
    <w:rsid w:val="00642EF1"/>
    <w:rsid w:val="0064519D"/>
    <w:rsid w:val="006467B9"/>
    <w:rsid w:val="006561D6"/>
    <w:rsid w:val="0065686C"/>
    <w:rsid w:val="0065797D"/>
    <w:rsid w:val="00662C2B"/>
    <w:rsid w:val="006648B4"/>
    <w:rsid w:val="0067074A"/>
    <w:rsid w:val="006728EE"/>
    <w:rsid w:val="00672994"/>
    <w:rsid w:val="006739A4"/>
    <w:rsid w:val="00677760"/>
    <w:rsid w:val="00677B28"/>
    <w:rsid w:val="006902F1"/>
    <w:rsid w:val="0069163C"/>
    <w:rsid w:val="006A1F1A"/>
    <w:rsid w:val="006A25FD"/>
    <w:rsid w:val="006A3695"/>
    <w:rsid w:val="006A7A8A"/>
    <w:rsid w:val="006B0536"/>
    <w:rsid w:val="006B07E4"/>
    <w:rsid w:val="006B4AA3"/>
    <w:rsid w:val="006B6846"/>
    <w:rsid w:val="006C189E"/>
    <w:rsid w:val="006C2CE5"/>
    <w:rsid w:val="006D61D5"/>
    <w:rsid w:val="006F402B"/>
    <w:rsid w:val="006F4712"/>
    <w:rsid w:val="006F5536"/>
    <w:rsid w:val="006F7655"/>
    <w:rsid w:val="007008E2"/>
    <w:rsid w:val="0070166C"/>
    <w:rsid w:val="00701E1F"/>
    <w:rsid w:val="00702F50"/>
    <w:rsid w:val="0070599F"/>
    <w:rsid w:val="00710CFC"/>
    <w:rsid w:val="00710DBB"/>
    <w:rsid w:val="007118CC"/>
    <w:rsid w:val="007134F2"/>
    <w:rsid w:val="00727C0C"/>
    <w:rsid w:val="00730D6C"/>
    <w:rsid w:val="00737638"/>
    <w:rsid w:val="00752C6B"/>
    <w:rsid w:val="0076336C"/>
    <w:rsid w:val="00767996"/>
    <w:rsid w:val="007707D9"/>
    <w:rsid w:val="00776468"/>
    <w:rsid w:val="007774A0"/>
    <w:rsid w:val="00777FBB"/>
    <w:rsid w:val="007843E0"/>
    <w:rsid w:val="007B30BB"/>
    <w:rsid w:val="007C48AF"/>
    <w:rsid w:val="007C4D76"/>
    <w:rsid w:val="007C687F"/>
    <w:rsid w:val="007D2BDE"/>
    <w:rsid w:val="007E3229"/>
    <w:rsid w:val="007F6B1B"/>
    <w:rsid w:val="007F7E63"/>
    <w:rsid w:val="00802A3B"/>
    <w:rsid w:val="00820F20"/>
    <w:rsid w:val="008247A9"/>
    <w:rsid w:val="00825754"/>
    <w:rsid w:val="00832FF5"/>
    <w:rsid w:val="00833320"/>
    <w:rsid w:val="0083647E"/>
    <w:rsid w:val="00842EF8"/>
    <w:rsid w:val="00844C2D"/>
    <w:rsid w:val="0085070E"/>
    <w:rsid w:val="00850A78"/>
    <w:rsid w:val="008633B3"/>
    <w:rsid w:val="00867266"/>
    <w:rsid w:val="00877924"/>
    <w:rsid w:val="0088440A"/>
    <w:rsid w:val="00893AB1"/>
    <w:rsid w:val="008A1C28"/>
    <w:rsid w:val="008A387B"/>
    <w:rsid w:val="008A434D"/>
    <w:rsid w:val="008B1644"/>
    <w:rsid w:val="008B1A29"/>
    <w:rsid w:val="008C0196"/>
    <w:rsid w:val="008C0481"/>
    <w:rsid w:val="008C76C8"/>
    <w:rsid w:val="008D1BD1"/>
    <w:rsid w:val="008D366D"/>
    <w:rsid w:val="008E1E86"/>
    <w:rsid w:val="008F2281"/>
    <w:rsid w:val="008F6353"/>
    <w:rsid w:val="008F6718"/>
    <w:rsid w:val="00904BC1"/>
    <w:rsid w:val="0090729C"/>
    <w:rsid w:val="00910425"/>
    <w:rsid w:val="0091689F"/>
    <w:rsid w:val="009250C0"/>
    <w:rsid w:val="00927DCE"/>
    <w:rsid w:val="009345F1"/>
    <w:rsid w:val="009401D2"/>
    <w:rsid w:val="009506B1"/>
    <w:rsid w:val="00954015"/>
    <w:rsid w:val="00961072"/>
    <w:rsid w:val="00965B71"/>
    <w:rsid w:val="009721A7"/>
    <w:rsid w:val="00972866"/>
    <w:rsid w:val="00973784"/>
    <w:rsid w:val="00982491"/>
    <w:rsid w:val="00986D09"/>
    <w:rsid w:val="0099716A"/>
    <w:rsid w:val="00997F9E"/>
    <w:rsid w:val="009A1567"/>
    <w:rsid w:val="009A3EF7"/>
    <w:rsid w:val="009A5BCD"/>
    <w:rsid w:val="009A5E8E"/>
    <w:rsid w:val="009B22AA"/>
    <w:rsid w:val="009B438D"/>
    <w:rsid w:val="009B51E2"/>
    <w:rsid w:val="009B5815"/>
    <w:rsid w:val="009C3C39"/>
    <w:rsid w:val="009C4EFB"/>
    <w:rsid w:val="009E4BA1"/>
    <w:rsid w:val="009E4EFE"/>
    <w:rsid w:val="009E5843"/>
    <w:rsid w:val="009E6FAA"/>
    <w:rsid w:val="009E750F"/>
    <w:rsid w:val="009E7FE9"/>
    <w:rsid w:val="009F24A5"/>
    <w:rsid w:val="009F39CC"/>
    <w:rsid w:val="009F679A"/>
    <w:rsid w:val="00A04952"/>
    <w:rsid w:val="00A04D96"/>
    <w:rsid w:val="00A055C0"/>
    <w:rsid w:val="00A0629B"/>
    <w:rsid w:val="00A16F8B"/>
    <w:rsid w:val="00A246A6"/>
    <w:rsid w:val="00A26786"/>
    <w:rsid w:val="00A27F45"/>
    <w:rsid w:val="00A35A7F"/>
    <w:rsid w:val="00A45056"/>
    <w:rsid w:val="00A47D17"/>
    <w:rsid w:val="00A50969"/>
    <w:rsid w:val="00A60124"/>
    <w:rsid w:val="00A707DE"/>
    <w:rsid w:val="00A7487F"/>
    <w:rsid w:val="00A8217E"/>
    <w:rsid w:val="00A862A8"/>
    <w:rsid w:val="00A87320"/>
    <w:rsid w:val="00A874C3"/>
    <w:rsid w:val="00A87994"/>
    <w:rsid w:val="00A90D1B"/>
    <w:rsid w:val="00A97083"/>
    <w:rsid w:val="00AA1333"/>
    <w:rsid w:val="00AA2C6B"/>
    <w:rsid w:val="00AA3642"/>
    <w:rsid w:val="00AA5A8A"/>
    <w:rsid w:val="00AB42D7"/>
    <w:rsid w:val="00AB784E"/>
    <w:rsid w:val="00AC34B9"/>
    <w:rsid w:val="00AD700F"/>
    <w:rsid w:val="00AD74B1"/>
    <w:rsid w:val="00AE0E98"/>
    <w:rsid w:val="00AE1B67"/>
    <w:rsid w:val="00B06A46"/>
    <w:rsid w:val="00B274D1"/>
    <w:rsid w:val="00B312E7"/>
    <w:rsid w:val="00B4560D"/>
    <w:rsid w:val="00B46E57"/>
    <w:rsid w:val="00B4796B"/>
    <w:rsid w:val="00B47F9F"/>
    <w:rsid w:val="00B5090F"/>
    <w:rsid w:val="00B52F72"/>
    <w:rsid w:val="00B538D7"/>
    <w:rsid w:val="00B64B6D"/>
    <w:rsid w:val="00B65A64"/>
    <w:rsid w:val="00B670EF"/>
    <w:rsid w:val="00B81B92"/>
    <w:rsid w:val="00B846A8"/>
    <w:rsid w:val="00B84708"/>
    <w:rsid w:val="00B92D0E"/>
    <w:rsid w:val="00B92E50"/>
    <w:rsid w:val="00BA1D5C"/>
    <w:rsid w:val="00BA2A5F"/>
    <w:rsid w:val="00BA74A4"/>
    <w:rsid w:val="00BC093A"/>
    <w:rsid w:val="00BC0FF4"/>
    <w:rsid w:val="00BC2A9E"/>
    <w:rsid w:val="00BC4ACC"/>
    <w:rsid w:val="00BC58FD"/>
    <w:rsid w:val="00BE0D56"/>
    <w:rsid w:val="00BE3F03"/>
    <w:rsid w:val="00BE7F0F"/>
    <w:rsid w:val="00BF05A1"/>
    <w:rsid w:val="00BF19F1"/>
    <w:rsid w:val="00BF1BBB"/>
    <w:rsid w:val="00C1067D"/>
    <w:rsid w:val="00C16DFC"/>
    <w:rsid w:val="00C217A8"/>
    <w:rsid w:val="00C23038"/>
    <w:rsid w:val="00C43F9A"/>
    <w:rsid w:val="00C50CCA"/>
    <w:rsid w:val="00C5101D"/>
    <w:rsid w:val="00C51508"/>
    <w:rsid w:val="00C52752"/>
    <w:rsid w:val="00C56DD2"/>
    <w:rsid w:val="00C56DD9"/>
    <w:rsid w:val="00C56F19"/>
    <w:rsid w:val="00C5720D"/>
    <w:rsid w:val="00C63F7C"/>
    <w:rsid w:val="00C6511F"/>
    <w:rsid w:val="00C65749"/>
    <w:rsid w:val="00C65CBB"/>
    <w:rsid w:val="00C71B13"/>
    <w:rsid w:val="00C71D75"/>
    <w:rsid w:val="00C871CF"/>
    <w:rsid w:val="00C95E8C"/>
    <w:rsid w:val="00CA00F9"/>
    <w:rsid w:val="00CB0EAD"/>
    <w:rsid w:val="00CC4A97"/>
    <w:rsid w:val="00CC5FA4"/>
    <w:rsid w:val="00CC7C44"/>
    <w:rsid w:val="00CD3BF9"/>
    <w:rsid w:val="00CD5925"/>
    <w:rsid w:val="00CD6C32"/>
    <w:rsid w:val="00CE29E5"/>
    <w:rsid w:val="00CE45A8"/>
    <w:rsid w:val="00CE557A"/>
    <w:rsid w:val="00CF6D8D"/>
    <w:rsid w:val="00D05312"/>
    <w:rsid w:val="00D05442"/>
    <w:rsid w:val="00D07724"/>
    <w:rsid w:val="00D1410C"/>
    <w:rsid w:val="00D21ABC"/>
    <w:rsid w:val="00D33A42"/>
    <w:rsid w:val="00D500DA"/>
    <w:rsid w:val="00D54909"/>
    <w:rsid w:val="00D57F79"/>
    <w:rsid w:val="00D605C1"/>
    <w:rsid w:val="00D64A5A"/>
    <w:rsid w:val="00D66D37"/>
    <w:rsid w:val="00D72025"/>
    <w:rsid w:val="00D74A71"/>
    <w:rsid w:val="00D85804"/>
    <w:rsid w:val="00D878CE"/>
    <w:rsid w:val="00D904F0"/>
    <w:rsid w:val="00D91378"/>
    <w:rsid w:val="00DA6F5A"/>
    <w:rsid w:val="00DB379A"/>
    <w:rsid w:val="00DB3DCB"/>
    <w:rsid w:val="00DB4210"/>
    <w:rsid w:val="00DB530A"/>
    <w:rsid w:val="00DB5A5F"/>
    <w:rsid w:val="00DC48BB"/>
    <w:rsid w:val="00DD111A"/>
    <w:rsid w:val="00DD1408"/>
    <w:rsid w:val="00DD356D"/>
    <w:rsid w:val="00DD5D1F"/>
    <w:rsid w:val="00DD7F6E"/>
    <w:rsid w:val="00DE3CDF"/>
    <w:rsid w:val="00DE6919"/>
    <w:rsid w:val="00DF14FB"/>
    <w:rsid w:val="00DF5A0D"/>
    <w:rsid w:val="00E22D07"/>
    <w:rsid w:val="00E319B8"/>
    <w:rsid w:val="00E320F6"/>
    <w:rsid w:val="00E355A3"/>
    <w:rsid w:val="00E45C1C"/>
    <w:rsid w:val="00E47B22"/>
    <w:rsid w:val="00E50B97"/>
    <w:rsid w:val="00E5383D"/>
    <w:rsid w:val="00E546A3"/>
    <w:rsid w:val="00E613B2"/>
    <w:rsid w:val="00E726EC"/>
    <w:rsid w:val="00E7653D"/>
    <w:rsid w:val="00E80D87"/>
    <w:rsid w:val="00E8193C"/>
    <w:rsid w:val="00E81C61"/>
    <w:rsid w:val="00E84012"/>
    <w:rsid w:val="00E84332"/>
    <w:rsid w:val="00E86BD3"/>
    <w:rsid w:val="00E90B07"/>
    <w:rsid w:val="00E9701D"/>
    <w:rsid w:val="00EA0724"/>
    <w:rsid w:val="00EA1E6E"/>
    <w:rsid w:val="00EA58EA"/>
    <w:rsid w:val="00EB55D5"/>
    <w:rsid w:val="00EB6414"/>
    <w:rsid w:val="00EC0281"/>
    <w:rsid w:val="00EC757F"/>
    <w:rsid w:val="00ED1173"/>
    <w:rsid w:val="00ED18F2"/>
    <w:rsid w:val="00EF0712"/>
    <w:rsid w:val="00EF7B3B"/>
    <w:rsid w:val="00F21E3A"/>
    <w:rsid w:val="00F22A0C"/>
    <w:rsid w:val="00F22E0F"/>
    <w:rsid w:val="00F242B1"/>
    <w:rsid w:val="00F454C2"/>
    <w:rsid w:val="00F45685"/>
    <w:rsid w:val="00F52DD1"/>
    <w:rsid w:val="00F52F44"/>
    <w:rsid w:val="00F5341C"/>
    <w:rsid w:val="00F5650E"/>
    <w:rsid w:val="00F608E0"/>
    <w:rsid w:val="00F64A33"/>
    <w:rsid w:val="00F64D0E"/>
    <w:rsid w:val="00F65B59"/>
    <w:rsid w:val="00F66DE1"/>
    <w:rsid w:val="00F7752A"/>
    <w:rsid w:val="00F833E7"/>
    <w:rsid w:val="00F87A2E"/>
    <w:rsid w:val="00F914E5"/>
    <w:rsid w:val="00F92A19"/>
    <w:rsid w:val="00F92EEA"/>
    <w:rsid w:val="00FA0462"/>
    <w:rsid w:val="00FA5A7B"/>
    <w:rsid w:val="00FA7871"/>
    <w:rsid w:val="00FA7BB9"/>
    <w:rsid w:val="00FB0734"/>
    <w:rsid w:val="00FB3311"/>
    <w:rsid w:val="00FC1D4F"/>
    <w:rsid w:val="00FC7CAC"/>
    <w:rsid w:val="00FD2383"/>
    <w:rsid w:val="00FD3A33"/>
    <w:rsid w:val="00FE2BE2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ED8F0F8"/>
  <w15:docId w15:val="{503DED96-F1BA-4F52-A41C-D609D1D8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4" w:unhideWhenUsed="1" w:qFormat="1"/>
    <w:lsdException w:name="heading 3" w:uiPriority="0" w:unhideWhenUsed="1" w:qFormat="1"/>
    <w:lsdException w:name="heading 4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3" w:unhideWhenUsed="1" w:qFormat="1"/>
    <w:lsdException w:name="annotation text" w:semiHidden="1" w:unhideWhenUsed="1"/>
    <w:lsdException w:name="header" w:uiPriority="49" w:unhideWhenUsed="1"/>
    <w:lsdException w:name="footer" w:uiPriority="49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9" w:unhideWhenUsed="1"/>
    <w:lsdException w:name="endnote reference" w:semiHidden="1" w:unhideWhenUsed="1"/>
    <w:lsdException w:name="endnote text" w:semiHidden="1" w:uiPriority="44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 w:unhideWhenUsed="1"/>
    <w:lsdException w:name="Message Header" w:semiHidden="1" w:unhideWhenUsed="1"/>
    <w:lsdException w:name="Subtitle" w:uiPriority="37" w:qFormat="1"/>
    <w:lsdException w:name="Salutation" w:semiHidden="1" w:unhideWhenUsed="1"/>
    <w:lsdException w:name="Date" w:semiHidden="1" w:uiPriority="3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/>
    <w:lsdException w:name="Table Web 2" w:semiHidden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1B3D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B4796B"/>
    <w:pPr>
      <w:keepNext/>
      <w:keepLines/>
      <w:framePr w:w="9072" w:wrap="notBeside" w:vAnchor="text" w:hAnchor="text" w:y="1"/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4"/>
    <w:qFormat/>
    <w:rsid w:val="00607CA6"/>
    <w:pPr>
      <w:keepNext/>
      <w:keepLines/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4"/>
    <w:qFormat/>
    <w:rsid w:val="004C0277"/>
    <w:pPr>
      <w:keepNext/>
      <w:keepLines/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4"/>
    <w:rsid w:val="00B4796B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4"/>
    <w:rsid w:val="00607CA6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4"/>
    <w:rsid w:val="004C0277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B4796B"/>
    <w:pPr>
      <w:framePr w:w="9072" w:wrap="notBeside" w:vAnchor="text" w:hAnchor="text" w:y="1"/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A1333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A1333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UBL">
    <w:name w:val="UBL"/>
    <w:basedOn w:val="PlainText"/>
    <w:qFormat/>
    <w:rsid w:val="00AA1333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AA1333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1333"/>
    <w:rPr>
      <w:rFonts w:ascii="Consolas" w:hAnsi="Consolas" w:cs="Consolas"/>
      <w:color w:val="000000" w:themeColor="text1"/>
      <w:sz w:val="21"/>
      <w:szCs w:val="21"/>
    </w:rPr>
  </w:style>
  <w:style w:type="paragraph" w:styleId="ListParagraph">
    <w:name w:val="List Paragraph"/>
    <w:basedOn w:val="Normal"/>
    <w:uiPriority w:val="99"/>
    <w:qFormat/>
    <w:rsid w:val="00296FFB"/>
    <w:pPr>
      <w:ind w:left="720"/>
      <w:contextualSpacing/>
    </w:pPr>
  </w:style>
  <w:style w:type="paragraph" w:styleId="Revision">
    <w:name w:val="Revision"/>
    <w:hidden/>
    <w:uiPriority w:val="99"/>
    <w:semiHidden/>
    <w:rsid w:val="00DB379A"/>
    <w:rPr>
      <w:rFonts w:asciiTheme="minorHAnsi" w:hAnsiTheme="minorHAnsi"/>
      <w:color w:val="000000" w:themeColor="text1"/>
      <w:sz w:val="22"/>
    </w:rPr>
  </w:style>
  <w:style w:type="character" w:styleId="FootnoteReference">
    <w:name w:val="footnote reference"/>
    <w:basedOn w:val="DefaultParagraphFont"/>
    <w:uiPriority w:val="99"/>
    <w:rsid w:val="00AE0E98"/>
    <w:rPr>
      <w:vertAlign w:val="superscript"/>
    </w:rPr>
  </w:style>
  <w:style w:type="paragraph" w:customStyle="1" w:styleId="Pippo">
    <w:name w:val="Pippo"/>
    <w:basedOn w:val="ListNumber"/>
    <w:rsid w:val="00F242B1"/>
    <w:pPr>
      <w:widowControl w:val="0"/>
      <w:numPr>
        <w:numId w:val="0"/>
      </w:numPr>
      <w:suppressAutoHyphens/>
      <w:spacing w:before="240" w:after="60" w:line="360" w:lineRule="auto"/>
      <w:ind w:left="539" w:hanging="255"/>
      <w:contextualSpacing w:val="0"/>
    </w:pPr>
    <w:rPr>
      <w:rFonts w:ascii="Arial" w:eastAsia="Calibri" w:hAnsi="Arial" w:cs="Tahoma"/>
      <w:color w:val="auto"/>
      <w:sz w:val="24"/>
      <w:szCs w:val="24"/>
      <w:lang w:val="ru-RU" w:bidi="en-US"/>
    </w:rPr>
  </w:style>
  <w:style w:type="paragraph" w:styleId="ListNumber">
    <w:name w:val="List Number"/>
    <w:basedOn w:val="Normal"/>
    <w:uiPriority w:val="99"/>
    <w:semiHidden/>
    <w:rsid w:val="00F242B1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rsid w:val="008D1BD1"/>
    <w:rPr>
      <w:color w:val="B2B2B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A434D"/>
    <w:pPr>
      <w:widowControl w:val="0"/>
      <w:spacing w:before="0" w:line="240" w:lineRule="auto"/>
    </w:pPr>
    <w:rPr>
      <w:rFonts w:cstheme="minorBidi"/>
      <w:color w:val="auto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A2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e-invoicing@ato.gov.au" TargetMode="External"/><Relationship Id="rId18" Type="http://schemas.openxmlformats.org/officeDocument/2006/relationships/hyperlink" Target="https://www.nzbn.govt.nz/using-the-nzbn/nzbn-services/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nzbn.govt.nz/using-the-nzbn/nzbn-services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abr.business.gov.au/Tools/AbnLookup" TargetMode="External"/><Relationship Id="rId20" Type="http://schemas.openxmlformats.org/officeDocument/2006/relationships/hyperlink" Target="mailto:support@nzpeppol.govt.nz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s://abr.business.gov.au/Tools/WebServices" TargetMode="External"/><Relationship Id="rId23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hyperlink" Target="mailto:e-Invoicing@ato.gov.au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support@nzpeppol.govt.nz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ql2\Desktop\e-invoicing_Template_Report_A4_Portra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5392DCBE15415E9AB93049E0001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30B04-87DC-4773-A082-49DC40F5933E}"/>
      </w:docPartPr>
      <w:docPartBody>
        <w:p w:rsidR="00420142" w:rsidRDefault="00420142">
          <w:pPr>
            <w:pStyle w:val="F15392DCBE15415E9AB93049E000179E"/>
          </w:pPr>
          <w:r w:rsidRPr="0055313B">
            <w:rPr>
              <w:rStyle w:val="Classification"/>
            </w:rPr>
            <w:t>[Classification]</w:t>
          </w:r>
        </w:p>
      </w:docPartBody>
    </w:docPart>
    <w:docPart>
      <w:docPartPr>
        <w:name w:val="D9DADFFC01F14929AAA408DA97587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E668-1FA6-40DF-B60F-8044CDB6C04E}"/>
      </w:docPartPr>
      <w:docPartBody>
        <w:p w:rsidR="00420142" w:rsidRDefault="00420142">
          <w:pPr>
            <w:pStyle w:val="D9DADFFC01F14929AAA408DA97587A05"/>
          </w:pPr>
          <w:r w:rsidRPr="0044347B">
            <w:rPr>
              <w:lang w:val="en-US"/>
            </w:rPr>
            <w:t>[Internal/External]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142"/>
    <w:rsid w:val="00110788"/>
    <w:rsid w:val="00420142"/>
    <w:rsid w:val="006770A6"/>
    <w:rsid w:val="00706397"/>
    <w:rsid w:val="00B2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assification">
    <w:name w:val="Classification"/>
    <w:uiPriority w:val="49"/>
    <w:qFormat/>
    <w:rPr>
      <w:b/>
      <w:bCs w:val="0"/>
      <w:color w:val="666666"/>
      <w:sz w:val="22"/>
      <w:lang w:val="en-US"/>
    </w:rPr>
  </w:style>
  <w:style w:type="paragraph" w:customStyle="1" w:styleId="465C09E471534ED3845C3331837C8DBD">
    <w:name w:val="465C09E471534ED3845C3331837C8DBD"/>
  </w:style>
  <w:style w:type="paragraph" w:customStyle="1" w:styleId="F15392DCBE15415E9AB93049E000179E">
    <w:name w:val="F15392DCBE15415E9AB93049E000179E"/>
  </w:style>
  <w:style w:type="paragraph" w:customStyle="1" w:styleId="D9DADFFC01F14929AAA408DA97587A05">
    <w:name w:val="D9DADFFC01F14929AAA408DA97587A05"/>
  </w:style>
  <w:style w:type="paragraph" w:customStyle="1" w:styleId="4AA057819C9948C7BBD9D7CD290728A1">
    <w:name w:val="4AA057819C9948C7BBD9D7CD290728A1"/>
  </w:style>
  <w:style w:type="paragraph" w:customStyle="1" w:styleId="0309FF0586254DA2B438F348AAA4014F">
    <w:name w:val="0309FF0586254DA2B438F348AAA40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2024 colours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002341"/>
      </a:accent2>
      <a:accent3>
        <a:srgbClr val="3685F7"/>
      </a:accent3>
      <a:accent4>
        <a:srgbClr val="3685F7"/>
      </a:accent4>
      <a:accent5>
        <a:srgbClr val="3685F7"/>
      </a:accent5>
      <a:accent6>
        <a:srgbClr val="3685F7"/>
      </a:accent6>
      <a:hlink>
        <a:srgbClr val="3685F7"/>
      </a:hlink>
      <a:folHlink>
        <a:srgbClr val="B2B2B2"/>
      </a:folHlink>
    </a:clrScheme>
    <a:fontScheme name="ATO">
      <a:majorFont>
        <a:latin typeface="Calibr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C0729C2EA3439DAFE168BCD9F61F" ma:contentTypeVersion="8" ma:contentTypeDescription="Create a new document." ma:contentTypeScope="" ma:versionID="64c6b1303b20b7ba020785b926adc4c4">
  <xsd:schema xmlns:xsd="http://www.w3.org/2001/XMLSchema" xmlns:xs="http://www.w3.org/2001/XMLSchema" xmlns:p="http://schemas.microsoft.com/office/2006/metadata/properties" xmlns:ns1="http://schemas.microsoft.com/sharepoint/v3" xmlns:ns2="32fbe8f2-534f-40de-947e-601f28edc0c1" xmlns:ns3="68218b3e-2e7c-4c1e-bca2-dc370c1589f5" targetNamespace="http://schemas.microsoft.com/office/2006/metadata/properties" ma:root="true" ma:fieldsID="30935d22493480dcc836119476206008" ns1:_="" ns2:_="" ns3:_="">
    <xsd:import namespace="http://schemas.microsoft.com/sharepoint/v3"/>
    <xsd:import namespace="32fbe8f2-534f-40de-947e-601f28edc0c1"/>
    <xsd:import namespace="68218b3e-2e7c-4c1e-bca2-dc370c1589f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TaxKeywordTaxHTField" minOccurs="0"/>
                <xsd:element ref="ns2:TaxCatchAll" minOccurs="0"/>
                <xsd:element ref="ns3:h027d188b65a4a02979d87d114e12e29" minOccurs="0"/>
                <xsd:element ref="ns3:idb679395e064b8ca6ecefa08efcc15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be8f2-534f-40de-947e-601f28edc0c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4" nillable="true" ma:taxonomy="true" ma:internalName="TaxKeywordTaxHTField" ma:taxonomyFieldName="TaxKeyword" ma:displayName="Enterprise Keywords" ma:fieldId="{23f27201-bee3-471e-b2e7-b64fd8b7ca38}" ma:taxonomyMulti="true" ma:sspId="d3742e83-a686-4f13-83b5-cf7cb86061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hidden="true" ma:list="{55d261c9-c71c-4954-9a92-2c93b9a76382}" ma:internalName="TaxCatchAll" ma:showField="CatchAllData" ma:web="32fbe8f2-534f-40de-947e-601f28edc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18b3e-2e7c-4c1e-bca2-dc370c1589f5" elementFormDefault="qualified">
    <xsd:import namespace="http://schemas.microsoft.com/office/2006/documentManagement/types"/>
    <xsd:import namespace="http://schemas.microsoft.com/office/infopath/2007/PartnerControls"/>
    <xsd:element name="h027d188b65a4a02979d87d114e12e29" ma:index="17" nillable="true" ma:taxonomy="true" ma:internalName="h027d188b65a4a02979d87d114e12e29" ma:taxonomyFieldName="Topic" ma:displayName="Topic" ma:default="" ma:fieldId="{1027d188-b65a-4a02-979d-87d114e12e29}" ma:taxonomyMulti="true" ma:sspId="d3742e83-a686-4f13-83b5-cf7cb8606158" ma:termSetId="ae095cfb-cc3f-4d82-be11-aa8b26c740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db679395e064b8ca6ecefa08efcc15b" ma:index="19" nillable="true" ma:taxonomy="true" ma:internalName="idb679395e064b8ca6ecefa08efcc15b" ma:taxonomyFieldName="Document_x0020_type" ma:displayName="Document type" ma:default="" ma:fieldId="{2db67939-5e06-4b8c-a6ec-efa08efcc15b}" ma:sspId="d3742e83-a686-4f13-83b5-cf7cb8606158" ma:termSetId="9b62e491-6987-46e1-ba6f-3046a8e3322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2fbe8f2-534f-40de-947e-601f28edc0c1">FNW6PDPTEM6U-303466699-38</_dlc_DocId>
    <TaxCatchAll xmlns="32fbe8f2-534f-40de-947e-601f28edc0c1">
      <Value>1369</Value>
      <Value>150</Value>
    </TaxCatchAll>
    <_dlc_DocIdUrl xmlns="32fbe8f2-534f-40de-947e-601f28edc0c1">
      <Url>http://myato/Communications/_layouts/15/DocIdRedir.aspx?ID=FNW6PDPTEM6U-303466699-38</Url>
      <Description>FNW6PDPTEM6U-303466699-38</Description>
    </_dlc_DocIdUrl>
    <TaxKeywordTaxHTField xmlns="32fbe8f2-534f-40de-947e-601f28edc0c1">
      <Terms xmlns="http://schemas.microsoft.com/office/infopath/2007/PartnerControls"/>
    </TaxKeywordTaxHTField>
    <idb679395e064b8ca6ecefa08efcc15b xmlns="68218b3e-2e7c-4c1e-bca2-dc370c1589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59cec208-9237-408c-936e-cc32bcf04ff1</TermId>
        </TermInfo>
      </Terms>
    </idb679395e064b8ca6ecefa08efcc15b>
    <PublishingExpirationDate xmlns="http://schemas.microsoft.com/sharepoint/v3" xsi:nil="true"/>
    <h027d188b65a4a02979d87d114e12e29 xmlns="68218b3e-2e7c-4c1e-bca2-dc370c1589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</TermName>
          <TermId xmlns="http://schemas.microsoft.com/office/infopath/2007/PartnerControls">202907e3-b9e0-4f13-81ac-90573f7e4576</TermId>
        </TermInfo>
      </Terms>
    </h027d188b65a4a02979d87d114e12e29>
    <PublishingStartDate xmlns="http://schemas.microsoft.com/sharepoint/v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root xmlns="www.drdoc.com.au">
  <internalExternal>External</internalExternal>
</root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653FA800-FDB8-498F-8372-84BE48272A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975AB7-0FB1-43A7-91AF-01FB8EB84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fbe8f2-534f-40de-947e-601f28edc0c1"/>
    <ds:schemaRef ds:uri="68218b3e-2e7c-4c1e-bca2-dc370c158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362E9F-5DC1-4AE6-9821-42BB7D13B93C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32fbe8f2-534f-40de-947e-601f28edc0c1"/>
    <ds:schemaRef ds:uri="http://schemas.microsoft.com/sharepoint/v3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68218b3e-2e7c-4c1e-bca2-dc370c1589f5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8DDA5A1-3516-41FD-91B1-7BCF9765280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C99D8C0-9149-4525-A8EB-93F91FBAE3F9}">
  <ds:schemaRefs>
    <ds:schemaRef ds:uri="www.drdoc.com.au"/>
  </ds:schemaRefs>
</ds:datastoreItem>
</file>

<file path=customXml/itemProps6.xml><?xml version="1.0" encoding="utf-8"?>
<ds:datastoreItem xmlns:ds="http://schemas.openxmlformats.org/officeDocument/2006/customXml" ds:itemID="{EF6FB296-9BF5-41F9-9378-2039A720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e-invoicing_Template_Report_A4_Portrait.dotx</Template>
  <TotalTime>2</TotalTime>
  <Pages>7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</vt:lpstr>
    </vt:vector>
  </TitlesOfParts>
  <Company>ATO</Company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Portrait</dc:title>
  <dc:creator>James Corbett</dc:creator>
  <cp:lastModifiedBy>Ashleigh Chirnside</cp:lastModifiedBy>
  <cp:revision>2</cp:revision>
  <dcterms:created xsi:type="dcterms:W3CDTF">2020-01-31T05:48:00Z</dcterms:created>
  <dcterms:modified xsi:type="dcterms:W3CDTF">2020-01-31T05:48:00Z</dcterms:modified>
  <cp:category>UNCLASSIFIED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>0x010100A64679C44DADA04984EEB770C4791873|1060299444</vt:lpwstr>
  </property>
  <property fmtid="{D5CDD505-2E9C-101B-9397-08002B2CF9AE}" pid="3" name="ContentTypeId">
    <vt:lpwstr>0x010100C17EC0729C2EA3439DAFE168BCD9F61F</vt:lpwstr>
  </property>
  <property fmtid="{D5CDD505-2E9C-101B-9397-08002B2CF9AE}" pid="4" name="Security Classification">
    <vt:lpwstr>1;#UNCLASSIFIED|1bbb598d-ed8e-4faa-b9b5-c952cc7313f8</vt:lpwstr>
  </property>
  <property fmtid="{D5CDD505-2E9C-101B-9397-08002B2CF9AE}" pid="5" name="ItemRetentionFormula">
    <vt:lpwstr>&lt;formula id="Microsoft.Office.RecordsManagement.PolicyFeatures.Expiration.Formula.BuiltIn"&gt;&lt;number&gt;10&lt;/number&gt;&lt;property&gt;Modified&lt;/property&gt;&lt;propertyId&gt;28cf69c5-fa48-462a-b5cd-27b6f9d2bd5f&lt;/propertyId&gt;&lt;period&gt;years&lt;/period&gt;&lt;/formula&gt;</vt:lpwstr>
  </property>
  <property fmtid="{D5CDD505-2E9C-101B-9397-08002B2CF9AE}" pid="6" name="_dlc_DocIdItemGuid">
    <vt:lpwstr>f26380b2-4360-48fc-98a5-a32cb8d5d2fe</vt:lpwstr>
  </property>
  <property fmtid="{D5CDD505-2E9C-101B-9397-08002B2CF9AE}" pid="7" name="_dlc_ExpireDate">
    <vt:filetime>2026-10-20T00:54:16Z</vt:filetime>
  </property>
  <property fmtid="{D5CDD505-2E9C-101B-9397-08002B2CF9AE}" pid="8" name="TaxKeyword">
    <vt:lpwstr/>
  </property>
  <property fmtid="{D5CDD505-2E9C-101B-9397-08002B2CF9AE}" pid="9" name="Topic">
    <vt:lpwstr>1369;#Communications|202907e3-b9e0-4f13-81ac-90573f7e4576</vt:lpwstr>
  </property>
  <property fmtid="{D5CDD505-2E9C-101B-9397-08002B2CF9AE}" pid="10" name="Document type">
    <vt:lpwstr>150;#Template|59cec208-9237-408c-936e-cc32bcf04ff1</vt:lpwstr>
  </property>
</Properties>
</file>