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D7A94" w14:textId="77777777" w:rsidR="00C23038" w:rsidRPr="00C23038" w:rsidRDefault="00202F60" w:rsidP="00C23038">
      <w:pPr>
        <w:pStyle w:val="InternalExternal"/>
        <w:framePr w:wrap="around"/>
        <w:rPr>
          <w:rStyle w:val="Classification"/>
          <w:b w:val="0"/>
          <w:sz w:val="16"/>
          <w:lang w:val="en-AU"/>
        </w:rPr>
      </w:pPr>
      <w:r>
        <w:rPr>
          <w:rStyle w:val="Classification"/>
          <w:b w:val="0"/>
          <w:sz w:val="16"/>
          <w:lang w:val="en-AU"/>
        </w:rPr>
        <w:tab/>
      </w:r>
    </w:p>
    <w:p w14:paraId="1444611A" w14:textId="70ADB627" w:rsidR="00DF5A0D" w:rsidRDefault="009A0D34" w:rsidP="00DF5A0D">
      <w:pPr>
        <w:pStyle w:val="InternalExternal"/>
        <w:framePr w:wrap="around"/>
      </w:pPr>
      <w:sdt>
        <w:sdtPr>
          <w:rPr>
            <w:rStyle w:val="Classification"/>
          </w:rPr>
          <w:alias w:val="Classification"/>
          <w:tag w:val=""/>
          <w:id w:val="-1585443907"/>
          <w:placeholder>
            <w:docPart w:val="F15392DCBE15415E9AB93049E000179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>
          <w:rPr>
            <w:rStyle w:val="DefaultParagraphFont"/>
            <w:rFonts w:asciiTheme="minorHAnsi" w:hAnsiTheme="minorHAnsi"/>
            <w:b w:val="0"/>
            <w:sz w:val="16"/>
            <w:lang w:val="en-AU"/>
          </w:rPr>
        </w:sdtEndPr>
        <w:sdtContent>
          <w:r w:rsidR="009D0567">
            <w:rPr>
              <w:rStyle w:val="Classification"/>
            </w:rPr>
            <w:t>OFFICAL</w:t>
          </w:r>
        </w:sdtContent>
      </w:sdt>
      <w:r w:rsidR="00DF5A0D" w:rsidRPr="0023407E">
        <w:rPr>
          <w:rStyle w:val="Classification"/>
        </w:rPr>
        <w:t xml:space="preserve"> </w:t>
      </w:r>
      <w:sdt>
        <w:sdtPr>
          <w:alias w:val="Internal/External"/>
          <w:tag w:val="Internal/External"/>
          <w:id w:val="-193616095"/>
          <w:placeholder>
            <w:docPart w:val="D9DADFFC01F14929AAA408DA97587A05"/>
          </w:placeholder>
          <w:dataBinding w:prefixMappings="xmlns:ns0='www.drdoc.com.au'" w:xpath="/ns0:root[1]/ns0:internalExternal[1]" w:storeItemID="{2C99D8C0-9149-4525-A8EB-93F91FBAE3F9}"/>
          <w:comboBox w:lastValue="External">
            <w:listItem w:value="Choose an item."/>
            <w:listItem w:displayText="Internal" w:value="Internal"/>
            <w:listItem w:displayText="External" w:value="External"/>
          </w:comboBox>
        </w:sdtPr>
        <w:sdtEndPr/>
        <w:sdtContent>
          <w:r w:rsidR="00404E9C">
            <w:t>External</w:t>
          </w:r>
        </w:sdtContent>
      </w:sdt>
      <w:r w:rsidR="00DF5A0D">
        <w:t xml:space="preserve"> </w:t>
      </w:r>
    </w:p>
    <w:p w14:paraId="1E4DD40D" w14:textId="77777777" w:rsidR="00904BC1" w:rsidRDefault="00D72025" w:rsidP="004C2310">
      <w:pPr>
        <w:pStyle w:val="Heading1"/>
        <w:framePr w:h="1678" w:hRule="exact" w:wrap="notBeside" w:y="-650"/>
      </w:pPr>
      <w:r>
        <w:t>A-NZ PEPPOL FRAMEWORK GUIDANCE NOTE</w:t>
      </w:r>
    </w:p>
    <w:p w14:paraId="2ACCB3A4" w14:textId="45BC17E9" w:rsidR="00D72025" w:rsidRPr="00D87181" w:rsidRDefault="000F246C" w:rsidP="00D72025">
      <w:pPr>
        <w:pStyle w:val="Heading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End User</w:t>
      </w:r>
      <w:r w:rsidR="007F4199" w:rsidRPr="00D87181">
        <w:rPr>
          <w:rFonts w:asciiTheme="minorHAnsi" w:hAnsiTheme="minorHAnsi" w:cstheme="minorHAnsi"/>
          <w:color w:val="auto"/>
        </w:rPr>
        <w:t xml:space="preserve"> Identification</w:t>
      </w:r>
    </w:p>
    <w:p w14:paraId="0A1467E8" w14:textId="01B8B67F" w:rsidR="00D72025" w:rsidRPr="0055292A" w:rsidRDefault="00E84332" w:rsidP="00D72025">
      <w:pPr>
        <w:rPr>
          <w:b/>
        </w:rPr>
      </w:pPr>
      <w:r>
        <w:rPr>
          <w:b/>
        </w:rPr>
        <w:t xml:space="preserve">Guidance </w:t>
      </w:r>
      <w:r w:rsidR="00D87181">
        <w:rPr>
          <w:b/>
        </w:rPr>
        <w:t>N</w:t>
      </w:r>
      <w:r>
        <w:rPr>
          <w:b/>
        </w:rPr>
        <w:t xml:space="preserve">ote </w:t>
      </w:r>
      <w:r w:rsidR="0026491A" w:rsidRPr="00C34E81">
        <w:rPr>
          <w:b/>
        </w:rPr>
        <w:t>10</w:t>
      </w:r>
    </w:p>
    <w:p w14:paraId="4BE2F424" w14:textId="77777777"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AE0E98" w:rsidRPr="0010233E" w14:paraId="48CEAAB0" w14:textId="77777777" w:rsidTr="00AE0E98">
        <w:tc>
          <w:tcPr>
            <w:tcW w:w="3007" w:type="dxa"/>
            <w:tcBorders>
              <w:bottom w:val="single" w:sz="4" w:space="0" w:color="auto"/>
            </w:tcBorders>
          </w:tcPr>
          <w:p w14:paraId="5CBCE025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14:paraId="54EFC7D4" w14:textId="77777777"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0DD1E86F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AE0E98" w14:paraId="7EB15186" w14:textId="77777777" w:rsidTr="002237B5">
        <w:trPr>
          <w:trHeight w:val="253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FCE7" w14:textId="5DF553ED" w:rsidR="00AE0E98" w:rsidRPr="00A71EEB" w:rsidRDefault="00476AB0" w:rsidP="002237B5">
            <w:r>
              <w:t>1</w:t>
            </w:r>
            <w:r w:rsidR="009D0567">
              <w:t>0</w:t>
            </w:r>
            <w:r>
              <w:t xml:space="preserve"> </w:t>
            </w:r>
            <w:r w:rsidR="00C34E81">
              <w:t>June</w:t>
            </w:r>
            <w:r>
              <w:t xml:space="preserve"> 2022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5ED0F106" w14:textId="77777777" w:rsidR="00AE0E98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5B7C" w14:textId="1430C846" w:rsidR="00AE0E98" w:rsidRDefault="002237B5" w:rsidP="00AE0E98">
            <w:r>
              <w:t>1.</w:t>
            </w:r>
            <w:r w:rsidR="00323AE6">
              <w:t>0</w:t>
            </w:r>
          </w:p>
        </w:tc>
      </w:tr>
      <w:tr w:rsidR="00AE0E98" w:rsidRPr="0010233E" w14:paraId="7760133A" w14:textId="77777777" w:rsidTr="00AE0E98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14:paraId="73918BB2" w14:textId="77777777" w:rsidR="00AE0E98" w:rsidRPr="00A71EEB" w:rsidRDefault="00AE0E98" w:rsidP="00AE0E98">
            <w:pPr>
              <w:rPr>
                <w:b/>
              </w:rPr>
            </w:pPr>
            <w:r w:rsidRPr="00A71EEB">
              <w:rPr>
                <w:b/>
              </w:rPr>
              <w:t>Effective from</w:t>
            </w:r>
          </w:p>
        </w:tc>
        <w:tc>
          <w:tcPr>
            <w:tcW w:w="1388" w:type="dxa"/>
          </w:tcPr>
          <w:p w14:paraId="31A91BFC" w14:textId="77777777"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14:paraId="3FA350D0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 xml:space="preserve">Artefacts </w:t>
            </w:r>
            <w:r>
              <w:rPr>
                <w:b/>
              </w:rPr>
              <w:t>impacted</w:t>
            </w:r>
          </w:p>
        </w:tc>
      </w:tr>
      <w:tr w:rsidR="00AE0E98" w14:paraId="73C02546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85D7" w14:textId="3B03C214" w:rsidR="00AE0E98" w:rsidRPr="00A71EEB" w:rsidRDefault="00356A3C" w:rsidP="00AE0E98">
            <w:r>
              <w:t>December 2022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7CF166FD" w14:textId="77777777" w:rsidR="00AE0E98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3CF9" w14:textId="45006A8F" w:rsidR="00A67FE5" w:rsidRDefault="00C34E81" w:rsidP="006A3695">
            <w:r>
              <w:t xml:space="preserve">Replaces </w:t>
            </w:r>
            <w:r w:rsidR="00700BA2">
              <w:t>Guidance Notes 4-6</w:t>
            </w:r>
          </w:p>
        </w:tc>
      </w:tr>
    </w:tbl>
    <w:p w14:paraId="2D62E258" w14:textId="77777777" w:rsidR="006A3695" w:rsidRDefault="006A3695" w:rsidP="006A3695">
      <w:pPr>
        <w:jc w:val="right"/>
        <w:rPr>
          <w:b/>
        </w:rPr>
      </w:pPr>
    </w:p>
    <w:p w14:paraId="12748DE0" w14:textId="77777777" w:rsidR="0025016C" w:rsidRPr="001A2C52" w:rsidRDefault="004C0277" w:rsidP="00BD193D">
      <w:pPr>
        <w:pStyle w:val="Heading3"/>
        <w:spacing w:before="0" w:after="120" w:line="240" w:lineRule="auto"/>
        <w:rPr>
          <w:sz w:val="28"/>
        </w:rPr>
      </w:pPr>
      <w:r>
        <w:t>Introduction</w:t>
      </w:r>
      <w:r w:rsidR="00442B26">
        <w:rPr>
          <w:sz w:val="28"/>
        </w:rPr>
        <w:tab/>
        <w:t xml:space="preserve"> </w:t>
      </w:r>
    </w:p>
    <w:p w14:paraId="1C737D67" w14:textId="4B65272E" w:rsidR="00F454C2" w:rsidRDefault="00407638" w:rsidP="00BD193D">
      <w:pPr>
        <w:spacing w:before="0" w:after="120" w:line="240" w:lineRule="auto"/>
        <w:rPr>
          <w:rFonts w:cstheme="minorHAnsi"/>
        </w:rPr>
      </w:pPr>
      <w:r>
        <w:rPr>
          <w:rFonts w:cstheme="minorHAnsi"/>
        </w:rPr>
        <w:t>Th</w:t>
      </w:r>
      <w:r w:rsidR="00202B62">
        <w:rPr>
          <w:rFonts w:cstheme="minorHAnsi"/>
        </w:rPr>
        <w:t>is</w:t>
      </w:r>
      <w:r>
        <w:rPr>
          <w:rFonts w:cstheme="minorHAnsi"/>
        </w:rPr>
        <w:t xml:space="preserve"> </w:t>
      </w:r>
      <w:r w:rsidR="00202B62">
        <w:rPr>
          <w:rFonts w:cstheme="minorHAnsi"/>
        </w:rPr>
        <w:t>guidance note</w:t>
      </w:r>
      <w:r>
        <w:rPr>
          <w:rFonts w:cstheme="minorHAnsi"/>
        </w:rPr>
        <w:t xml:space="preserve"> provide</w:t>
      </w:r>
      <w:r w:rsidR="00202B62">
        <w:rPr>
          <w:rFonts w:cstheme="minorHAnsi"/>
        </w:rPr>
        <w:t>s</w:t>
      </w:r>
      <w:r>
        <w:rPr>
          <w:rFonts w:cstheme="minorHAnsi"/>
        </w:rPr>
        <w:t xml:space="preserve"> </w:t>
      </w:r>
      <w:r w:rsidRPr="002931E5">
        <w:rPr>
          <w:rFonts w:cstheme="minorHAnsi"/>
        </w:rPr>
        <w:t>instructions</w:t>
      </w:r>
      <w:r>
        <w:rPr>
          <w:rFonts w:cstheme="minorHAnsi"/>
        </w:rPr>
        <w:t xml:space="preserve"> on how</w:t>
      </w:r>
      <w:r w:rsidR="004F7480">
        <w:rPr>
          <w:rFonts w:cstheme="minorHAnsi"/>
        </w:rPr>
        <w:t xml:space="preserve"> Service Providers who provide</w:t>
      </w:r>
      <w:r w:rsidR="00E84332">
        <w:rPr>
          <w:rFonts w:cstheme="minorHAnsi"/>
        </w:rPr>
        <w:t xml:space="preserve"> </w:t>
      </w:r>
      <w:r w:rsidR="00480424">
        <w:rPr>
          <w:rFonts w:cstheme="minorHAnsi"/>
        </w:rPr>
        <w:t>A</w:t>
      </w:r>
      <w:r w:rsidR="00E84332">
        <w:rPr>
          <w:rFonts w:cstheme="minorHAnsi"/>
        </w:rPr>
        <w:t xml:space="preserve">ccess </w:t>
      </w:r>
      <w:r w:rsidR="00480424">
        <w:rPr>
          <w:rFonts w:cstheme="minorHAnsi"/>
        </w:rPr>
        <w:t>P</w:t>
      </w:r>
      <w:r w:rsidR="00E84332">
        <w:rPr>
          <w:rFonts w:cstheme="minorHAnsi"/>
        </w:rPr>
        <w:t>oint</w:t>
      </w:r>
      <w:r w:rsidR="006C34BC">
        <w:rPr>
          <w:rFonts w:cstheme="minorHAnsi"/>
        </w:rPr>
        <w:t xml:space="preserve"> (AP)</w:t>
      </w:r>
      <w:r w:rsidR="002931E5">
        <w:rPr>
          <w:rFonts w:cstheme="minorHAnsi"/>
        </w:rPr>
        <w:t xml:space="preserve"> and</w:t>
      </w:r>
      <w:r w:rsidR="006C34BC">
        <w:rPr>
          <w:rFonts w:cstheme="minorHAnsi"/>
        </w:rPr>
        <w:t xml:space="preserve"> </w:t>
      </w:r>
      <w:r w:rsidR="006C34BC" w:rsidRPr="00E57111">
        <w:rPr>
          <w:rFonts w:cstheme="minorHAnsi"/>
        </w:rPr>
        <w:t xml:space="preserve">Service Metadata Publisher </w:t>
      </w:r>
      <w:r w:rsidR="006C34BC">
        <w:rPr>
          <w:rFonts w:cstheme="minorHAnsi"/>
        </w:rPr>
        <w:t xml:space="preserve">(SMP) </w:t>
      </w:r>
      <w:r w:rsidR="004F7480">
        <w:rPr>
          <w:rFonts w:cstheme="minorHAnsi"/>
        </w:rPr>
        <w:t xml:space="preserve">services </w:t>
      </w:r>
      <w:r w:rsidR="00066301">
        <w:rPr>
          <w:rFonts w:cstheme="minorHAnsi"/>
        </w:rPr>
        <w:t>in Australia</w:t>
      </w:r>
      <w:r w:rsidR="004C2769">
        <w:rPr>
          <w:rFonts w:cstheme="minorHAnsi"/>
        </w:rPr>
        <w:t xml:space="preserve"> and New Zealand</w:t>
      </w:r>
      <w:r w:rsidR="004907E2">
        <w:rPr>
          <w:rFonts w:cstheme="minorHAnsi"/>
        </w:rPr>
        <w:t xml:space="preserve"> </w:t>
      </w:r>
      <w:r w:rsidR="00985F6E">
        <w:rPr>
          <w:rFonts w:cstheme="minorHAnsi"/>
        </w:rPr>
        <w:t>can meet the</w:t>
      </w:r>
      <w:r w:rsidR="00E84332">
        <w:rPr>
          <w:rFonts w:cstheme="minorHAnsi"/>
        </w:rPr>
        <w:t xml:space="preserve"> </w:t>
      </w:r>
      <w:r w:rsidR="005121EC">
        <w:rPr>
          <w:rFonts w:cstheme="minorHAnsi"/>
        </w:rPr>
        <w:t xml:space="preserve">requirements of </w:t>
      </w:r>
      <w:r w:rsidR="000F246C">
        <w:rPr>
          <w:rFonts w:cstheme="minorHAnsi"/>
        </w:rPr>
        <w:t>End User</w:t>
      </w:r>
      <w:r w:rsidR="007F4199">
        <w:rPr>
          <w:rFonts w:cstheme="minorHAnsi"/>
        </w:rPr>
        <w:t xml:space="preserve"> </w:t>
      </w:r>
      <w:r w:rsidR="00DF0F5D">
        <w:rPr>
          <w:rFonts w:cstheme="minorHAnsi"/>
        </w:rPr>
        <w:t>I</w:t>
      </w:r>
      <w:r w:rsidR="0074538A">
        <w:rPr>
          <w:rFonts w:cstheme="minorHAnsi"/>
        </w:rPr>
        <w:t>dentification</w:t>
      </w:r>
      <w:r w:rsidR="007F4199">
        <w:rPr>
          <w:rFonts w:cstheme="minorHAnsi"/>
        </w:rPr>
        <w:t xml:space="preserve"> </w:t>
      </w:r>
      <w:r w:rsidR="00066301">
        <w:rPr>
          <w:rFonts w:cstheme="minorHAnsi"/>
        </w:rPr>
        <w:t>in</w:t>
      </w:r>
      <w:r w:rsidR="005121EC">
        <w:rPr>
          <w:rFonts w:cstheme="minorHAnsi"/>
        </w:rPr>
        <w:t xml:space="preserve"> the </w:t>
      </w:r>
      <w:r w:rsidR="009F1152">
        <w:rPr>
          <w:rFonts w:cstheme="minorHAnsi"/>
        </w:rPr>
        <w:t>Peppol</w:t>
      </w:r>
      <w:r w:rsidR="00053B00">
        <w:rPr>
          <w:rFonts w:cstheme="minorHAnsi"/>
        </w:rPr>
        <w:t xml:space="preserve"> environment</w:t>
      </w:r>
      <w:r w:rsidR="000C4925">
        <w:rPr>
          <w:rFonts w:cstheme="minorHAnsi"/>
        </w:rPr>
        <w:t>.</w:t>
      </w:r>
      <w:r w:rsidR="0048268E">
        <w:rPr>
          <w:rFonts w:cstheme="minorHAnsi"/>
        </w:rPr>
        <w:t xml:space="preserve"> </w:t>
      </w:r>
    </w:p>
    <w:p w14:paraId="13BE8081" w14:textId="7BF2CDC3" w:rsidR="00DF0F5D" w:rsidRDefault="00DB70D9" w:rsidP="00002FE6">
      <w:pPr>
        <w:rPr>
          <w:rFonts w:cstheme="minorHAnsi"/>
        </w:rPr>
      </w:pPr>
      <w:r>
        <w:rPr>
          <w:rFonts w:cstheme="minorHAnsi"/>
        </w:rPr>
        <w:t>Reliability in the</w:t>
      </w:r>
      <w:r w:rsidR="00A321AD">
        <w:rPr>
          <w:rFonts w:cstheme="minorHAnsi"/>
        </w:rPr>
        <w:t xml:space="preserve"> identity</w:t>
      </w:r>
      <w:r w:rsidR="000940C4" w:rsidRPr="000940C4">
        <w:rPr>
          <w:rFonts w:cstheme="minorHAnsi"/>
        </w:rPr>
        <w:t xml:space="preserve"> of end-users </w:t>
      </w:r>
      <w:r>
        <w:rPr>
          <w:rFonts w:cstheme="minorHAnsi"/>
        </w:rPr>
        <w:t>provides</w:t>
      </w:r>
      <w:r w:rsidR="000940C4" w:rsidRPr="000940C4">
        <w:rPr>
          <w:rFonts w:cstheme="minorHAnsi"/>
        </w:rPr>
        <w:t xml:space="preserve"> confidence and trust in the </w:t>
      </w:r>
      <w:r w:rsidR="002B01DE">
        <w:rPr>
          <w:rFonts w:cstheme="minorHAnsi"/>
        </w:rPr>
        <w:t>Peppol</w:t>
      </w:r>
      <w:r w:rsidR="000940C4" w:rsidRPr="000940C4">
        <w:rPr>
          <w:rFonts w:cstheme="minorHAnsi"/>
        </w:rPr>
        <w:t xml:space="preserve"> network. </w:t>
      </w:r>
      <w:r w:rsidR="00D07216">
        <w:rPr>
          <w:rFonts w:cstheme="minorHAnsi"/>
        </w:rPr>
        <w:t>Adequate</w:t>
      </w:r>
      <w:r w:rsidR="00DB3BAF">
        <w:rPr>
          <w:rFonts w:cstheme="minorHAnsi"/>
        </w:rPr>
        <w:t xml:space="preserve"> identity verification and</w:t>
      </w:r>
      <w:r w:rsidR="00D07216" w:rsidRPr="000940C4">
        <w:rPr>
          <w:rFonts w:cstheme="minorHAnsi"/>
        </w:rPr>
        <w:t xml:space="preserve"> </w:t>
      </w:r>
      <w:r w:rsidR="000940C4" w:rsidRPr="000940C4">
        <w:rPr>
          <w:rFonts w:cstheme="minorHAnsi"/>
        </w:rPr>
        <w:t xml:space="preserve">validation </w:t>
      </w:r>
      <w:r w:rsidR="00D07216">
        <w:rPr>
          <w:rFonts w:cstheme="minorHAnsi"/>
        </w:rPr>
        <w:t xml:space="preserve">by </w:t>
      </w:r>
      <w:r w:rsidR="004F7480">
        <w:rPr>
          <w:rFonts w:cstheme="minorHAnsi"/>
        </w:rPr>
        <w:t>S</w:t>
      </w:r>
      <w:r w:rsidR="00D07216">
        <w:rPr>
          <w:rFonts w:cstheme="minorHAnsi"/>
        </w:rPr>
        <w:t xml:space="preserve">ervice </w:t>
      </w:r>
      <w:r w:rsidR="004F7480">
        <w:rPr>
          <w:rFonts w:cstheme="minorHAnsi"/>
        </w:rPr>
        <w:t>P</w:t>
      </w:r>
      <w:r w:rsidR="00D07216">
        <w:rPr>
          <w:rFonts w:cstheme="minorHAnsi"/>
        </w:rPr>
        <w:t>roviders</w:t>
      </w:r>
      <w:r w:rsidR="00D07216" w:rsidRPr="000940C4">
        <w:rPr>
          <w:rFonts w:cstheme="minorHAnsi"/>
        </w:rPr>
        <w:t xml:space="preserve"> </w:t>
      </w:r>
      <w:r w:rsidR="000940C4" w:rsidRPr="000940C4">
        <w:rPr>
          <w:rFonts w:cstheme="minorHAnsi"/>
        </w:rPr>
        <w:t>reduce</w:t>
      </w:r>
      <w:r w:rsidR="002B01DE">
        <w:rPr>
          <w:rFonts w:cstheme="minorHAnsi"/>
        </w:rPr>
        <w:t>s</w:t>
      </w:r>
      <w:r w:rsidR="000940C4" w:rsidRPr="000940C4">
        <w:rPr>
          <w:rFonts w:cstheme="minorHAnsi"/>
        </w:rPr>
        <w:t xml:space="preserve"> the risk of fraudulent behaviour which impacts </w:t>
      </w:r>
      <w:r w:rsidR="000F246C">
        <w:rPr>
          <w:rFonts w:cstheme="minorHAnsi"/>
        </w:rPr>
        <w:t>End User</w:t>
      </w:r>
      <w:r w:rsidR="000940C4" w:rsidRPr="000940C4">
        <w:rPr>
          <w:rFonts w:cstheme="minorHAnsi"/>
        </w:rPr>
        <w:t xml:space="preserve">s and can damage the reputation of the network and </w:t>
      </w:r>
      <w:r w:rsidR="004F7480">
        <w:rPr>
          <w:rFonts w:cstheme="minorHAnsi"/>
        </w:rPr>
        <w:t xml:space="preserve">ultimately, </w:t>
      </w:r>
      <w:r w:rsidR="00F42A8C">
        <w:rPr>
          <w:rFonts w:cstheme="minorHAnsi"/>
        </w:rPr>
        <w:t xml:space="preserve">is detrimental to </w:t>
      </w:r>
      <w:r w:rsidR="004F7480">
        <w:rPr>
          <w:rFonts w:cstheme="minorHAnsi"/>
        </w:rPr>
        <w:t>all parties</w:t>
      </w:r>
      <w:r w:rsidR="000940C4" w:rsidRPr="000940C4">
        <w:rPr>
          <w:rFonts w:cstheme="minorHAnsi"/>
        </w:rPr>
        <w:t xml:space="preserve">. </w:t>
      </w:r>
    </w:p>
    <w:p w14:paraId="06E440CF" w14:textId="2CCCAC59" w:rsidR="00AF7ACE" w:rsidRPr="002A024B" w:rsidRDefault="00AA2FE5" w:rsidP="00AF7ACE">
      <w:pPr>
        <w:rPr>
          <w:rFonts w:cstheme="minorHAnsi"/>
        </w:rPr>
      </w:pPr>
      <w:r w:rsidRPr="002A024B">
        <w:rPr>
          <w:rFonts w:cstheme="minorHAnsi"/>
        </w:rPr>
        <w:t>Comprehensive and adequate</w:t>
      </w:r>
      <w:r w:rsidR="00AF7ACE" w:rsidRPr="002A024B">
        <w:rPr>
          <w:rFonts w:cstheme="minorHAnsi"/>
        </w:rPr>
        <w:t xml:space="preserve"> </w:t>
      </w:r>
      <w:r w:rsidR="000F246C">
        <w:rPr>
          <w:rFonts w:cstheme="minorHAnsi"/>
        </w:rPr>
        <w:t>End User</w:t>
      </w:r>
      <w:r w:rsidR="00AF7ACE" w:rsidRPr="002A024B">
        <w:rPr>
          <w:rFonts w:cstheme="minorHAnsi"/>
        </w:rPr>
        <w:t xml:space="preserve"> identification consider</w:t>
      </w:r>
      <w:r w:rsidRPr="002A024B">
        <w:rPr>
          <w:rFonts w:cstheme="minorHAnsi"/>
        </w:rPr>
        <w:t>s</w:t>
      </w:r>
      <w:r w:rsidR="00AF7ACE" w:rsidRPr="002A024B">
        <w:rPr>
          <w:rFonts w:cstheme="minorHAnsi"/>
        </w:rPr>
        <w:t>:</w:t>
      </w:r>
    </w:p>
    <w:p w14:paraId="7D96EACF" w14:textId="42FCAB92" w:rsidR="00AF7ACE" w:rsidRDefault="00DF0F5D" w:rsidP="00AA2FE5">
      <w:pPr>
        <w:pStyle w:val="Bulletedlist1"/>
      </w:pPr>
      <w:r>
        <w:t>N</w:t>
      </w:r>
      <w:r w:rsidR="00AF7ACE">
        <w:t xml:space="preserve">ew </w:t>
      </w:r>
      <w:r w:rsidR="000F246C">
        <w:t>End User</w:t>
      </w:r>
      <w:r w:rsidR="00AF7ACE">
        <w:t>:</w:t>
      </w:r>
      <w:r w:rsidR="00FB1A00">
        <w:tab/>
      </w:r>
      <w:r w:rsidR="00FB1A00">
        <w:tab/>
      </w:r>
    </w:p>
    <w:p w14:paraId="21BB0E72" w14:textId="77BB792D" w:rsidR="00AF7ACE" w:rsidRDefault="00AA2FE5" w:rsidP="001D18FF">
      <w:pPr>
        <w:pStyle w:val="Bulletedlist2"/>
      </w:pPr>
      <w:r>
        <w:t xml:space="preserve">that </w:t>
      </w:r>
      <w:r w:rsidR="00AF7ACE">
        <w:t>the person representing an entity is who they say they are,</w:t>
      </w:r>
      <w:r w:rsidR="00AF7ACE" w:rsidRPr="00D94EAA">
        <w:t xml:space="preserve"> </w:t>
      </w:r>
      <w:r w:rsidR="00AF7ACE">
        <w:t>and</w:t>
      </w:r>
    </w:p>
    <w:p w14:paraId="20260003" w14:textId="584D7872" w:rsidR="00AF7ACE" w:rsidRDefault="00AA2FE5" w:rsidP="001D18FF">
      <w:pPr>
        <w:pStyle w:val="Bulletedlist2"/>
      </w:pPr>
      <w:r>
        <w:t xml:space="preserve">that </w:t>
      </w:r>
      <w:r w:rsidR="00AF7ACE">
        <w:t>the person is authorised to represent the entity, and</w:t>
      </w:r>
    </w:p>
    <w:p w14:paraId="6CDB2956" w14:textId="0632F1E9" w:rsidR="00AF7ACE" w:rsidRDefault="00AA2FE5" w:rsidP="001D18FF">
      <w:pPr>
        <w:pStyle w:val="Bulletedlist2"/>
      </w:pPr>
      <w:r>
        <w:t xml:space="preserve">that </w:t>
      </w:r>
      <w:r w:rsidR="00AF7ACE">
        <w:t>the entity is legitimate, and the details are accurate.</w:t>
      </w:r>
    </w:p>
    <w:p w14:paraId="2ECDB590" w14:textId="724EE6B0" w:rsidR="00AF7ACE" w:rsidRDefault="00DF0F5D" w:rsidP="001D18FF">
      <w:pPr>
        <w:pStyle w:val="Bulletedlist1"/>
      </w:pPr>
      <w:r>
        <w:t>E</w:t>
      </w:r>
      <w:r w:rsidR="00AF7ACE">
        <w:t xml:space="preserve">xisting </w:t>
      </w:r>
      <w:r w:rsidR="000F246C">
        <w:t>End User</w:t>
      </w:r>
      <w:r w:rsidR="00AF7ACE">
        <w:t>:</w:t>
      </w:r>
    </w:p>
    <w:p w14:paraId="3C23BBCE" w14:textId="678333C5" w:rsidR="00AF7ACE" w:rsidRPr="00D94EAA" w:rsidRDefault="00AF7ACE" w:rsidP="00DF0F5D">
      <w:pPr>
        <w:pStyle w:val="Bulletedlist2"/>
      </w:pPr>
      <w:r w:rsidRPr="00D94EAA">
        <w:t>triggers that may prompt re</w:t>
      </w:r>
      <w:r w:rsidR="00DF0F5D">
        <w:t>-</w:t>
      </w:r>
      <w:r w:rsidRPr="00D94EAA">
        <w:t xml:space="preserve">checking the </w:t>
      </w:r>
      <w:r>
        <w:t>information, and</w:t>
      </w:r>
    </w:p>
    <w:p w14:paraId="41E8AC9F" w14:textId="375FD5F9" w:rsidR="00AF7ACE" w:rsidRDefault="00AF7ACE" w:rsidP="00DF0F5D">
      <w:pPr>
        <w:pStyle w:val="Bulletedlist2"/>
      </w:pPr>
      <w:r w:rsidRPr="00D94EAA">
        <w:t>periodic re</w:t>
      </w:r>
      <w:r w:rsidR="00DF0F5D">
        <w:t>-</w:t>
      </w:r>
      <w:r w:rsidRPr="00D94EAA">
        <w:t>checking</w:t>
      </w:r>
      <w:r>
        <w:t>.</w:t>
      </w:r>
    </w:p>
    <w:p w14:paraId="6CA3D39C" w14:textId="57F4E84B" w:rsidR="002A024B" w:rsidRDefault="002A024B" w:rsidP="002A024B">
      <w:pPr>
        <w:rPr>
          <w:rFonts w:cstheme="minorHAnsi"/>
        </w:rPr>
      </w:pPr>
      <w:r w:rsidRPr="000940C4">
        <w:rPr>
          <w:rFonts w:cstheme="minorHAnsi"/>
        </w:rPr>
        <w:t>The requirements in this document</w:t>
      </w:r>
      <w:r>
        <w:rPr>
          <w:rFonts w:cstheme="minorHAnsi"/>
        </w:rPr>
        <w:t xml:space="preserve"> </w:t>
      </w:r>
      <w:r w:rsidRPr="000940C4">
        <w:rPr>
          <w:rFonts w:cstheme="minorHAnsi"/>
        </w:rPr>
        <w:t>create a baseline level of validation</w:t>
      </w:r>
      <w:r>
        <w:rPr>
          <w:rFonts w:cstheme="minorHAnsi"/>
        </w:rPr>
        <w:t xml:space="preserve">. A-NZ Peppol Authorities have been, and continue to, </w:t>
      </w:r>
      <w:r w:rsidRPr="000940C4">
        <w:rPr>
          <w:rFonts w:cstheme="minorHAnsi"/>
        </w:rPr>
        <w:t xml:space="preserve">work with Service Providers to strengthen </w:t>
      </w:r>
      <w:r w:rsidR="000F246C">
        <w:rPr>
          <w:rFonts w:cstheme="minorHAnsi"/>
        </w:rPr>
        <w:t>End User</w:t>
      </w:r>
      <w:r>
        <w:rPr>
          <w:rFonts w:cstheme="minorHAnsi"/>
        </w:rPr>
        <w:t xml:space="preserve"> identification </w:t>
      </w:r>
      <w:r w:rsidRPr="000940C4">
        <w:rPr>
          <w:rFonts w:cstheme="minorHAnsi"/>
        </w:rPr>
        <w:t>as the network matures.</w:t>
      </w:r>
    </w:p>
    <w:p w14:paraId="12B0FF95" w14:textId="7519823E" w:rsidR="002A024B" w:rsidRDefault="002A024B" w:rsidP="002A024B">
      <w:pPr>
        <w:pStyle w:val="Bulletedlist1"/>
        <w:numPr>
          <w:ilvl w:val="0"/>
          <w:numId w:val="0"/>
        </w:numPr>
        <w:rPr>
          <w:rFonts w:cstheme="minorHAnsi"/>
        </w:rPr>
      </w:pPr>
      <w:r w:rsidRPr="00735698">
        <w:t xml:space="preserve">This guidance note should be read in conjunction with </w:t>
      </w:r>
      <w:r w:rsidRPr="002A024B">
        <w:rPr>
          <w:i/>
          <w:iCs/>
        </w:rPr>
        <w:t xml:space="preserve">Guidance Note 09 Peppol Directory </w:t>
      </w:r>
      <w:r w:rsidRPr="002A024B">
        <w:rPr>
          <w:rFonts w:cstheme="minorHAnsi"/>
        </w:rPr>
        <w:t xml:space="preserve">available on </w:t>
      </w:r>
      <w:hyperlink r:id="rId13" w:history="1">
        <w:r w:rsidRPr="002A024B">
          <w:rPr>
            <w:rStyle w:val="Hyperlink"/>
            <w:rFonts w:cstheme="minorHAnsi"/>
          </w:rPr>
          <w:t>GitHub</w:t>
        </w:r>
      </w:hyperlink>
      <w:r w:rsidRPr="002A024B">
        <w:rPr>
          <w:rFonts w:cstheme="minorHAnsi"/>
        </w:rPr>
        <w:t>.</w:t>
      </w:r>
    </w:p>
    <w:p w14:paraId="0F4783EC" w14:textId="33BF4BD5" w:rsidR="00DC2ECB" w:rsidRPr="002A024B" w:rsidRDefault="00DC2ECB" w:rsidP="002A024B">
      <w:pPr>
        <w:pStyle w:val="Bulletedlist1"/>
        <w:numPr>
          <w:ilvl w:val="0"/>
          <w:numId w:val="0"/>
        </w:numPr>
        <w:rPr>
          <w:rFonts w:ascii="Arial" w:eastAsiaTheme="majorEastAsia" w:hAnsi="Arial" w:cstheme="majorBidi"/>
          <w:b/>
          <w:bCs/>
          <w:iCs/>
          <w:sz w:val="26"/>
        </w:rPr>
      </w:pPr>
      <w:r>
        <w:rPr>
          <w:rFonts w:cstheme="minorHAnsi"/>
        </w:rPr>
        <w:t xml:space="preserve">This guidance note replaces </w:t>
      </w:r>
      <w:r w:rsidRPr="00E4666A">
        <w:rPr>
          <w:rFonts w:cstheme="minorHAnsi"/>
          <w:i/>
          <w:iCs/>
        </w:rPr>
        <w:t>Guidance Note 04 Know Your Customer</w:t>
      </w:r>
      <w:r>
        <w:rPr>
          <w:rFonts w:cstheme="minorHAnsi"/>
        </w:rPr>
        <w:t xml:space="preserve">, </w:t>
      </w:r>
      <w:r w:rsidRPr="00E4666A">
        <w:rPr>
          <w:rFonts w:cstheme="minorHAnsi"/>
          <w:i/>
          <w:iCs/>
        </w:rPr>
        <w:t>Guidance Note 05 ABN Validation</w:t>
      </w:r>
      <w:r>
        <w:rPr>
          <w:rFonts w:cstheme="minorHAnsi"/>
        </w:rPr>
        <w:t xml:space="preserve"> and </w:t>
      </w:r>
      <w:r w:rsidRPr="00E4666A">
        <w:rPr>
          <w:rFonts w:cstheme="minorHAnsi"/>
          <w:i/>
          <w:iCs/>
        </w:rPr>
        <w:t xml:space="preserve">Guidance Note </w:t>
      </w:r>
      <w:r w:rsidR="00E4666A" w:rsidRPr="00E4666A">
        <w:rPr>
          <w:rFonts w:cstheme="minorHAnsi"/>
          <w:i/>
          <w:iCs/>
        </w:rPr>
        <w:t>06 NZBN Validation</w:t>
      </w:r>
      <w:r w:rsidR="00E4666A">
        <w:rPr>
          <w:rFonts w:cstheme="minorHAnsi"/>
        </w:rPr>
        <w:t>. These are now obsolete.</w:t>
      </w:r>
    </w:p>
    <w:p w14:paraId="72A08FCA" w14:textId="77777777" w:rsidR="002A024B" w:rsidRPr="00D94EAA" w:rsidRDefault="002A024B" w:rsidP="002A024B">
      <w:pPr>
        <w:pStyle w:val="Bulletedlist1"/>
        <w:numPr>
          <w:ilvl w:val="0"/>
          <w:numId w:val="0"/>
        </w:numPr>
        <w:ind w:left="284" w:hanging="284"/>
      </w:pPr>
    </w:p>
    <w:p w14:paraId="045E8C0E" w14:textId="129BB72F" w:rsidR="00DE7762" w:rsidRDefault="00DE7762" w:rsidP="002A024B">
      <w:pPr>
        <w:pStyle w:val="Heading3"/>
      </w:pPr>
      <w:r>
        <w:t xml:space="preserve">OpenPeppol Internal Regulations </w:t>
      </w:r>
    </w:p>
    <w:p w14:paraId="321A10D2" w14:textId="698076E9" w:rsidR="002B1D76" w:rsidRDefault="00835D6E" w:rsidP="00E75C26">
      <w:bookmarkStart w:id="0" w:name="_Hlk96518658"/>
      <w:r>
        <w:t xml:space="preserve">Policy for </w:t>
      </w:r>
      <w:r w:rsidR="000F246C">
        <w:t>End User</w:t>
      </w:r>
      <w:r w:rsidR="002D2ADC">
        <w:t xml:space="preserve"> identification</w:t>
      </w:r>
      <w:r>
        <w:t xml:space="preserve"> in OpenPeppol can be found in </w:t>
      </w:r>
      <w:bookmarkEnd w:id="0"/>
      <w:r w:rsidR="00DE7762" w:rsidRPr="00426E6A">
        <w:t>Section 3.3.1</w:t>
      </w:r>
      <w:r w:rsidR="00DE7762">
        <w:t xml:space="preserve"> </w:t>
      </w:r>
      <w:r>
        <w:t xml:space="preserve">of the </w:t>
      </w:r>
      <w:hyperlink r:id="rId14" w:history="1">
        <w:r w:rsidRPr="00397A6A">
          <w:rPr>
            <w:rStyle w:val="Hyperlink"/>
          </w:rPr>
          <w:t>OpenPeppol Internal Regulations</w:t>
        </w:r>
      </w:hyperlink>
      <w:r w:rsidR="00BE6E62">
        <w:t xml:space="preserve"> (IR)</w:t>
      </w:r>
      <w:r>
        <w:t>.</w:t>
      </w:r>
      <w:r w:rsidR="00247A6D">
        <w:t xml:space="preserve"> </w:t>
      </w:r>
    </w:p>
    <w:p w14:paraId="352FCA21" w14:textId="0CB0FBB1" w:rsidR="00313552" w:rsidRDefault="002D2ADC" w:rsidP="00E75C26">
      <w:r>
        <w:rPr>
          <w:szCs w:val="22"/>
        </w:rPr>
        <w:t>SPs</w:t>
      </w:r>
      <w:r w:rsidR="00313552">
        <w:rPr>
          <w:szCs w:val="22"/>
        </w:rPr>
        <w:t xml:space="preserve"> remain responsible for the correctness of</w:t>
      </w:r>
      <w:r w:rsidR="003B2C05">
        <w:rPr>
          <w:szCs w:val="22"/>
        </w:rPr>
        <w:t xml:space="preserve"> all</w:t>
      </w:r>
      <w:r w:rsidR="00313552">
        <w:rPr>
          <w:szCs w:val="22"/>
        </w:rPr>
        <w:t xml:space="preserve"> </w:t>
      </w:r>
      <w:r w:rsidR="000F246C">
        <w:rPr>
          <w:szCs w:val="22"/>
        </w:rPr>
        <w:t>End User</w:t>
      </w:r>
      <w:r w:rsidR="003B2C05">
        <w:rPr>
          <w:szCs w:val="22"/>
        </w:rPr>
        <w:t xml:space="preserve"> (senders and receivers)</w:t>
      </w:r>
      <w:r w:rsidR="00313552">
        <w:rPr>
          <w:szCs w:val="22"/>
        </w:rPr>
        <w:t xml:space="preserve"> information for the time during which they provide Peppol Services to them</w:t>
      </w:r>
      <w:r w:rsidR="003B2C05">
        <w:rPr>
          <w:szCs w:val="22"/>
        </w:rPr>
        <w:t>, directly or indirectly through intermediaries</w:t>
      </w:r>
      <w:r w:rsidR="00313552">
        <w:rPr>
          <w:szCs w:val="22"/>
        </w:rPr>
        <w:t>.</w:t>
      </w:r>
      <w:r w:rsidR="000E0AE1">
        <w:rPr>
          <w:szCs w:val="22"/>
        </w:rPr>
        <w:t xml:space="preserve"> </w:t>
      </w:r>
    </w:p>
    <w:p w14:paraId="4BAB04BA" w14:textId="52C8ACF5" w:rsidR="007A619D" w:rsidRDefault="007A619D" w:rsidP="007A619D">
      <w:pPr>
        <w:pStyle w:val="Heading3"/>
      </w:pPr>
      <w:r>
        <w:t>Tools</w:t>
      </w:r>
    </w:p>
    <w:p w14:paraId="665FF780" w14:textId="77777777" w:rsidR="00445776" w:rsidRPr="007A619D" w:rsidRDefault="00445776" w:rsidP="007A619D">
      <w:pPr>
        <w:pStyle w:val="Heading4"/>
      </w:pPr>
      <w:r w:rsidRPr="007A619D">
        <w:t xml:space="preserve">Australian Business Register (ABR) </w:t>
      </w:r>
    </w:p>
    <w:p w14:paraId="0AA6D4E0" w14:textId="7CB46986" w:rsidR="00445776" w:rsidRPr="00735698" w:rsidRDefault="00445776" w:rsidP="00445776">
      <w:pPr>
        <w:rPr>
          <w:rFonts w:cstheme="minorHAnsi"/>
        </w:rPr>
      </w:pPr>
      <w:r w:rsidRPr="00735698">
        <w:rPr>
          <w:rFonts w:cstheme="minorHAnsi"/>
        </w:rPr>
        <w:t>The Australia Business Number (ABN)</w:t>
      </w:r>
      <w:r w:rsidR="009F0D93">
        <w:rPr>
          <w:rFonts w:cstheme="minorHAnsi"/>
        </w:rPr>
        <w:t>,</w:t>
      </w:r>
      <w:r w:rsidRPr="00735698">
        <w:rPr>
          <w:rFonts w:cstheme="minorHAnsi"/>
        </w:rPr>
        <w:t xml:space="preserve"> the </w:t>
      </w:r>
      <w:r w:rsidR="000F246C">
        <w:rPr>
          <w:rFonts w:cstheme="minorHAnsi"/>
        </w:rPr>
        <w:t>End User</w:t>
      </w:r>
      <w:r>
        <w:rPr>
          <w:rFonts w:cstheme="minorHAnsi"/>
        </w:rPr>
        <w:t>’s</w:t>
      </w:r>
      <w:r w:rsidRPr="00735698">
        <w:rPr>
          <w:rFonts w:cstheme="minorHAnsi"/>
        </w:rPr>
        <w:t xml:space="preserve"> name</w:t>
      </w:r>
      <w:r w:rsidR="009F0D93">
        <w:rPr>
          <w:rFonts w:cstheme="minorHAnsi"/>
        </w:rPr>
        <w:t>,</w:t>
      </w:r>
      <w:r w:rsidRPr="00735698">
        <w:rPr>
          <w:rFonts w:cstheme="minorHAnsi"/>
        </w:rPr>
        <w:t xml:space="preserve"> and other associated registration details are available on the Australian Business Register (ABR). </w:t>
      </w:r>
    </w:p>
    <w:p w14:paraId="3D415404" w14:textId="77777777" w:rsidR="00445776" w:rsidRPr="00735698" w:rsidRDefault="00445776" w:rsidP="00445776">
      <w:pPr>
        <w:rPr>
          <w:rFonts w:cstheme="minorHAnsi"/>
        </w:rPr>
      </w:pPr>
      <w:r w:rsidRPr="00735698">
        <w:rPr>
          <w:rFonts w:cstheme="minorHAnsi"/>
        </w:rPr>
        <w:t>There are options to check and validate details against information on the ABR, including Web Services and Lookup tools to support integration into system solutions:</w:t>
      </w:r>
    </w:p>
    <w:p w14:paraId="0E40F19A" w14:textId="77777777" w:rsidR="00445776" w:rsidRPr="00735698" w:rsidRDefault="009A0D34" w:rsidP="0091099F">
      <w:pPr>
        <w:pStyle w:val="Bulletedlist1"/>
        <w:rPr>
          <w:rFonts w:cstheme="minorHAnsi"/>
        </w:rPr>
      </w:pPr>
      <w:hyperlink r:id="rId15" w:history="1">
        <w:r w:rsidR="00445776" w:rsidRPr="00735698">
          <w:rPr>
            <w:rStyle w:val="Hyperlink"/>
            <w:rFonts w:cstheme="minorHAnsi"/>
          </w:rPr>
          <w:t>ABN Lookup Web Services</w:t>
        </w:r>
      </w:hyperlink>
    </w:p>
    <w:p w14:paraId="6C8153BF" w14:textId="77777777" w:rsidR="00445776" w:rsidRPr="00735698" w:rsidRDefault="009A0D34" w:rsidP="0091099F">
      <w:pPr>
        <w:pStyle w:val="Bulletedlist1"/>
        <w:rPr>
          <w:rFonts w:cstheme="minorHAnsi"/>
        </w:rPr>
      </w:pPr>
      <w:hyperlink r:id="rId16" w:history="1">
        <w:r w:rsidR="00445776" w:rsidRPr="00735698">
          <w:rPr>
            <w:rStyle w:val="Hyperlink"/>
            <w:rFonts w:cstheme="minorHAnsi"/>
          </w:rPr>
          <w:t>ABN Lookup tools</w:t>
        </w:r>
      </w:hyperlink>
      <w:r w:rsidR="00445776" w:rsidRPr="00735698">
        <w:rPr>
          <w:rFonts w:cstheme="minorHAnsi"/>
        </w:rPr>
        <w:t xml:space="preserve"> </w:t>
      </w:r>
    </w:p>
    <w:p w14:paraId="3876A612" w14:textId="77777777" w:rsidR="00445776" w:rsidRPr="00735698" w:rsidRDefault="009A0D34" w:rsidP="0091099F">
      <w:pPr>
        <w:pStyle w:val="Bulletedlist1"/>
        <w:rPr>
          <w:rFonts w:cstheme="minorHAnsi"/>
        </w:rPr>
      </w:pPr>
      <w:hyperlink r:id="rId17" w:history="1">
        <w:r w:rsidR="00445776" w:rsidRPr="00735698">
          <w:rPr>
            <w:rStyle w:val="Hyperlink"/>
            <w:rFonts w:cstheme="minorHAnsi"/>
          </w:rPr>
          <w:t>ABR website search</w:t>
        </w:r>
      </w:hyperlink>
    </w:p>
    <w:p w14:paraId="06004FC2" w14:textId="6FF4A3B7" w:rsidR="00445776" w:rsidRPr="00592D5C" w:rsidRDefault="009A0D34" w:rsidP="0091099F">
      <w:pPr>
        <w:pStyle w:val="Bulletedlist1"/>
        <w:rPr>
          <w:rFonts w:cstheme="minorHAnsi"/>
        </w:rPr>
      </w:pPr>
      <w:hyperlink r:id="rId18" w:history="1">
        <w:r w:rsidR="00445776" w:rsidRPr="00735698">
          <w:rPr>
            <w:rStyle w:val="Hyperlink"/>
            <w:rFonts w:cstheme="minorHAnsi"/>
          </w:rPr>
          <w:t>ATO app</w:t>
        </w:r>
      </w:hyperlink>
    </w:p>
    <w:p w14:paraId="55008670" w14:textId="77777777" w:rsidR="00445776" w:rsidRPr="00293608" w:rsidRDefault="00445776" w:rsidP="00293608">
      <w:pPr>
        <w:pStyle w:val="Heading4"/>
      </w:pPr>
      <w:r w:rsidRPr="00293608">
        <w:t xml:space="preserve">New Zealand Business Number Register (NZBNR) </w:t>
      </w:r>
    </w:p>
    <w:p w14:paraId="10326309" w14:textId="30412AAC" w:rsidR="00445776" w:rsidRDefault="00445776" w:rsidP="00293608">
      <w:r>
        <w:t xml:space="preserve">The New Zealand Business Number (NZBN), the </w:t>
      </w:r>
      <w:r w:rsidR="000F246C">
        <w:t>End User</w:t>
      </w:r>
      <w:r>
        <w:t>’s name</w:t>
      </w:r>
      <w:r w:rsidR="009F0D93">
        <w:t>,</w:t>
      </w:r>
      <w:r>
        <w:t xml:space="preserve"> and other primary business data is available on the NZBN register.</w:t>
      </w:r>
    </w:p>
    <w:p w14:paraId="780E1CC5" w14:textId="5D63A959" w:rsidR="00445776" w:rsidRPr="005A6269" w:rsidRDefault="00445776" w:rsidP="00445776">
      <w:pPr>
        <w:rPr>
          <w:rFonts w:cstheme="minorHAnsi"/>
        </w:rPr>
      </w:pPr>
      <w:r w:rsidRPr="005A6269">
        <w:rPr>
          <w:rFonts w:cstheme="minorHAnsi"/>
        </w:rPr>
        <w:t>The tools available to check and validate details against the information on the NZB</w:t>
      </w:r>
      <w:r w:rsidR="005D4361">
        <w:rPr>
          <w:rFonts w:cstheme="minorHAnsi"/>
        </w:rPr>
        <w:t xml:space="preserve">NR </w:t>
      </w:r>
      <w:r w:rsidRPr="005A6269">
        <w:rPr>
          <w:rFonts w:cstheme="minorHAnsi"/>
        </w:rPr>
        <w:t>include:</w:t>
      </w:r>
    </w:p>
    <w:p w14:paraId="50729CDD" w14:textId="77777777" w:rsidR="00445776" w:rsidRPr="00221F94" w:rsidRDefault="009A0D34" w:rsidP="0091099F">
      <w:pPr>
        <w:pStyle w:val="Bulletedlist1"/>
        <w:rPr>
          <w:rFonts w:ascii="Arial" w:hAnsi="Arial" w:cs="Arial"/>
        </w:rPr>
      </w:pPr>
      <w:hyperlink r:id="rId19" w:history="1">
        <w:r w:rsidR="00445776" w:rsidRPr="00221F94">
          <w:rPr>
            <w:rStyle w:val="Hyperlink"/>
            <w:rFonts w:ascii="Arial" w:hAnsi="Arial" w:cs="Arial"/>
          </w:rPr>
          <w:t>NZBN Business Search</w:t>
        </w:r>
      </w:hyperlink>
    </w:p>
    <w:p w14:paraId="57F8A852" w14:textId="77777777" w:rsidR="00445776" w:rsidRPr="00221F94" w:rsidRDefault="009A0D34" w:rsidP="0091099F">
      <w:pPr>
        <w:pStyle w:val="Bulletedlist1"/>
        <w:rPr>
          <w:rFonts w:ascii="Arial" w:hAnsi="Arial" w:cs="Arial"/>
        </w:rPr>
      </w:pPr>
      <w:hyperlink r:id="rId20" w:history="1">
        <w:r w:rsidR="00445776" w:rsidRPr="00221F94">
          <w:rPr>
            <w:rStyle w:val="Hyperlink"/>
            <w:rFonts w:ascii="Arial" w:hAnsi="Arial" w:cs="Arial"/>
          </w:rPr>
          <w:t xml:space="preserve">NZBN Business-Match </w:t>
        </w:r>
      </w:hyperlink>
      <w:r w:rsidR="00445776" w:rsidRPr="00221F94">
        <w:rPr>
          <w:rFonts w:ascii="Arial" w:hAnsi="Arial" w:cs="Arial"/>
        </w:rPr>
        <w:t>(for validating existing customer lists)</w:t>
      </w:r>
    </w:p>
    <w:p w14:paraId="795E2A0D" w14:textId="77777777" w:rsidR="00445776" w:rsidRPr="00221F94" w:rsidRDefault="009A0D34" w:rsidP="0091099F">
      <w:pPr>
        <w:pStyle w:val="Bulletedlist1"/>
        <w:rPr>
          <w:rFonts w:ascii="Arial" w:hAnsi="Arial" w:cs="Arial"/>
        </w:rPr>
      </w:pPr>
      <w:hyperlink r:id="rId21" w:history="1">
        <w:r w:rsidR="00445776" w:rsidRPr="00221F94">
          <w:rPr>
            <w:rStyle w:val="Hyperlink"/>
            <w:rFonts w:ascii="Arial" w:hAnsi="Arial" w:cs="Arial"/>
          </w:rPr>
          <w:t>NZBN API</w:t>
        </w:r>
      </w:hyperlink>
    </w:p>
    <w:p w14:paraId="0BEE638E" w14:textId="6E828AFC" w:rsidR="00445776" w:rsidRDefault="009A0D34" w:rsidP="0091099F">
      <w:pPr>
        <w:pStyle w:val="Bulletedlist1"/>
        <w:rPr>
          <w:rFonts w:ascii="Arial" w:hAnsi="Arial" w:cs="Arial"/>
        </w:rPr>
      </w:pPr>
      <w:hyperlink r:id="rId22" w:history="1">
        <w:r w:rsidR="00445776" w:rsidRPr="00221F94">
          <w:rPr>
            <w:rStyle w:val="Hyperlink"/>
            <w:rFonts w:ascii="Arial" w:hAnsi="Arial" w:cs="Arial"/>
          </w:rPr>
          <w:t>Further information on NZBN services</w:t>
        </w:r>
      </w:hyperlink>
      <w:r w:rsidR="00445776" w:rsidRPr="00221F94">
        <w:rPr>
          <w:rFonts w:ascii="Arial" w:hAnsi="Arial" w:cs="Arial"/>
        </w:rPr>
        <w:t xml:space="preserve"> – including NZBN Watchlists and Alerts for when business details change. </w:t>
      </w:r>
    </w:p>
    <w:p w14:paraId="5255850D" w14:textId="5B6E814C" w:rsidR="002A024B" w:rsidRPr="00293608" w:rsidRDefault="002A024B" w:rsidP="002A024B">
      <w:pPr>
        <w:pStyle w:val="Heading4"/>
      </w:pPr>
      <w:r>
        <w:t>Global Locat</w:t>
      </w:r>
      <w:r w:rsidR="009F0D93">
        <w:t>ion</w:t>
      </w:r>
      <w:r>
        <w:t xml:space="preserve"> Number</w:t>
      </w:r>
      <w:r w:rsidR="009F0D93">
        <w:t>s</w:t>
      </w:r>
      <w:r>
        <w:t xml:space="preserve"> (GLN</w:t>
      </w:r>
      <w:r w:rsidR="009F0D93">
        <w:t>s</w:t>
      </w:r>
      <w:r>
        <w:t>)</w:t>
      </w:r>
    </w:p>
    <w:p w14:paraId="6AB6AAFE" w14:textId="77777777" w:rsidR="00F95886" w:rsidRDefault="00767874" w:rsidP="00767874">
      <w:bookmarkStart w:id="1" w:name="_Hlk98507012"/>
      <w:r>
        <w:t>The Global Location Number (GLN) is used to identify locations and legal entities. This unique identifier is comprised of a GS1 Company Prefix, Location Reference, and Check Digit</w:t>
      </w:r>
      <w:r w:rsidR="00F00155">
        <w:rPr>
          <w:rStyle w:val="FootnoteReference"/>
        </w:rPr>
        <w:footnoteReference w:id="2"/>
      </w:r>
      <w:r>
        <w:t>.</w:t>
      </w:r>
    </w:p>
    <w:p w14:paraId="38A1E53F" w14:textId="4B074678" w:rsidR="009F0D93" w:rsidRPr="00F95886" w:rsidRDefault="009F0D93" w:rsidP="00767874">
      <w:r w:rsidRPr="00F95886">
        <w:t xml:space="preserve">GLN </w:t>
      </w:r>
      <w:r w:rsidR="000B473B" w:rsidRPr="00F95886">
        <w:t>lookup is available on</w:t>
      </w:r>
      <w:r w:rsidRPr="00F95886">
        <w:t xml:space="preserve"> the GS1 website:</w:t>
      </w:r>
    </w:p>
    <w:bookmarkEnd w:id="1"/>
    <w:p w14:paraId="2C7B33A0" w14:textId="77777777" w:rsidR="00F81BD5" w:rsidRPr="00F81BD5" w:rsidRDefault="00BC0211" w:rsidP="00F81BD5">
      <w:pPr>
        <w:pStyle w:val="Bulletedlist1"/>
        <w:rPr>
          <w:rStyle w:val="Hyperlink"/>
          <w:rFonts w:ascii="Arial" w:hAnsi="Arial" w:cs="Arial"/>
        </w:rPr>
      </w:pPr>
      <w:r w:rsidRPr="00F81BD5">
        <w:fldChar w:fldCharType="begin"/>
      </w:r>
      <w:r>
        <w:instrText xml:space="preserve"> HYPERLINK "https://gepir.gs1.org/index.php/search-by-gln" </w:instrText>
      </w:r>
      <w:r w:rsidRPr="00F81BD5">
        <w:fldChar w:fldCharType="separate"/>
      </w:r>
      <w:r w:rsidR="009F0D93" w:rsidRPr="00F81BD5">
        <w:rPr>
          <w:rStyle w:val="Hyperlink"/>
          <w:rFonts w:ascii="Arial" w:hAnsi="Arial" w:cs="Arial"/>
        </w:rPr>
        <w:t>Search for GLN</w:t>
      </w:r>
      <w:r w:rsidRPr="00F81BD5">
        <w:rPr>
          <w:rStyle w:val="Hyperlink"/>
          <w:rFonts w:ascii="Arial" w:hAnsi="Arial" w:cs="Arial"/>
        </w:rPr>
        <w:fldChar w:fldCharType="end"/>
      </w:r>
      <w:r w:rsidR="00ED13D7" w:rsidRPr="00F81BD5">
        <w:rPr>
          <w:rStyle w:val="Hyperlink"/>
          <w:rFonts w:ascii="Arial" w:hAnsi="Arial" w:cs="Arial"/>
        </w:rPr>
        <w:t xml:space="preserve"> </w:t>
      </w:r>
      <w:r w:rsidR="00F81BD5" w:rsidRPr="00F81BD5">
        <w:rPr>
          <w:rStyle w:val="Hyperlink"/>
          <w:rFonts w:ascii="Arial" w:hAnsi="Arial" w:cs="Arial"/>
          <w:color w:val="auto"/>
          <w:u w:val="none"/>
        </w:rPr>
        <w:t xml:space="preserve"> – ensure search returns “query successful”</w:t>
      </w:r>
    </w:p>
    <w:p w14:paraId="1709FBA9" w14:textId="0D783FD8" w:rsidR="009F0D93" w:rsidRPr="009F0D93" w:rsidRDefault="009F0D93" w:rsidP="00F81BD5">
      <w:pPr>
        <w:pStyle w:val="Bulletedlist1"/>
        <w:numPr>
          <w:ilvl w:val="0"/>
          <w:numId w:val="0"/>
        </w:numPr>
        <w:rPr>
          <w:rStyle w:val="Hyperlink"/>
          <w:rFonts w:ascii="Arial" w:hAnsi="Arial" w:cs="Arial"/>
        </w:rPr>
      </w:pPr>
    </w:p>
    <w:p w14:paraId="150096C5" w14:textId="7CD1385F" w:rsidR="00BE7F0F" w:rsidRPr="00F42540" w:rsidRDefault="00BE7F0F" w:rsidP="00F42540">
      <w:pPr>
        <w:pStyle w:val="Heading3"/>
      </w:pPr>
      <w:r w:rsidRPr="00473889">
        <w:lastRenderedPageBreak/>
        <w:t>Guidance</w:t>
      </w:r>
    </w:p>
    <w:p w14:paraId="2C28B8B9" w14:textId="314366B4" w:rsidR="00580489" w:rsidRPr="00580489" w:rsidRDefault="004C2769" w:rsidP="00580489">
      <w:pPr>
        <w:pStyle w:val="Heading4"/>
      </w:pPr>
      <w:r w:rsidRPr="007E7CB4">
        <w:t>Requirements</w:t>
      </w:r>
      <w:r w:rsidR="00716840" w:rsidRPr="007E7CB4">
        <w:t xml:space="preserve"> for </w:t>
      </w:r>
      <w:r w:rsidR="00A410F9">
        <w:t>Service Providers</w:t>
      </w:r>
    </w:p>
    <w:p w14:paraId="1CBE9DBA" w14:textId="5B4A8222" w:rsidR="000A6430" w:rsidRDefault="000A6430" w:rsidP="00894D21"/>
    <w:p w14:paraId="57B5AC74" w14:textId="4F0EDF07" w:rsidR="001D6136" w:rsidRDefault="0064799F" w:rsidP="0072490F">
      <w:pPr>
        <w:pStyle w:val="ListParagraph"/>
        <w:numPr>
          <w:ilvl w:val="0"/>
          <w:numId w:val="5"/>
        </w:numPr>
        <w:tabs>
          <w:tab w:val="left" w:pos="8364"/>
        </w:tabs>
        <w:spacing w:before="0" w:after="120" w:line="240" w:lineRule="auto"/>
      </w:pPr>
      <w:r>
        <w:t xml:space="preserve">Documented </w:t>
      </w:r>
      <w:r w:rsidR="000F246C">
        <w:t>End User</w:t>
      </w:r>
      <w:r>
        <w:t xml:space="preserve"> identification p</w:t>
      </w:r>
      <w:r w:rsidR="002D7BBC">
        <w:t>rocess</w:t>
      </w:r>
      <w:r w:rsidR="00D927B7">
        <w:t xml:space="preserve"> </w:t>
      </w:r>
      <w:r w:rsidR="006046E4">
        <w:t>(</w:t>
      </w:r>
      <w:r w:rsidR="006046E4" w:rsidRPr="00EA6BEF">
        <w:rPr>
          <w:b/>
          <w:bCs/>
        </w:rPr>
        <w:t>Mandatory</w:t>
      </w:r>
      <w:r w:rsidR="006046E4">
        <w:t>)</w:t>
      </w:r>
    </w:p>
    <w:p w14:paraId="46D1845A" w14:textId="088EE185" w:rsidR="001D6136" w:rsidRDefault="00EA6BEF" w:rsidP="00B839CA">
      <w:pPr>
        <w:ind w:left="360"/>
      </w:pPr>
      <w:r>
        <w:t>Service</w:t>
      </w:r>
      <w:r w:rsidR="006046E4" w:rsidRPr="006F6404">
        <w:t xml:space="preserve"> </w:t>
      </w:r>
      <w:r w:rsidR="00AF6A83">
        <w:t>P</w:t>
      </w:r>
      <w:r w:rsidR="008914DB" w:rsidRPr="006F6404">
        <w:t>roviders</w:t>
      </w:r>
      <w:r w:rsidR="00AF6A83">
        <w:t xml:space="preserve"> (SPs)</w:t>
      </w:r>
      <w:r w:rsidR="008914DB" w:rsidRPr="006F6404">
        <w:t xml:space="preserve"> </w:t>
      </w:r>
      <w:r>
        <w:rPr>
          <w:rFonts w:eastAsia="Times New Roman"/>
        </w:rPr>
        <w:t>must</w:t>
      </w:r>
      <w:r w:rsidR="008914DB" w:rsidRPr="006F6404">
        <w:rPr>
          <w:rFonts w:eastAsia="Times New Roman"/>
          <w:iCs/>
        </w:rPr>
        <w:t xml:space="preserve"> </w:t>
      </w:r>
      <w:r>
        <w:rPr>
          <w:rFonts w:eastAsia="Times New Roman"/>
          <w:iCs/>
        </w:rPr>
        <w:t xml:space="preserve">have </w:t>
      </w:r>
      <w:r w:rsidR="004D717D">
        <w:t xml:space="preserve">a </w:t>
      </w:r>
      <w:r w:rsidR="006F6404">
        <w:t xml:space="preserve">documented </w:t>
      </w:r>
      <w:r w:rsidR="0064799F">
        <w:t xml:space="preserve">process for identifying and verifying </w:t>
      </w:r>
      <w:r w:rsidR="000F246C">
        <w:t>End User</w:t>
      </w:r>
      <w:r w:rsidR="0064799F">
        <w:t xml:space="preserve"> information </w:t>
      </w:r>
      <w:r w:rsidR="004D717D">
        <w:t>which includes</w:t>
      </w:r>
      <w:r w:rsidR="003B606C">
        <w:t>:</w:t>
      </w:r>
    </w:p>
    <w:p w14:paraId="6ECF443D" w14:textId="39F77618" w:rsidR="006046E4" w:rsidRDefault="006046E4" w:rsidP="00B839CA">
      <w:pPr>
        <w:pStyle w:val="Bulletedlist1"/>
        <w:ind w:left="644"/>
      </w:pPr>
      <w:r>
        <w:t>How information is collected and verified</w:t>
      </w:r>
      <w:r w:rsidR="004C2AAF">
        <w:t>,</w:t>
      </w:r>
    </w:p>
    <w:p w14:paraId="2079C64F" w14:textId="26A69D55" w:rsidR="006D059C" w:rsidRDefault="006046E4" w:rsidP="00B839CA">
      <w:pPr>
        <w:pStyle w:val="Bulletedlist1"/>
        <w:ind w:left="644"/>
      </w:pPr>
      <w:r>
        <w:t xml:space="preserve">How </w:t>
      </w:r>
      <w:r w:rsidR="001B4E3D">
        <w:t xml:space="preserve">any data </w:t>
      </w:r>
      <w:r>
        <w:t>discrepancies will be handled</w:t>
      </w:r>
      <w:r w:rsidR="004C2AAF">
        <w:t xml:space="preserve">, </w:t>
      </w:r>
    </w:p>
    <w:p w14:paraId="0705053B" w14:textId="77A24BB7" w:rsidR="006806A7" w:rsidRDefault="00CB6E0C" w:rsidP="00B839CA">
      <w:pPr>
        <w:pStyle w:val="Bulletedlist1"/>
        <w:ind w:left="644"/>
      </w:pPr>
      <w:r>
        <w:t>How</w:t>
      </w:r>
      <w:r w:rsidR="008B6EC5">
        <w:t xml:space="preserve"> </w:t>
      </w:r>
      <w:r w:rsidR="001B4E3D">
        <w:t xml:space="preserve">requests for </w:t>
      </w:r>
      <w:r w:rsidR="008B6EC5">
        <w:t>changes to key information</w:t>
      </w:r>
      <w:r>
        <w:t xml:space="preserve"> will be managed</w:t>
      </w:r>
      <w:r w:rsidR="008C0052">
        <w:t>, and</w:t>
      </w:r>
      <w:r w:rsidR="008B6EC5">
        <w:t xml:space="preserve"> </w:t>
      </w:r>
    </w:p>
    <w:p w14:paraId="115370C6" w14:textId="5F93B64C" w:rsidR="00240ED6" w:rsidRDefault="00CD3CBD" w:rsidP="00B839CA">
      <w:pPr>
        <w:pStyle w:val="Bulletedlist2"/>
        <w:ind w:left="899"/>
      </w:pPr>
      <w:proofErr w:type="gramStart"/>
      <w:r>
        <w:t>e.g.</w:t>
      </w:r>
      <w:proofErr w:type="gramEnd"/>
      <w:r w:rsidR="008B6EC5">
        <w:t xml:space="preserve"> </w:t>
      </w:r>
      <w:r w:rsidR="003A645C">
        <w:t>reverifying</w:t>
      </w:r>
      <w:r w:rsidR="008B6EC5">
        <w:t xml:space="preserve"> the </w:t>
      </w:r>
      <w:r w:rsidR="000F246C">
        <w:t>End User</w:t>
      </w:r>
      <w:r w:rsidR="008B6EC5">
        <w:t xml:space="preserve"> where </w:t>
      </w:r>
      <w:r w:rsidR="00A12BC4">
        <w:t>the email address</w:t>
      </w:r>
      <w:r w:rsidR="008B6EC5">
        <w:t xml:space="preserve"> change</w:t>
      </w:r>
      <w:r w:rsidR="00A12BC4">
        <w:t>s</w:t>
      </w:r>
      <w:r w:rsidR="008B6EC5">
        <w:t>.</w:t>
      </w:r>
    </w:p>
    <w:p w14:paraId="26C756CF" w14:textId="283F98BA" w:rsidR="006806A7" w:rsidRDefault="009C11F8" w:rsidP="00B839CA">
      <w:pPr>
        <w:pStyle w:val="Bulletedlist1"/>
        <w:ind w:left="644"/>
      </w:pPr>
      <w:r>
        <w:t>How suspicious activity will be managed</w:t>
      </w:r>
      <w:r w:rsidR="008C0052">
        <w:t>.</w:t>
      </w:r>
      <w:r>
        <w:t xml:space="preserve"> </w:t>
      </w:r>
    </w:p>
    <w:p w14:paraId="2EC412FF" w14:textId="03D36900" w:rsidR="009C11F8" w:rsidRDefault="00CD3CBD" w:rsidP="00B839CA">
      <w:pPr>
        <w:pStyle w:val="Bulletedlist2"/>
        <w:ind w:left="899"/>
      </w:pPr>
      <w:proofErr w:type="gramStart"/>
      <w:r>
        <w:t>e.g.</w:t>
      </w:r>
      <w:proofErr w:type="gramEnd"/>
      <w:r w:rsidR="009C11F8">
        <w:t xml:space="preserve"> verify the details where there is more than one user with the same identifier, or where the identifier has been </w:t>
      </w:r>
      <w:r w:rsidR="00276038">
        <w:t>changed</w:t>
      </w:r>
      <w:r w:rsidR="009C11F8">
        <w:t xml:space="preserve"> in the system.</w:t>
      </w:r>
    </w:p>
    <w:p w14:paraId="7F09BFF1" w14:textId="77777777" w:rsidR="00A27BBC" w:rsidRDefault="00A27BBC" w:rsidP="006F7B07"/>
    <w:p w14:paraId="341577EA" w14:textId="40C57539" w:rsidR="00A27BBC" w:rsidRDefault="000F246C" w:rsidP="0072490F">
      <w:pPr>
        <w:pStyle w:val="ListParagraph"/>
        <w:numPr>
          <w:ilvl w:val="0"/>
          <w:numId w:val="5"/>
        </w:numPr>
        <w:tabs>
          <w:tab w:val="left" w:pos="8364"/>
        </w:tabs>
        <w:spacing w:before="0" w:after="120" w:line="240" w:lineRule="auto"/>
      </w:pPr>
      <w:r>
        <w:t>End User</w:t>
      </w:r>
      <w:r w:rsidR="0064799F">
        <w:t xml:space="preserve"> a</w:t>
      </w:r>
      <w:r w:rsidR="00A27BBC">
        <w:t>uthoris</w:t>
      </w:r>
      <w:r w:rsidR="0064799F">
        <w:t xml:space="preserve">ation </w:t>
      </w:r>
      <w:r w:rsidR="00A27BBC">
        <w:t>(</w:t>
      </w:r>
      <w:r w:rsidR="00A27BBC" w:rsidRPr="00EA6BEF">
        <w:rPr>
          <w:b/>
          <w:bCs/>
        </w:rPr>
        <w:t>Mandatory</w:t>
      </w:r>
      <w:r w:rsidR="00A27BBC">
        <w:t>)</w:t>
      </w:r>
    </w:p>
    <w:p w14:paraId="6B006B4E" w14:textId="722EEFF5" w:rsidR="00240158" w:rsidRPr="00F07EAE" w:rsidRDefault="00AF6A83" w:rsidP="00F07EAE">
      <w:pPr>
        <w:ind w:left="360"/>
        <w:rPr>
          <w:rFonts w:eastAsia="Times New Roman"/>
          <w:iCs/>
        </w:rPr>
      </w:pPr>
      <w:bookmarkStart w:id="2" w:name="_Hlk97633794"/>
      <w:r>
        <w:t>SPs</w:t>
      </w:r>
      <w:r w:rsidR="00A27BBC" w:rsidRPr="006F6404">
        <w:t xml:space="preserve"> </w:t>
      </w:r>
      <w:r w:rsidR="00A27BBC" w:rsidRPr="00F07EAE">
        <w:rPr>
          <w:rFonts w:eastAsia="Times New Roman"/>
        </w:rPr>
        <w:t>must</w:t>
      </w:r>
      <w:r w:rsidR="00264CC4" w:rsidRPr="00F07EAE">
        <w:rPr>
          <w:rFonts w:eastAsia="Times New Roman"/>
        </w:rPr>
        <w:t xml:space="preserve"> </w:t>
      </w:r>
      <w:r w:rsidR="004A69D1" w:rsidRPr="00F07EAE">
        <w:rPr>
          <w:rFonts w:eastAsia="Times New Roman"/>
        </w:rPr>
        <w:t xml:space="preserve">ensure </w:t>
      </w:r>
      <w:r w:rsidR="005A34AF" w:rsidRPr="00F07EAE">
        <w:rPr>
          <w:rFonts w:eastAsia="Times New Roman"/>
        </w:rPr>
        <w:t xml:space="preserve">they are authorised to </w:t>
      </w:r>
      <w:r w:rsidR="00943F73" w:rsidRPr="00F07EAE">
        <w:rPr>
          <w:rFonts w:eastAsia="Times New Roman"/>
          <w:iCs/>
        </w:rPr>
        <w:t>grant access to the Peppol Network</w:t>
      </w:r>
      <w:r w:rsidR="005A34AF" w:rsidRPr="00F07EAE">
        <w:rPr>
          <w:rFonts w:eastAsia="Times New Roman"/>
          <w:iCs/>
        </w:rPr>
        <w:t xml:space="preserve"> to the </w:t>
      </w:r>
      <w:r w:rsidR="000F246C">
        <w:rPr>
          <w:rFonts w:eastAsia="Times New Roman"/>
          <w:iCs/>
        </w:rPr>
        <w:t>End User</w:t>
      </w:r>
      <w:r w:rsidR="00943F73" w:rsidRPr="00F07EAE">
        <w:rPr>
          <w:rFonts w:eastAsia="Times New Roman"/>
          <w:iCs/>
        </w:rPr>
        <w:t>.</w:t>
      </w:r>
    </w:p>
    <w:bookmarkEnd w:id="2"/>
    <w:p w14:paraId="68E23CB1" w14:textId="77777777" w:rsidR="005A34AF" w:rsidRDefault="005A34AF" w:rsidP="006F7B07"/>
    <w:p w14:paraId="3B3662D0" w14:textId="5E22C0D8" w:rsidR="000859D5" w:rsidRDefault="000859D5" w:rsidP="0072490F">
      <w:pPr>
        <w:pStyle w:val="ListParagraph"/>
        <w:numPr>
          <w:ilvl w:val="0"/>
          <w:numId w:val="5"/>
        </w:numPr>
        <w:spacing w:before="0" w:after="120" w:line="240" w:lineRule="auto"/>
      </w:pPr>
      <w:r>
        <w:t xml:space="preserve">Collect and verify </w:t>
      </w:r>
      <w:r w:rsidR="000F246C">
        <w:t>End User</w:t>
      </w:r>
      <w:r>
        <w:t xml:space="preserve"> </w:t>
      </w:r>
      <w:r w:rsidR="00B8660E">
        <w:t>i</w:t>
      </w:r>
      <w:r>
        <w:t>nformation</w:t>
      </w:r>
    </w:p>
    <w:p w14:paraId="048404AC" w14:textId="77208A24" w:rsidR="002E07C2" w:rsidRPr="002E07C2" w:rsidRDefault="009A0D34" w:rsidP="00C878D0">
      <w:pPr>
        <w:spacing w:before="0" w:after="120" w:line="240" w:lineRule="auto"/>
        <w:ind w:left="360"/>
        <w:rPr>
          <w:i/>
          <w:iCs/>
        </w:rPr>
      </w:pPr>
      <w:hyperlink r:id="rId23" w:anchor="B2.-Internal-Regulations-on-the-Use-of-the-Peppol-Network" w:history="1">
        <w:r w:rsidR="002E07C2" w:rsidRPr="002E07C2">
          <w:rPr>
            <w:rStyle w:val="Hyperlink"/>
            <w:i/>
            <w:iCs/>
          </w:rPr>
          <w:t>3.3.1 of Internal Regulations</w:t>
        </w:r>
      </w:hyperlink>
    </w:p>
    <w:p w14:paraId="04743309" w14:textId="65592875" w:rsidR="00C878D0" w:rsidRDefault="00C878D0" w:rsidP="00C878D0">
      <w:pPr>
        <w:spacing w:before="0" w:after="120" w:line="240" w:lineRule="auto"/>
        <w:ind w:left="360"/>
      </w:pPr>
      <w:r>
        <w:t>Before provid</w:t>
      </w:r>
      <w:r w:rsidR="00356C32">
        <w:t>ing</w:t>
      </w:r>
      <w:r>
        <w:t xml:space="preserve"> access to the Peppol Network, SPs must collect and verify </w:t>
      </w:r>
      <w:r w:rsidR="000F246C">
        <w:t>End User</w:t>
      </w:r>
      <w:r>
        <w:t xml:space="preserve"> </w:t>
      </w:r>
      <w:r w:rsidR="00FB2D0A">
        <w:t>i</w:t>
      </w:r>
      <w:r>
        <w:t>nformation as follows:</w:t>
      </w:r>
    </w:p>
    <w:p w14:paraId="1FD21BDB" w14:textId="77777777" w:rsidR="000859D5" w:rsidRDefault="000859D5" w:rsidP="000859D5">
      <w:pPr>
        <w:pStyle w:val="ListParagraph"/>
        <w:spacing w:before="0" w:after="120" w:line="240" w:lineRule="auto"/>
        <w:ind w:left="1440"/>
      </w:pPr>
    </w:p>
    <w:p w14:paraId="7B98FC3A" w14:textId="528E8F4A" w:rsidR="007B333E" w:rsidRDefault="0029416D" w:rsidP="000859D5">
      <w:pPr>
        <w:pStyle w:val="ListParagraph"/>
        <w:numPr>
          <w:ilvl w:val="0"/>
          <w:numId w:val="19"/>
        </w:numPr>
        <w:spacing w:before="0" w:after="120" w:line="240" w:lineRule="auto"/>
        <w:ind w:left="709" w:hanging="142"/>
      </w:pPr>
      <w:r>
        <w:t xml:space="preserve">Legal Identifier </w:t>
      </w:r>
      <w:r w:rsidR="00A224D3">
        <w:t>(</w:t>
      </w:r>
      <w:r w:rsidR="00A224D3" w:rsidRPr="000859D5">
        <w:rPr>
          <w:b/>
        </w:rPr>
        <w:t>Mandatory</w:t>
      </w:r>
      <w:r w:rsidR="00A224D3">
        <w:t>)</w:t>
      </w:r>
    </w:p>
    <w:p w14:paraId="7B27453E" w14:textId="77777777" w:rsidR="00C97C4C" w:rsidRDefault="00C97C4C" w:rsidP="002D0299">
      <w:pPr>
        <w:pStyle w:val="ListParagraph"/>
        <w:spacing w:before="360" w:line="240" w:lineRule="auto"/>
        <w:ind w:left="357"/>
      </w:pPr>
    </w:p>
    <w:tbl>
      <w:tblPr>
        <w:tblStyle w:val="ListTable2"/>
        <w:tblW w:w="8363" w:type="dxa"/>
        <w:tblInd w:w="709" w:type="dxa"/>
        <w:tblLook w:val="0600" w:firstRow="0" w:lastRow="0" w:firstColumn="0" w:lastColumn="0" w:noHBand="1" w:noVBand="1"/>
      </w:tblPr>
      <w:tblGrid>
        <w:gridCol w:w="1418"/>
        <w:gridCol w:w="6945"/>
      </w:tblGrid>
      <w:tr w:rsidR="00157B49" w14:paraId="010F2D5F" w14:textId="77777777" w:rsidTr="000859D5">
        <w:tc>
          <w:tcPr>
            <w:tcW w:w="1418" w:type="dxa"/>
          </w:tcPr>
          <w:p w14:paraId="51048B85" w14:textId="2F51AA51" w:rsidR="00157B49" w:rsidRPr="00157B49" w:rsidRDefault="00157B49" w:rsidP="00973381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Identifier</w:t>
            </w:r>
          </w:p>
        </w:tc>
        <w:tc>
          <w:tcPr>
            <w:tcW w:w="6945" w:type="dxa"/>
          </w:tcPr>
          <w:p w14:paraId="36694F2C" w14:textId="652D2A90" w:rsidR="00157B49" w:rsidRPr="00157B49" w:rsidRDefault="00157B49" w:rsidP="00973381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Requirement</w:t>
            </w:r>
          </w:p>
        </w:tc>
      </w:tr>
      <w:tr w:rsidR="00B267D3" w14:paraId="7925C18B" w14:textId="77777777" w:rsidTr="000859D5">
        <w:tc>
          <w:tcPr>
            <w:tcW w:w="1418" w:type="dxa"/>
          </w:tcPr>
          <w:p w14:paraId="6AF281CF" w14:textId="06F727A5" w:rsidR="00B267D3" w:rsidRDefault="00B267D3" w:rsidP="00973381">
            <w:pPr>
              <w:spacing w:before="120" w:line="240" w:lineRule="auto"/>
            </w:pPr>
            <w:r>
              <w:t>ABN</w:t>
            </w:r>
            <w:r w:rsidR="0089358F">
              <w:t xml:space="preserve"> </w:t>
            </w:r>
            <w:r w:rsidR="008C08DA">
              <w:br/>
            </w:r>
            <w:r w:rsidR="008C08DA" w:rsidRPr="00765D78">
              <w:rPr>
                <w:color w:val="B9B9B9" w:themeColor="background2" w:themeShade="BF"/>
              </w:rPr>
              <w:t>ICD:</w:t>
            </w:r>
            <w:r w:rsidR="0089358F" w:rsidRPr="00765D78">
              <w:rPr>
                <w:color w:val="B9B9B9" w:themeColor="background2" w:themeShade="BF"/>
              </w:rPr>
              <w:t>0151</w:t>
            </w:r>
          </w:p>
          <w:p w14:paraId="7E22265A" w14:textId="77777777" w:rsidR="00B267D3" w:rsidRDefault="00B267D3" w:rsidP="00973381">
            <w:pPr>
              <w:pStyle w:val="ListParagraph"/>
              <w:spacing w:before="120" w:line="240" w:lineRule="auto"/>
              <w:ind w:left="0"/>
            </w:pPr>
          </w:p>
        </w:tc>
        <w:tc>
          <w:tcPr>
            <w:tcW w:w="6945" w:type="dxa"/>
          </w:tcPr>
          <w:p w14:paraId="17807924" w14:textId="28720E4F" w:rsidR="0064799F" w:rsidRDefault="00AF6A83" w:rsidP="00973381">
            <w:pPr>
              <w:spacing w:before="120" w:line="240" w:lineRule="auto"/>
            </w:pPr>
            <w:r>
              <w:t>SPs</w:t>
            </w:r>
            <w:r w:rsidR="00B267D3">
              <w:t xml:space="preserve"> must </w:t>
            </w:r>
            <w:r w:rsidR="00EE4611">
              <w:t xml:space="preserve">ensure that the </w:t>
            </w:r>
            <w:r w:rsidR="000F246C">
              <w:t>End User</w:t>
            </w:r>
            <w:r w:rsidR="00EE4611">
              <w:t>’s</w:t>
            </w:r>
            <w:r w:rsidR="00B267D3">
              <w:t xml:space="preserve"> ABN </w:t>
            </w:r>
            <w:r w:rsidR="001E4622">
              <w:t>is valid</w:t>
            </w:r>
            <w:r w:rsidR="005D4361">
              <w:t>:</w:t>
            </w:r>
          </w:p>
          <w:p w14:paraId="102B79C6" w14:textId="756940ED" w:rsidR="00CE018D" w:rsidRDefault="001E4622" w:rsidP="001D7AAB">
            <w:pPr>
              <w:pStyle w:val="Bulletedlist1"/>
            </w:pPr>
            <w:r>
              <w:t xml:space="preserve">ABN </w:t>
            </w:r>
            <w:r w:rsidR="005D4361">
              <w:t xml:space="preserve">meets the algorithm using the formula provided on the </w:t>
            </w:r>
            <w:hyperlink r:id="rId24" w:history="1">
              <w:r w:rsidR="005D4361" w:rsidRPr="00A707DE">
                <w:rPr>
                  <w:rStyle w:val="Hyperlink"/>
                </w:rPr>
                <w:t>Australian Business Register website</w:t>
              </w:r>
            </w:hyperlink>
            <w:r w:rsidR="00CE018D">
              <w:t>, and</w:t>
            </w:r>
          </w:p>
          <w:p w14:paraId="7F263E02" w14:textId="3E4F0AEE" w:rsidR="005D4361" w:rsidRDefault="001E4622" w:rsidP="001D7AAB">
            <w:pPr>
              <w:pStyle w:val="Bulletedlist1"/>
            </w:pPr>
            <w:r>
              <w:t xml:space="preserve">ABN </w:t>
            </w:r>
            <w:r w:rsidR="00A84980">
              <w:t>has been confirmed as</w:t>
            </w:r>
            <w:r w:rsidR="005D4361">
              <w:t xml:space="preserve"> “active” </w:t>
            </w:r>
            <w:r w:rsidR="00A84980">
              <w:t>on the ABR.</w:t>
            </w:r>
          </w:p>
        </w:tc>
      </w:tr>
      <w:tr w:rsidR="00B267D3" w14:paraId="33FEE4F8" w14:textId="77777777" w:rsidTr="000859D5">
        <w:tc>
          <w:tcPr>
            <w:tcW w:w="1418" w:type="dxa"/>
          </w:tcPr>
          <w:p w14:paraId="387EE436" w14:textId="4A223286" w:rsidR="00B267D3" w:rsidRDefault="00B267D3" w:rsidP="00C878D0">
            <w:pPr>
              <w:spacing w:before="120" w:after="120" w:line="240" w:lineRule="auto"/>
            </w:pPr>
            <w:r>
              <w:t>NZBN</w:t>
            </w:r>
            <w:r w:rsidR="008C08DA">
              <w:br/>
            </w:r>
            <w:r w:rsidR="008C08DA" w:rsidRPr="00765D78">
              <w:rPr>
                <w:color w:val="B9B9B9" w:themeColor="background2" w:themeShade="BF"/>
              </w:rPr>
              <w:t>ICD:0088</w:t>
            </w:r>
            <w:r w:rsidR="008C08DA" w:rsidRPr="00765D78">
              <w:rPr>
                <w:color w:val="B9B9B9" w:themeColor="background2" w:themeShade="BF"/>
              </w:rPr>
              <w:br/>
              <w:t>Cty:NZ</w:t>
            </w:r>
          </w:p>
        </w:tc>
        <w:tc>
          <w:tcPr>
            <w:tcW w:w="6945" w:type="dxa"/>
          </w:tcPr>
          <w:p w14:paraId="7705C90D" w14:textId="3A9BC591" w:rsidR="005E190C" w:rsidRDefault="00AF6A83" w:rsidP="005D4361">
            <w:pPr>
              <w:spacing w:before="120" w:after="120" w:line="240" w:lineRule="auto"/>
            </w:pPr>
            <w:r>
              <w:t>SPs</w:t>
            </w:r>
            <w:r w:rsidR="00B267D3">
              <w:t xml:space="preserve"> must </w:t>
            </w:r>
            <w:r w:rsidR="00A06892">
              <w:t xml:space="preserve">ensure that the </w:t>
            </w:r>
            <w:r w:rsidR="000F246C">
              <w:t>End User</w:t>
            </w:r>
            <w:r w:rsidR="00A06892">
              <w:t xml:space="preserve">’s NZBN has been confirmed as </w:t>
            </w:r>
            <w:r w:rsidR="005D4361">
              <w:t>“</w:t>
            </w:r>
            <w:r w:rsidR="00BD3972">
              <w:t>registered</w:t>
            </w:r>
            <w:r w:rsidR="005D4361">
              <w:t>”</w:t>
            </w:r>
            <w:r w:rsidR="00A06892">
              <w:t xml:space="preserve"> </w:t>
            </w:r>
            <w:r w:rsidR="005D4361">
              <w:t xml:space="preserve">on the </w:t>
            </w:r>
            <w:r w:rsidR="00B267D3">
              <w:t>NZB</w:t>
            </w:r>
            <w:r w:rsidR="005D4361">
              <w:t>N</w:t>
            </w:r>
            <w:r w:rsidR="00B267D3">
              <w:t>R</w:t>
            </w:r>
            <w:r w:rsidR="003B343D">
              <w:t>.</w:t>
            </w:r>
          </w:p>
        </w:tc>
      </w:tr>
    </w:tbl>
    <w:p w14:paraId="6D3B8795" w14:textId="5B24600C" w:rsidR="001E1676" w:rsidRDefault="001E1676" w:rsidP="00A224D3">
      <w:pPr>
        <w:ind w:firstLine="360"/>
      </w:pPr>
    </w:p>
    <w:p w14:paraId="5364C6CE" w14:textId="40B7FD30" w:rsidR="000859D5" w:rsidRDefault="000859D5" w:rsidP="000859D5">
      <w:pPr>
        <w:pStyle w:val="ListParagraph"/>
        <w:numPr>
          <w:ilvl w:val="0"/>
          <w:numId w:val="19"/>
        </w:numPr>
        <w:spacing w:before="0" w:after="120" w:line="240" w:lineRule="auto"/>
        <w:ind w:left="709" w:hanging="142"/>
      </w:pPr>
      <w:r>
        <w:t>Legal Name (</w:t>
      </w:r>
      <w:r w:rsidRPr="000859D5">
        <w:rPr>
          <w:b/>
          <w:bCs/>
        </w:rPr>
        <w:t>Mandatory</w:t>
      </w:r>
      <w:r>
        <w:t>)</w:t>
      </w:r>
    </w:p>
    <w:tbl>
      <w:tblPr>
        <w:tblStyle w:val="ListTable2"/>
        <w:tblW w:w="8363" w:type="dxa"/>
        <w:tblInd w:w="709" w:type="dxa"/>
        <w:tblLook w:val="0600" w:firstRow="0" w:lastRow="0" w:firstColumn="0" w:lastColumn="0" w:noHBand="1" w:noVBand="1"/>
      </w:tblPr>
      <w:tblGrid>
        <w:gridCol w:w="1418"/>
        <w:gridCol w:w="6945"/>
      </w:tblGrid>
      <w:tr w:rsidR="000859D5" w:rsidRPr="00157B49" w14:paraId="18A0AAB5" w14:textId="77777777" w:rsidTr="000859D5">
        <w:tc>
          <w:tcPr>
            <w:tcW w:w="1418" w:type="dxa"/>
          </w:tcPr>
          <w:p w14:paraId="5C2BA1E1" w14:textId="77777777" w:rsidR="000859D5" w:rsidRPr="00157B49" w:rsidRDefault="000859D5" w:rsidP="007418EF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Identifier</w:t>
            </w:r>
          </w:p>
        </w:tc>
        <w:tc>
          <w:tcPr>
            <w:tcW w:w="6945" w:type="dxa"/>
          </w:tcPr>
          <w:p w14:paraId="10EE14CD" w14:textId="77777777" w:rsidR="000859D5" w:rsidRPr="00157B49" w:rsidRDefault="000859D5" w:rsidP="007418EF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Requirement</w:t>
            </w:r>
          </w:p>
        </w:tc>
      </w:tr>
      <w:tr w:rsidR="000859D5" w14:paraId="080C1C2B" w14:textId="77777777" w:rsidTr="000859D5">
        <w:tc>
          <w:tcPr>
            <w:tcW w:w="1418" w:type="dxa"/>
          </w:tcPr>
          <w:p w14:paraId="66C19800" w14:textId="77777777" w:rsidR="000859D5" w:rsidRDefault="000859D5" w:rsidP="007418EF">
            <w:pPr>
              <w:spacing w:before="120" w:line="240" w:lineRule="auto"/>
            </w:pPr>
            <w:r>
              <w:t>ABN:</w:t>
            </w:r>
          </w:p>
          <w:p w14:paraId="2BF12552" w14:textId="77777777" w:rsidR="000859D5" w:rsidRDefault="000859D5" w:rsidP="007418EF">
            <w:pPr>
              <w:pStyle w:val="ListParagraph"/>
              <w:spacing w:before="120" w:line="240" w:lineRule="auto"/>
              <w:ind w:left="0"/>
            </w:pPr>
          </w:p>
        </w:tc>
        <w:tc>
          <w:tcPr>
            <w:tcW w:w="6945" w:type="dxa"/>
          </w:tcPr>
          <w:p w14:paraId="5D319527" w14:textId="04F70F7D" w:rsidR="000859D5" w:rsidRDefault="000859D5" w:rsidP="007418EF">
            <w:pPr>
              <w:spacing w:before="120" w:line="240" w:lineRule="auto"/>
            </w:pPr>
            <w:r>
              <w:t xml:space="preserve">SPs must ensure that the name of the </w:t>
            </w:r>
            <w:r w:rsidR="000F246C">
              <w:t>End User</w:t>
            </w:r>
            <w:r>
              <w:t xml:space="preserve"> matches one of the names </w:t>
            </w:r>
            <w:r w:rsidR="008E23B6" w:rsidRPr="00735698">
              <w:rPr>
                <w:rFonts w:cstheme="minorHAnsi"/>
              </w:rPr>
              <w:t>(entity name, business name, or trading name</w:t>
            </w:r>
            <w:r w:rsidR="008E23B6" w:rsidRPr="00735698">
              <w:rPr>
                <w:rStyle w:val="FootnoteReference"/>
                <w:rFonts w:cstheme="minorHAnsi"/>
              </w:rPr>
              <w:footnoteReference w:id="3"/>
            </w:r>
            <w:r w:rsidR="008E23B6" w:rsidRPr="00735698">
              <w:rPr>
                <w:rFonts w:cstheme="minorHAnsi"/>
              </w:rPr>
              <w:t>)</w:t>
            </w:r>
            <w:r w:rsidR="008E23B6">
              <w:rPr>
                <w:rFonts w:cstheme="minorHAnsi"/>
              </w:rPr>
              <w:t xml:space="preserve"> </w:t>
            </w:r>
            <w:r>
              <w:t xml:space="preserve">associated with the entity on the ABR. </w:t>
            </w:r>
          </w:p>
          <w:p w14:paraId="5233D541" w14:textId="1F31D9A9" w:rsidR="000859D5" w:rsidRDefault="0079248A" w:rsidP="007418EF">
            <w:pPr>
              <w:spacing w:before="120" w:after="120" w:line="240" w:lineRule="auto"/>
            </w:pPr>
            <w:r>
              <w:lastRenderedPageBreak/>
              <w:t>Where there is a mismatch, t</w:t>
            </w:r>
            <w:r w:rsidR="000859D5">
              <w:t xml:space="preserve">he </w:t>
            </w:r>
            <w:r w:rsidR="000F246C">
              <w:t>End User</w:t>
            </w:r>
            <w:r w:rsidR="000859D5">
              <w:t xml:space="preserve"> should be contacted and asked to update their details </w:t>
            </w:r>
            <w:r w:rsidR="008E23B6" w:rsidRPr="00735698">
              <w:rPr>
                <w:rFonts w:cstheme="minorHAnsi"/>
              </w:rPr>
              <w:t>(</w:t>
            </w:r>
            <w:r w:rsidR="008E23B6">
              <w:rPr>
                <w:rFonts w:cstheme="minorHAnsi"/>
              </w:rPr>
              <w:t>with the Service Provider</w:t>
            </w:r>
            <w:r w:rsidR="008E23B6" w:rsidRPr="00735698">
              <w:rPr>
                <w:rFonts w:cstheme="minorHAnsi"/>
              </w:rPr>
              <w:t xml:space="preserve">, </w:t>
            </w:r>
            <w:hyperlink r:id="rId25" w:anchor="login" w:history="1">
              <w:r w:rsidR="008E23B6" w:rsidRPr="00735698">
                <w:rPr>
                  <w:rStyle w:val="Hyperlink"/>
                  <w:rFonts w:cstheme="minorHAnsi"/>
                </w:rPr>
                <w:t>ABR</w:t>
              </w:r>
            </w:hyperlink>
            <w:r w:rsidR="008E23B6" w:rsidRPr="00735698">
              <w:rPr>
                <w:rFonts w:cstheme="minorHAnsi"/>
              </w:rPr>
              <w:t>, or both)</w:t>
            </w:r>
            <w:r w:rsidR="008E23B6">
              <w:rPr>
                <w:rFonts w:cstheme="minorHAnsi"/>
              </w:rPr>
              <w:t xml:space="preserve"> </w:t>
            </w:r>
            <w:r w:rsidR="000859D5">
              <w:t>to ensure the name matches</w:t>
            </w:r>
            <w:r w:rsidR="00043D72" w:rsidRPr="005A6269">
              <w:rPr>
                <w:rFonts w:cstheme="minorHAnsi"/>
              </w:rPr>
              <w:t xml:space="preserve"> before registering / updating their details in the </w:t>
            </w:r>
            <w:r w:rsidR="00043D72">
              <w:rPr>
                <w:rFonts w:cstheme="minorHAnsi"/>
              </w:rPr>
              <w:t>Peppol Directory</w:t>
            </w:r>
            <w:r w:rsidR="000859D5">
              <w:t>.</w:t>
            </w:r>
            <w:r w:rsidR="00B630FA">
              <w:t xml:space="preserve"> The </w:t>
            </w:r>
            <w:r w:rsidR="000F246C">
              <w:t>End User</w:t>
            </w:r>
            <w:r w:rsidR="00B630FA">
              <w:t xml:space="preserve"> may choose which of their names they want to use in the Peppol Directory.</w:t>
            </w:r>
          </w:p>
          <w:p w14:paraId="29890185" w14:textId="3FE17A32" w:rsidR="000859D5" w:rsidRDefault="000859D5" w:rsidP="007418EF">
            <w:pPr>
              <w:spacing w:before="120" w:after="120" w:line="240" w:lineRule="auto"/>
            </w:pPr>
            <w:r>
              <w:t>Note, minor deviations (</w:t>
            </w:r>
            <w:proofErr w:type="gramStart"/>
            <w:r w:rsidR="00FB2D0A">
              <w:t>e.g.</w:t>
            </w:r>
            <w:proofErr w:type="gramEnd"/>
            <w:r>
              <w:t xml:space="preserve"> spaces, case, abbreviations etc.) may be accepted at the discretion of the Service Provider.</w:t>
            </w:r>
          </w:p>
        </w:tc>
      </w:tr>
      <w:tr w:rsidR="000859D5" w14:paraId="4F43F690" w14:textId="77777777" w:rsidTr="000859D5">
        <w:tc>
          <w:tcPr>
            <w:tcW w:w="1418" w:type="dxa"/>
          </w:tcPr>
          <w:p w14:paraId="53A150B9" w14:textId="77777777" w:rsidR="000859D5" w:rsidRDefault="000859D5" w:rsidP="007418EF">
            <w:pPr>
              <w:spacing w:before="120" w:line="240" w:lineRule="auto"/>
            </w:pPr>
            <w:r>
              <w:lastRenderedPageBreak/>
              <w:t>NZBN:</w:t>
            </w:r>
          </w:p>
          <w:p w14:paraId="6EA29E66" w14:textId="77777777" w:rsidR="000859D5" w:rsidRDefault="000859D5" w:rsidP="007418EF">
            <w:pPr>
              <w:pStyle w:val="ListParagraph"/>
              <w:spacing w:before="120" w:line="240" w:lineRule="auto"/>
              <w:ind w:left="0"/>
            </w:pPr>
          </w:p>
        </w:tc>
        <w:tc>
          <w:tcPr>
            <w:tcW w:w="6945" w:type="dxa"/>
          </w:tcPr>
          <w:p w14:paraId="56D7A117" w14:textId="5677FB90" w:rsidR="008E23B6" w:rsidRPr="005A6269" w:rsidRDefault="008E23B6" w:rsidP="008E23B6">
            <w:pPr>
              <w:pStyle w:val="Bulletedlist2"/>
              <w:numPr>
                <w:ilvl w:val="0"/>
                <w:numId w:val="0"/>
              </w:num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Service</w:t>
            </w:r>
            <w:r w:rsidRPr="005A6269">
              <w:rPr>
                <w:rFonts w:cstheme="minorHAnsi"/>
              </w:rPr>
              <w:t xml:space="preserve"> Providers must ensure that the name of the </w:t>
            </w:r>
            <w:r w:rsidR="000F246C">
              <w:rPr>
                <w:rFonts w:cstheme="minorHAnsi"/>
              </w:rPr>
              <w:t>End User</w:t>
            </w:r>
            <w:r w:rsidRPr="005A6269">
              <w:rPr>
                <w:rFonts w:cstheme="minorHAnsi"/>
              </w:rPr>
              <w:t xml:space="preserve"> matches</w:t>
            </w:r>
            <w:r w:rsidRPr="008E050E">
              <w:rPr>
                <w:rFonts w:cstheme="minorHAnsi"/>
              </w:rPr>
              <w:t xml:space="preserve"> a </w:t>
            </w:r>
            <w:r w:rsidRPr="005A6269">
              <w:rPr>
                <w:rFonts w:cstheme="minorHAnsi"/>
              </w:rPr>
              <w:t xml:space="preserve">name (trading name or legal business name) listed on the NZBNR prior to adding a new entry into the </w:t>
            </w:r>
            <w:r>
              <w:rPr>
                <w:rFonts w:cstheme="minorHAnsi"/>
              </w:rPr>
              <w:t>Peppol Directory</w:t>
            </w:r>
            <w:r w:rsidRPr="005A6269">
              <w:rPr>
                <w:rFonts w:cstheme="minorHAnsi"/>
              </w:rPr>
              <w:t>.</w:t>
            </w:r>
          </w:p>
          <w:p w14:paraId="294BE213" w14:textId="53FDC9B7" w:rsidR="008E23B6" w:rsidRPr="005A6269" w:rsidRDefault="008E23B6" w:rsidP="008E23B6">
            <w:pPr>
              <w:pStyle w:val="Bulletedlist2"/>
              <w:numPr>
                <w:ilvl w:val="0"/>
                <w:numId w:val="0"/>
              </w:numPr>
              <w:spacing w:before="120"/>
              <w:rPr>
                <w:rFonts w:cstheme="minorHAnsi"/>
              </w:rPr>
            </w:pPr>
            <w:r w:rsidRPr="005A6269">
              <w:rPr>
                <w:rFonts w:cstheme="minorHAnsi"/>
              </w:rPr>
              <w:t xml:space="preserve">If </w:t>
            </w:r>
            <w:r w:rsidR="0079248A">
              <w:rPr>
                <w:rFonts w:cstheme="minorHAnsi"/>
              </w:rPr>
              <w:t>there is a mismatch</w:t>
            </w:r>
            <w:r w:rsidRPr="005A6269">
              <w:rPr>
                <w:rFonts w:cstheme="minorHAnsi"/>
              </w:rPr>
              <w:t xml:space="preserve">, the </w:t>
            </w:r>
            <w:r w:rsidR="000F246C">
              <w:rPr>
                <w:rFonts w:cstheme="minorHAnsi"/>
              </w:rPr>
              <w:t>End User</w:t>
            </w:r>
            <w:r w:rsidRPr="005A6269">
              <w:rPr>
                <w:rFonts w:cstheme="minorHAnsi"/>
              </w:rPr>
              <w:t xml:space="preserve"> should be contacted and asked to update their details (with the </w:t>
            </w:r>
            <w:r>
              <w:rPr>
                <w:rFonts w:cstheme="minorHAnsi"/>
              </w:rPr>
              <w:t>Service Provider</w:t>
            </w:r>
            <w:r w:rsidRPr="005A6269">
              <w:rPr>
                <w:rFonts w:cstheme="minorHAnsi"/>
              </w:rPr>
              <w:t xml:space="preserve">, </w:t>
            </w:r>
            <w:hyperlink r:id="rId26" w:history="1">
              <w:r w:rsidRPr="005A6269">
                <w:rPr>
                  <w:rStyle w:val="Hyperlink"/>
                </w:rPr>
                <w:t>NZBNR</w:t>
              </w:r>
            </w:hyperlink>
            <w:r w:rsidRPr="005A6269">
              <w:rPr>
                <w:rFonts w:cstheme="minorHAnsi"/>
              </w:rPr>
              <w:t xml:space="preserve">, or both) to ensure the name matches before registering / updating their details in the </w:t>
            </w:r>
            <w:r>
              <w:rPr>
                <w:rFonts w:cstheme="minorHAnsi"/>
              </w:rPr>
              <w:t>Peppol Directory</w:t>
            </w:r>
            <w:r w:rsidRPr="005A6269">
              <w:rPr>
                <w:rFonts w:cstheme="minorHAnsi"/>
              </w:rPr>
              <w:t>.</w:t>
            </w:r>
            <w:r w:rsidR="00B630FA">
              <w:rPr>
                <w:rFonts w:cstheme="minorHAnsi"/>
              </w:rPr>
              <w:t xml:space="preserve"> </w:t>
            </w:r>
            <w:r w:rsidR="00B630FA" w:rsidRPr="00524C0A">
              <w:t xml:space="preserve">The </w:t>
            </w:r>
            <w:r w:rsidR="000F246C">
              <w:t>End User</w:t>
            </w:r>
            <w:r w:rsidR="00B630FA" w:rsidRPr="00524C0A">
              <w:t xml:space="preserve"> may choose which of their names they want to use in the Peppol Directory.</w:t>
            </w:r>
          </w:p>
          <w:p w14:paraId="35245E57" w14:textId="4819B28B" w:rsidR="000859D5" w:rsidRDefault="008E23B6" w:rsidP="008E23B6">
            <w:pPr>
              <w:pStyle w:val="Bulletedlist2"/>
              <w:numPr>
                <w:ilvl w:val="0"/>
                <w:numId w:val="0"/>
              </w:numPr>
              <w:spacing w:before="120" w:after="120"/>
            </w:pPr>
            <w:r w:rsidRPr="008E23B6">
              <w:t>Note, minor deviations (</w:t>
            </w:r>
            <w:proofErr w:type="gramStart"/>
            <w:r w:rsidR="00FB2D0A">
              <w:t>e.g.</w:t>
            </w:r>
            <w:proofErr w:type="gramEnd"/>
            <w:r w:rsidRPr="008E23B6">
              <w:t xml:space="preserve"> spaces, case, minor abbreviations etc.) may be accepted at the discretion of the Service Provider.</w:t>
            </w:r>
          </w:p>
        </w:tc>
      </w:tr>
    </w:tbl>
    <w:p w14:paraId="16B94AC5" w14:textId="77777777" w:rsidR="000859D5" w:rsidRDefault="000859D5" w:rsidP="00A224D3">
      <w:pPr>
        <w:ind w:firstLine="360"/>
      </w:pPr>
    </w:p>
    <w:p w14:paraId="6FD6CBB1" w14:textId="0E40345F" w:rsidR="00191656" w:rsidRDefault="000859D5" w:rsidP="000859D5">
      <w:pPr>
        <w:pStyle w:val="ListParagraph"/>
        <w:numPr>
          <w:ilvl w:val="0"/>
          <w:numId w:val="19"/>
        </w:numPr>
        <w:spacing w:before="0" w:after="120" w:line="240" w:lineRule="auto"/>
        <w:ind w:left="709" w:hanging="142"/>
      </w:pPr>
      <w:r>
        <w:t xml:space="preserve">Legal address, </w:t>
      </w:r>
      <w:r w:rsidR="00CD3CBD">
        <w:t>country,</w:t>
      </w:r>
      <w:r w:rsidR="006F38E9">
        <w:t xml:space="preserve"> and </w:t>
      </w:r>
      <w:r>
        <w:t>t</w:t>
      </w:r>
      <w:r w:rsidR="006F38E9">
        <w:t>erritory</w:t>
      </w:r>
      <w:r w:rsidR="00191656">
        <w:t xml:space="preserve"> (</w:t>
      </w:r>
      <w:r w:rsidR="00191656" w:rsidRPr="000859D5">
        <w:rPr>
          <w:b/>
          <w:bCs/>
        </w:rPr>
        <w:t>Mandatory</w:t>
      </w:r>
      <w:r w:rsidR="00191656">
        <w:t>)</w:t>
      </w:r>
    </w:p>
    <w:p w14:paraId="1E513120" w14:textId="77777777" w:rsidR="00191656" w:rsidRDefault="00191656" w:rsidP="00191656">
      <w:pPr>
        <w:pStyle w:val="ListParagraph"/>
        <w:spacing w:before="360" w:line="240" w:lineRule="auto"/>
        <w:ind w:left="357"/>
      </w:pPr>
    </w:p>
    <w:tbl>
      <w:tblPr>
        <w:tblStyle w:val="ListTable2"/>
        <w:tblW w:w="8363" w:type="dxa"/>
        <w:tblInd w:w="709" w:type="dxa"/>
        <w:tblLook w:val="0600" w:firstRow="0" w:lastRow="0" w:firstColumn="0" w:lastColumn="0" w:noHBand="1" w:noVBand="1"/>
      </w:tblPr>
      <w:tblGrid>
        <w:gridCol w:w="1418"/>
        <w:gridCol w:w="6945"/>
      </w:tblGrid>
      <w:tr w:rsidR="00191656" w14:paraId="2E9491DC" w14:textId="77777777" w:rsidTr="000859D5">
        <w:tc>
          <w:tcPr>
            <w:tcW w:w="1418" w:type="dxa"/>
          </w:tcPr>
          <w:p w14:paraId="2BD65ACA" w14:textId="77777777" w:rsidR="00191656" w:rsidRPr="00157B49" w:rsidRDefault="00191656" w:rsidP="00973381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Identifier</w:t>
            </w:r>
          </w:p>
        </w:tc>
        <w:tc>
          <w:tcPr>
            <w:tcW w:w="6945" w:type="dxa"/>
          </w:tcPr>
          <w:p w14:paraId="5965B9C5" w14:textId="77777777" w:rsidR="00191656" w:rsidRPr="00157B49" w:rsidRDefault="00191656" w:rsidP="00973381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Requirement</w:t>
            </w:r>
          </w:p>
        </w:tc>
      </w:tr>
      <w:tr w:rsidR="00191656" w14:paraId="0A8554B5" w14:textId="77777777" w:rsidTr="000859D5">
        <w:tc>
          <w:tcPr>
            <w:tcW w:w="1418" w:type="dxa"/>
          </w:tcPr>
          <w:p w14:paraId="364BCA40" w14:textId="17A181D4" w:rsidR="00191656" w:rsidRDefault="00191656" w:rsidP="00140810">
            <w:pPr>
              <w:spacing w:before="120" w:line="240" w:lineRule="auto"/>
            </w:pPr>
            <w:r>
              <w:t>ABN:</w:t>
            </w:r>
          </w:p>
        </w:tc>
        <w:tc>
          <w:tcPr>
            <w:tcW w:w="6945" w:type="dxa"/>
          </w:tcPr>
          <w:p w14:paraId="69D77A8D" w14:textId="00D39C52" w:rsidR="005E190C" w:rsidRDefault="00140810" w:rsidP="00140810">
            <w:pPr>
              <w:spacing w:before="120" w:after="120" w:line="240" w:lineRule="auto"/>
            </w:pPr>
            <w:r>
              <w:t>Validation of the ABN via the ABR will satisfy this requirement.</w:t>
            </w:r>
          </w:p>
        </w:tc>
      </w:tr>
      <w:tr w:rsidR="00140810" w14:paraId="74794ADD" w14:textId="77777777" w:rsidTr="000859D5">
        <w:tc>
          <w:tcPr>
            <w:tcW w:w="1418" w:type="dxa"/>
          </w:tcPr>
          <w:p w14:paraId="41610F49" w14:textId="3C30D402" w:rsidR="00140810" w:rsidRDefault="00140810" w:rsidP="00140810">
            <w:pPr>
              <w:spacing w:before="120" w:line="240" w:lineRule="auto"/>
            </w:pPr>
            <w:r>
              <w:t>NZBN:</w:t>
            </w:r>
          </w:p>
        </w:tc>
        <w:tc>
          <w:tcPr>
            <w:tcW w:w="6945" w:type="dxa"/>
          </w:tcPr>
          <w:p w14:paraId="59E655E0" w14:textId="10A9DAD8" w:rsidR="00140810" w:rsidRPr="00886A29" w:rsidRDefault="00140810" w:rsidP="00140810">
            <w:pPr>
              <w:spacing w:before="120" w:after="120" w:line="240" w:lineRule="auto"/>
            </w:pPr>
            <w:r w:rsidRPr="00886A29">
              <w:t>Validation of the NZBN via the NZBNR will satisfy this requirement.</w:t>
            </w:r>
          </w:p>
        </w:tc>
      </w:tr>
    </w:tbl>
    <w:p w14:paraId="1210C9E9" w14:textId="7E4799B1" w:rsidR="00774FE2" w:rsidRDefault="00774FE2" w:rsidP="00142F34"/>
    <w:p w14:paraId="7F1EBA85" w14:textId="421C3D2F" w:rsidR="005C59AC" w:rsidRDefault="00CD40B2" w:rsidP="000859D5">
      <w:pPr>
        <w:pStyle w:val="ListParagraph"/>
        <w:numPr>
          <w:ilvl w:val="0"/>
          <w:numId w:val="19"/>
        </w:numPr>
        <w:spacing w:before="0" w:after="120" w:line="240" w:lineRule="auto"/>
        <w:ind w:left="709" w:hanging="142"/>
      </w:pPr>
      <w:r>
        <w:t>Peppol Dataset Type</w:t>
      </w:r>
      <w:r w:rsidR="00056672">
        <w:t>(</w:t>
      </w:r>
      <w:r>
        <w:t>s</w:t>
      </w:r>
      <w:r w:rsidR="00056672">
        <w:t>)</w:t>
      </w:r>
      <w:r w:rsidR="005C59AC">
        <w:t xml:space="preserve"> (</w:t>
      </w:r>
      <w:r w:rsidR="005C59AC" w:rsidRPr="000859D5">
        <w:rPr>
          <w:b/>
          <w:bCs/>
        </w:rPr>
        <w:t>Mandatory</w:t>
      </w:r>
      <w:r w:rsidR="005C59AC">
        <w:t>)</w:t>
      </w:r>
    </w:p>
    <w:tbl>
      <w:tblPr>
        <w:tblStyle w:val="ListTable2"/>
        <w:tblW w:w="8363" w:type="dxa"/>
        <w:tblInd w:w="709" w:type="dxa"/>
        <w:tblLook w:val="0600" w:firstRow="0" w:lastRow="0" w:firstColumn="0" w:lastColumn="0" w:noHBand="1" w:noVBand="1"/>
      </w:tblPr>
      <w:tblGrid>
        <w:gridCol w:w="1418"/>
        <w:gridCol w:w="6945"/>
      </w:tblGrid>
      <w:tr w:rsidR="005C59AC" w:rsidRPr="00157B49" w14:paraId="5D680232" w14:textId="77777777" w:rsidTr="000859D5">
        <w:tc>
          <w:tcPr>
            <w:tcW w:w="1418" w:type="dxa"/>
          </w:tcPr>
          <w:p w14:paraId="58E68A2F" w14:textId="77777777" w:rsidR="005C59AC" w:rsidRPr="00157B49" w:rsidRDefault="005C59AC" w:rsidP="002A16D8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Identifier</w:t>
            </w:r>
          </w:p>
        </w:tc>
        <w:tc>
          <w:tcPr>
            <w:tcW w:w="6945" w:type="dxa"/>
          </w:tcPr>
          <w:p w14:paraId="1F500F4F" w14:textId="77777777" w:rsidR="005C59AC" w:rsidRPr="00157B49" w:rsidRDefault="005C59AC" w:rsidP="002A16D8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Requirement</w:t>
            </w:r>
          </w:p>
        </w:tc>
      </w:tr>
      <w:tr w:rsidR="005C59AC" w14:paraId="637E9BFD" w14:textId="77777777" w:rsidTr="000859D5">
        <w:tc>
          <w:tcPr>
            <w:tcW w:w="1418" w:type="dxa"/>
          </w:tcPr>
          <w:p w14:paraId="7A29105A" w14:textId="0246E0EC" w:rsidR="005C59AC" w:rsidRDefault="00056672" w:rsidP="002A16D8">
            <w:pPr>
              <w:spacing w:before="120" w:line="240" w:lineRule="auto"/>
            </w:pPr>
            <w:r>
              <w:t>All</w:t>
            </w:r>
          </w:p>
          <w:p w14:paraId="146544E2" w14:textId="77777777" w:rsidR="005C59AC" w:rsidRDefault="005C59AC" w:rsidP="002A16D8">
            <w:pPr>
              <w:pStyle w:val="ListParagraph"/>
              <w:spacing w:before="120" w:line="240" w:lineRule="auto"/>
              <w:ind w:left="0"/>
            </w:pPr>
          </w:p>
        </w:tc>
        <w:tc>
          <w:tcPr>
            <w:tcW w:w="6945" w:type="dxa"/>
          </w:tcPr>
          <w:p w14:paraId="28E7E666" w14:textId="4A3044BA" w:rsidR="005E190C" w:rsidRDefault="00257AFB" w:rsidP="00056672">
            <w:pPr>
              <w:spacing w:before="120" w:after="120" w:line="240" w:lineRule="auto"/>
            </w:pPr>
            <w:r>
              <w:t>SPs</w:t>
            </w:r>
            <w:r w:rsidR="0023679D">
              <w:t xml:space="preserve"> </w:t>
            </w:r>
            <w:r w:rsidR="00E66F08">
              <w:t>must</w:t>
            </w:r>
            <w:r>
              <w:t xml:space="preserve"> ensure </w:t>
            </w:r>
            <w:r w:rsidR="0023679D">
              <w:t xml:space="preserve">that the </w:t>
            </w:r>
            <w:r w:rsidR="000835C2">
              <w:t xml:space="preserve">information on the </w:t>
            </w:r>
            <w:r w:rsidR="000F246C">
              <w:t>End User</w:t>
            </w:r>
            <w:r w:rsidR="000835C2">
              <w:t>’s</w:t>
            </w:r>
            <w:r w:rsidR="00056672">
              <w:t xml:space="preserve"> able to receive</w:t>
            </w:r>
            <w:r w:rsidR="00942EE7">
              <w:t xml:space="preserve"> </w:t>
            </w:r>
            <w:r w:rsidR="00056672">
              <w:t xml:space="preserve">Peppol Dataset Type(s) </w:t>
            </w:r>
            <w:r w:rsidR="000835C2">
              <w:t xml:space="preserve">is collected </w:t>
            </w:r>
            <w:r w:rsidR="00C863D4">
              <w:t xml:space="preserve">before </w:t>
            </w:r>
            <w:r w:rsidR="00B630FA">
              <w:t>the SP</w:t>
            </w:r>
            <w:r w:rsidR="0023679D">
              <w:t xml:space="preserve"> register</w:t>
            </w:r>
            <w:r w:rsidR="00B36BE8">
              <w:t>s</w:t>
            </w:r>
            <w:r w:rsidR="0023679D">
              <w:t xml:space="preserve"> them with </w:t>
            </w:r>
            <w:r w:rsidR="00C863D4">
              <w:t>that capability</w:t>
            </w:r>
            <w:r w:rsidR="00BB5B23">
              <w:t>.</w:t>
            </w:r>
          </w:p>
        </w:tc>
      </w:tr>
    </w:tbl>
    <w:p w14:paraId="35C7ED0C" w14:textId="77777777" w:rsidR="000859D5" w:rsidRDefault="000859D5" w:rsidP="000859D5">
      <w:pPr>
        <w:spacing w:before="0" w:after="120" w:line="240" w:lineRule="auto"/>
      </w:pPr>
    </w:p>
    <w:p w14:paraId="0AB60554" w14:textId="22099F25" w:rsidR="000859D5" w:rsidRDefault="00B839CA" w:rsidP="000859D5">
      <w:pPr>
        <w:pStyle w:val="ListParagraph"/>
        <w:numPr>
          <w:ilvl w:val="0"/>
          <w:numId w:val="19"/>
        </w:numPr>
        <w:spacing w:before="0" w:after="120" w:line="240" w:lineRule="auto"/>
        <w:ind w:left="709" w:hanging="142"/>
      </w:pPr>
      <w:r>
        <w:t>I</w:t>
      </w:r>
      <w:r w:rsidR="000859D5">
        <w:t>dentifiers (</w:t>
      </w:r>
      <w:r w:rsidR="000859D5" w:rsidRPr="000859D5">
        <w:rPr>
          <w:b/>
          <w:bCs/>
        </w:rPr>
        <w:t>Mandatory</w:t>
      </w:r>
      <w:r w:rsidR="000859D5">
        <w:t>)</w:t>
      </w:r>
    </w:p>
    <w:tbl>
      <w:tblPr>
        <w:tblStyle w:val="ListTable2"/>
        <w:tblW w:w="8363" w:type="dxa"/>
        <w:tblInd w:w="709" w:type="dxa"/>
        <w:tblLook w:val="0600" w:firstRow="0" w:lastRow="0" w:firstColumn="0" w:lastColumn="0" w:noHBand="1" w:noVBand="1"/>
      </w:tblPr>
      <w:tblGrid>
        <w:gridCol w:w="1418"/>
        <w:gridCol w:w="6945"/>
      </w:tblGrid>
      <w:tr w:rsidR="000859D5" w:rsidRPr="009C3D77" w14:paraId="5590DCB3" w14:textId="77777777" w:rsidTr="000859D5">
        <w:tc>
          <w:tcPr>
            <w:tcW w:w="1418" w:type="dxa"/>
          </w:tcPr>
          <w:p w14:paraId="03F7270F" w14:textId="77777777" w:rsidR="000859D5" w:rsidRPr="00157B49" w:rsidRDefault="000859D5" w:rsidP="009C3D77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Identifier</w:t>
            </w:r>
          </w:p>
        </w:tc>
        <w:tc>
          <w:tcPr>
            <w:tcW w:w="6945" w:type="dxa"/>
          </w:tcPr>
          <w:p w14:paraId="3BA21F20" w14:textId="77777777" w:rsidR="000859D5" w:rsidRPr="00157B49" w:rsidRDefault="000859D5" w:rsidP="009C3D77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Requirement</w:t>
            </w:r>
          </w:p>
        </w:tc>
      </w:tr>
      <w:tr w:rsidR="000859D5" w14:paraId="61F3939D" w14:textId="77777777" w:rsidTr="000859D5">
        <w:tc>
          <w:tcPr>
            <w:tcW w:w="1418" w:type="dxa"/>
          </w:tcPr>
          <w:p w14:paraId="316FA335" w14:textId="77777777" w:rsidR="000859D5" w:rsidRDefault="000859D5" w:rsidP="00E07432">
            <w:pPr>
              <w:spacing w:before="120" w:line="240" w:lineRule="auto"/>
            </w:pPr>
            <w:r>
              <w:t>All</w:t>
            </w:r>
          </w:p>
          <w:p w14:paraId="22D4FC7A" w14:textId="77777777" w:rsidR="000859D5" w:rsidRDefault="000859D5" w:rsidP="004A2D41">
            <w:pPr>
              <w:pStyle w:val="ListParagraph"/>
              <w:spacing w:before="0" w:line="240" w:lineRule="auto"/>
              <w:ind w:left="0"/>
            </w:pPr>
          </w:p>
        </w:tc>
        <w:tc>
          <w:tcPr>
            <w:tcW w:w="6945" w:type="dxa"/>
          </w:tcPr>
          <w:p w14:paraId="506586DC" w14:textId="051F547A" w:rsidR="00C878D0" w:rsidRDefault="000859D5" w:rsidP="004A2D41">
            <w:pPr>
              <w:spacing w:before="120" w:after="120" w:line="240" w:lineRule="auto"/>
            </w:pPr>
            <w:r>
              <w:t>SPs must ensure</w:t>
            </w:r>
            <w:r w:rsidR="00C878D0">
              <w:t xml:space="preserve"> the trading name or legal name is known for</w:t>
            </w:r>
            <w:r>
              <w:t xml:space="preserve"> </w:t>
            </w:r>
            <w:r w:rsidR="0085349F">
              <w:t>each Peppol identifier</w:t>
            </w:r>
            <w:r w:rsidR="00C878D0">
              <w:t xml:space="preserve"> that they provide Peppol services to.</w:t>
            </w:r>
          </w:p>
        </w:tc>
      </w:tr>
    </w:tbl>
    <w:p w14:paraId="674B2C15" w14:textId="77777777" w:rsidR="000859D5" w:rsidRDefault="000859D5" w:rsidP="00142F34"/>
    <w:p w14:paraId="71327855" w14:textId="4FC3C1A6" w:rsidR="009B7AFD" w:rsidRDefault="00B839CA" w:rsidP="000859D5">
      <w:pPr>
        <w:pStyle w:val="ListParagraph"/>
        <w:numPr>
          <w:ilvl w:val="0"/>
          <w:numId w:val="19"/>
        </w:numPr>
        <w:spacing w:before="0" w:after="120" w:line="240" w:lineRule="auto"/>
        <w:ind w:left="709" w:hanging="142"/>
      </w:pPr>
      <w:r>
        <w:t>C</w:t>
      </w:r>
      <w:r w:rsidR="00E66F08">
        <w:t>ontact information</w:t>
      </w:r>
      <w:r w:rsidR="009B7AFD">
        <w:t xml:space="preserve"> (</w:t>
      </w:r>
      <w:r w:rsidR="009B7AFD" w:rsidRPr="000859D5">
        <w:rPr>
          <w:b/>
          <w:bCs/>
        </w:rPr>
        <w:t>Mandatory</w:t>
      </w:r>
      <w:r w:rsidR="009B7AFD">
        <w:t>)</w:t>
      </w:r>
    </w:p>
    <w:tbl>
      <w:tblPr>
        <w:tblStyle w:val="ListTable2"/>
        <w:tblW w:w="8363" w:type="dxa"/>
        <w:tblInd w:w="709" w:type="dxa"/>
        <w:tblLook w:val="0600" w:firstRow="0" w:lastRow="0" w:firstColumn="0" w:lastColumn="0" w:noHBand="1" w:noVBand="1"/>
      </w:tblPr>
      <w:tblGrid>
        <w:gridCol w:w="1418"/>
        <w:gridCol w:w="6945"/>
      </w:tblGrid>
      <w:tr w:rsidR="00E66F08" w:rsidRPr="00157B49" w14:paraId="6BF00932" w14:textId="77777777" w:rsidTr="000859D5">
        <w:tc>
          <w:tcPr>
            <w:tcW w:w="1418" w:type="dxa"/>
          </w:tcPr>
          <w:p w14:paraId="63C0D357" w14:textId="77777777" w:rsidR="00E66F08" w:rsidRPr="00157B49" w:rsidRDefault="00E66F08" w:rsidP="008B3574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Identifier</w:t>
            </w:r>
          </w:p>
        </w:tc>
        <w:tc>
          <w:tcPr>
            <w:tcW w:w="6945" w:type="dxa"/>
          </w:tcPr>
          <w:p w14:paraId="7778AF75" w14:textId="77777777" w:rsidR="00E66F08" w:rsidRPr="00157B49" w:rsidRDefault="00E66F08" w:rsidP="008B3574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Requirement</w:t>
            </w:r>
          </w:p>
        </w:tc>
      </w:tr>
      <w:tr w:rsidR="00E66F08" w14:paraId="73C52947" w14:textId="77777777" w:rsidTr="000859D5">
        <w:tc>
          <w:tcPr>
            <w:tcW w:w="1418" w:type="dxa"/>
          </w:tcPr>
          <w:p w14:paraId="729DC05E" w14:textId="147DCB56" w:rsidR="00E66F08" w:rsidRDefault="00056672" w:rsidP="008B3574">
            <w:pPr>
              <w:spacing w:before="120" w:line="240" w:lineRule="auto"/>
            </w:pPr>
            <w:r>
              <w:t>All</w:t>
            </w:r>
          </w:p>
          <w:p w14:paraId="28E9C412" w14:textId="77777777" w:rsidR="00E66F08" w:rsidRDefault="00E66F08" w:rsidP="008B3574">
            <w:pPr>
              <w:pStyle w:val="ListParagraph"/>
              <w:spacing w:before="120" w:line="240" w:lineRule="auto"/>
              <w:ind w:left="0"/>
            </w:pPr>
          </w:p>
        </w:tc>
        <w:tc>
          <w:tcPr>
            <w:tcW w:w="6945" w:type="dxa"/>
          </w:tcPr>
          <w:p w14:paraId="656877B4" w14:textId="38C965D8" w:rsidR="00556C3B" w:rsidRDefault="00531B12" w:rsidP="000835C2">
            <w:pPr>
              <w:spacing w:before="120" w:after="120" w:line="240" w:lineRule="auto"/>
            </w:pPr>
            <w:r>
              <w:t>SPs</w:t>
            </w:r>
            <w:r w:rsidR="00E66F08">
              <w:t xml:space="preserve"> </w:t>
            </w:r>
            <w:r w:rsidR="00EF426C">
              <w:t>must ensure</w:t>
            </w:r>
            <w:r>
              <w:t xml:space="preserve"> that </w:t>
            </w:r>
            <w:r w:rsidR="00EF426C">
              <w:t>valid client contact details</w:t>
            </w:r>
            <w:r>
              <w:t xml:space="preserve"> have been collected</w:t>
            </w:r>
            <w:r w:rsidR="00872951">
              <w:t xml:space="preserve"> for the </w:t>
            </w:r>
            <w:r w:rsidR="000F246C">
              <w:t>End User</w:t>
            </w:r>
            <w:r w:rsidR="00EF426C">
              <w:t>, including a confirmed email and phone number</w:t>
            </w:r>
            <w:r w:rsidR="00872951">
              <w:t>.</w:t>
            </w:r>
          </w:p>
        </w:tc>
      </w:tr>
    </w:tbl>
    <w:p w14:paraId="1A56060A" w14:textId="0973479B" w:rsidR="009B7AFD" w:rsidRDefault="009B7AFD" w:rsidP="00142F34"/>
    <w:p w14:paraId="53D3E5BA" w14:textId="0A019DC0" w:rsidR="007B0F04" w:rsidRDefault="00B839CA" w:rsidP="00B839CA">
      <w:pPr>
        <w:pStyle w:val="ListParagraph"/>
        <w:numPr>
          <w:ilvl w:val="0"/>
          <w:numId w:val="19"/>
        </w:numPr>
        <w:spacing w:before="0" w:after="120" w:line="240" w:lineRule="auto"/>
        <w:ind w:left="709" w:hanging="142"/>
      </w:pPr>
      <w:r>
        <w:lastRenderedPageBreak/>
        <w:t>P</w:t>
      </w:r>
      <w:r w:rsidR="00894A85">
        <w:t xml:space="preserve">roof </w:t>
      </w:r>
      <w:r>
        <w:t>of ownership</w:t>
      </w:r>
      <w:r w:rsidR="00894A85">
        <w:t xml:space="preserve"> </w:t>
      </w:r>
      <w:r w:rsidR="007B0F04">
        <w:t>(</w:t>
      </w:r>
      <w:r w:rsidR="00696669">
        <w:rPr>
          <w:b/>
          <w:bCs/>
        </w:rPr>
        <w:t>Recommended</w:t>
      </w:r>
      <w:r w:rsidR="007B0F04">
        <w:t>)</w:t>
      </w:r>
    </w:p>
    <w:tbl>
      <w:tblPr>
        <w:tblStyle w:val="ListTable2"/>
        <w:tblW w:w="8363" w:type="dxa"/>
        <w:tblInd w:w="709" w:type="dxa"/>
        <w:tblLook w:val="0600" w:firstRow="0" w:lastRow="0" w:firstColumn="0" w:lastColumn="0" w:noHBand="1" w:noVBand="1"/>
      </w:tblPr>
      <w:tblGrid>
        <w:gridCol w:w="1418"/>
        <w:gridCol w:w="6945"/>
      </w:tblGrid>
      <w:tr w:rsidR="008F5FCE" w:rsidRPr="00157B49" w14:paraId="5CC0D041" w14:textId="77777777" w:rsidTr="00B839CA">
        <w:tc>
          <w:tcPr>
            <w:tcW w:w="1418" w:type="dxa"/>
          </w:tcPr>
          <w:p w14:paraId="65F835CF" w14:textId="77777777" w:rsidR="008F5FCE" w:rsidRPr="00157B49" w:rsidRDefault="008F5FCE" w:rsidP="003B424F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Identifier</w:t>
            </w:r>
          </w:p>
        </w:tc>
        <w:tc>
          <w:tcPr>
            <w:tcW w:w="6945" w:type="dxa"/>
          </w:tcPr>
          <w:p w14:paraId="7E3545B9" w14:textId="77777777" w:rsidR="008F5FCE" w:rsidRPr="00157B49" w:rsidRDefault="008F5FCE" w:rsidP="003B424F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Requirement</w:t>
            </w:r>
          </w:p>
        </w:tc>
      </w:tr>
      <w:tr w:rsidR="008F5FCE" w14:paraId="7C67AB31" w14:textId="77777777" w:rsidTr="00B839CA">
        <w:tc>
          <w:tcPr>
            <w:tcW w:w="1418" w:type="dxa"/>
          </w:tcPr>
          <w:p w14:paraId="6C0225CD" w14:textId="4E1B5133" w:rsidR="008F5FCE" w:rsidRDefault="00056672" w:rsidP="003B424F">
            <w:pPr>
              <w:spacing w:before="120" w:line="240" w:lineRule="auto"/>
            </w:pPr>
            <w:r>
              <w:t>All</w:t>
            </w:r>
          </w:p>
          <w:p w14:paraId="297121A9" w14:textId="77777777" w:rsidR="008F5FCE" w:rsidRDefault="008F5FCE" w:rsidP="003B424F">
            <w:pPr>
              <w:pStyle w:val="ListParagraph"/>
              <w:spacing w:before="120" w:line="240" w:lineRule="auto"/>
              <w:ind w:left="0"/>
            </w:pPr>
          </w:p>
        </w:tc>
        <w:tc>
          <w:tcPr>
            <w:tcW w:w="6945" w:type="dxa"/>
          </w:tcPr>
          <w:p w14:paraId="4612B003" w14:textId="5BCE702B" w:rsidR="008F5FCE" w:rsidRDefault="001B345E" w:rsidP="000835C2">
            <w:pPr>
              <w:spacing w:before="120" w:after="120" w:line="240" w:lineRule="auto"/>
            </w:pPr>
            <w:r>
              <w:t>SPs</w:t>
            </w:r>
            <w:r w:rsidR="008F5FCE">
              <w:t xml:space="preserve"> </w:t>
            </w:r>
            <w:r w:rsidR="00696669">
              <w:t xml:space="preserve">should </w:t>
            </w:r>
            <w:r w:rsidR="00C878D0">
              <w:t>ensure</w:t>
            </w:r>
            <w:r>
              <w:t xml:space="preserve"> </w:t>
            </w:r>
            <w:r w:rsidR="00C878D0">
              <w:t>reasonable efforts</w:t>
            </w:r>
            <w:r w:rsidR="008F5FCE">
              <w:t xml:space="preserve"> </w:t>
            </w:r>
            <w:r w:rsidR="00C878D0">
              <w:t xml:space="preserve">have been made to </w:t>
            </w:r>
            <w:r w:rsidR="00556C3B">
              <w:t>establish that the information has been provided by the entity</w:t>
            </w:r>
            <w:r w:rsidR="008F5FCE">
              <w:t xml:space="preserve">. </w:t>
            </w:r>
          </w:p>
          <w:p w14:paraId="073A1B89" w14:textId="7723CE37" w:rsidR="008F5FCE" w:rsidRDefault="008F5FCE" w:rsidP="000835C2">
            <w:pPr>
              <w:spacing w:before="120" w:after="120" w:line="240" w:lineRule="auto"/>
            </w:pPr>
            <w:r>
              <w:t>Possible options include:</w:t>
            </w:r>
          </w:p>
          <w:p w14:paraId="453424DA" w14:textId="792740B5" w:rsidR="00556C3B" w:rsidRDefault="00556C3B" w:rsidP="00556C3B">
            <w:pPr>
              <w:pStyle w:val="Bulletedlist1"/>
              <w:spacing w:before="120" w:after="120"/>
            </w:pPr>
            <w:r>
              <w:t xml:space="preserve">information from other authorisation processes or evidence of existing business activity (e.g. ATO, </w:t>
            </w:r>
            <w:hyperlink r:id="rId27" w:history="1">
              <w:r w:rsidR="00B36BE8" w:rsidRPr="0090228D">
                <w:rPr>
                  <w:rStyle w:val="Hyperlink"/>
                </w:rPr>
                <w:t>Cloud Authentication and Authorisation (CAA)</w:t>
              </w:r>
            </w:hyperlink>
            <w:r w:rsidR="00B36BE8">
              <w:rPr>
                <w:rStyle w:val="Hyperlink"/>
              </w:rPr>
              <w:t>,</w:t>
            </w:r>
            <w:r w:rsidR="00B36BE8" w:rsidRPr="0090228D">
              <w:t xml:space="preserve"> </w:t>
            </w:r>
            <w:r>
              <w:t>bank, tax agent, utility bills, rates bills).</w:t>
            </w:r>
          </w:p>
          <w:p w14:paraId="78238F8F" w14:textId="57105B35" w:rsidR="00556C3B" w:rsidRDefault="00556C3B" w:rsidP="00556C3B">
            <w:pPr>
              <w:pStyle w:val="Bulletedlist1"/>
              <w:spacing w:before="120" w:after="120"/>
            </w:pPr>
            <w:r>
              <w:t>communication from via the entity’s email address</w:t>
            </w:r>
          </w:p>
          <w:p w14:paraId="50CAC6AB" w14:textId="41E3104D" w:rsidR="00556C3B" w:rsidRDefault="00556C3B" w:rsidP="00556C3B">
            <w:pPr>
              <w:pStyle w:val="Bulletedlist1"/>
              <w:spacing w:before="120" w:after="120"/>
            </w:pPr>
            <w:r>
              <w:t>confirmation via telephone number matching details on the entity’s official website</w:t>
            </w:r>
          </w:p>
          <w:p w14:paraId="22A3AE6F" w14:textId="41CDDEC6" w:rsidR="005E190C" w:rsidRDefault="00556C3B" w:rsidP="00556C3B">
            <w:pPr>
              <w:pStyle w:val="Bulletedlist1"/>
              <w:spacing w:before="120" w:after="120"/>
            </w:pPr>
            <w:r>
              <w:t>confirmation against i</w:t>
            </w:r>
            <w:r w:rsidR="008F5FCE">
              <w:t>nformation from a public register to identify listed office holders of the entity (</w:t>
            </w:r>
            <w:r w:rsidR="00CD3CBD">
              <w:t>e.g.,</w:t>
            </w:r>
            <w:r w:rsidR="008F5FCE">
              <w:t xml:space="preserve"> ASIC registers in Australia, Companies Register in New Zealand)</w:t>
            </w:r>
          </w:p>
        </w:tc>
      </w:tr>
    </w:tbl>
    <w:p w14:paraId="15EC1EE1" w14:textId="081730A5" w:rsidR="00774FE2" w:rsidRDefault="00774FE2" w:rsidP="00A224D3">
      <w:pPr>
        <w:ind w:firstLine="360"/>
      </w:pPr>
    </w:p>
    <w:p w14:paraId="3EB1FC83" w14:textId="1149AA23" w:rsidR="007E2BF6" w:rsidRDefault="00B839CA" w:rsidP="00B839CA">
      <w:pPr>
        <w:pStyle w:val="ListParagraph"/>
        <w:numPr>
          <w:ilvl w:val="0"/>
          <w:numId w:val="19"/>
        </w:numPr>
        <w:spacing w:before="0" w:after="120" w:line="240" w:lineRule="auto"/>
        <w:ind w:left="709" w:hanging="142"/>
      </w:pPr>
      <w:r>
        <w:t>Intermediaries</w:t>
      </w:r>
      <w:r w:rsidR="007E2BF6" w:rsidRPr="007E2BF6">
        <w:t xml:space="preserve"> </w:t>
      </w:r>
      <w:r w:rsidR="007E2BF6">
        <w:t>(</w:t>
      </w:r>
      <w:r w:rsidR="007E2BF6" w:rsidRPr="00B839CA">
        <w:rPr>
          <w:b/>
          <w:bCs/>
        </w:rPr>
        <w:t>Mandatory</w:t>
      </w:r>
      <w:r w:rsidR="007E2BF6">
        <w:t>)</w:t>
      </w:r>
    </w:p>
    <w:tbl>
      <w:tblPr>
        <w:tblStyle w:val="ListTable2"/>
        <w:tblW w:w="8363" w:type="dxa"/>
        <w:tblInd w:w="709" w:type="dxa"/>
        <w:tblLook w:val="0600" w:firstRow="0" w:lastRow="0" w:firstColumn="0" w:lastColumn="0" w:noHBand="1" w:noVBand="1"/>
      </w:tblPr>
      <w:tblGrid>
        <w:gridCol w:w="1418"/>
        <w:gridCol w:w="6945"/>
      </w:tblGrid>
      <w:tr w:rsidR="006316ED" w:rsidRPr="00157B49" w14:paraId="6674056E" w14:textId="77777777" w:rsidTr="00B839CA">
        <w:tc>
          <w:tcPr>
            <w:tcW w:w="1418" w:type="dxa"/>
          </w:tcPr>
          <w:p w14:paraId="5325E92A" w14:textId="77777777" w:rsidR="006316ED" w:rsidRPr="00157B49" w:rsidRDefault="006316ED" w:rsidP="003B424F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Identifier</w:t>
            </w:r>
          </w:p>
        </w:tc>
        <w:tc>
          <w:tcPr>
            <w:tcW w:w="6945" w:type="dxa"/>
          </w:tcPr>
          <w:p w14:paraId="706ED1D0" w14:textId="77777777" w:rsidR="006316ED" w:rsidRPr="00157B49" w:rsidRDefault="006316ED" w:rsidP="003B424F">
            <w:pPr>
              <w:spacing w:before="120" w:line="240" w:lineRule="auto"/>
              <w:rPr>
                <w:b/>
                <w:bCs/>
              </w:rPr>
            </w:pPr>
            <w:r w:rsidRPr="00157B49">
              <w:rPr>
                <w:b/>
                <w:bCs/>
              </w:rPr>
              <w:t>Requirement</w:t>
            </w:r>
          </w:p>
        </w:tc>
      </w:tr>
      <w:tr w:rsidR="006316ED" w14:paraId="083F981F" w14:textId="77777777" w:rsidTr="00B839CA">
        <w:tc>
          <w:tcPr>
            <w:tcW w:w="1418" w:type="dxa"/>
          </w:tcPr>
          <w:p w14:paraId="0C014A52" w14:textId="335C3AB4" w:rsidR="006316ED" w:rsidRDefault="00056672" w:rsidP="003B424F">
            <w:pPr>
              <w:spacing w:before="120" w:line="240" w:lineRule="auto"/>
            </w:pPr>
            <w:r>
              <w:t>All</w:t>
            </w:r>
          </w:p>
          <w:p w14:paraId="288CDAD9" w14:textId="77777777" w:rsidR="006316ED" w:rsidRDefault="006316ED" w:rsidP="003B424F">
            <w:pPr>
              <w:pStyle w:val="ListParagraph"/>
              <w:spacing w:before="120" w:line="240" w:lineRule="auto"/>
              <w:ind w:left="0"/>
            </w:pPr>
          </w:p>
        </w:tc>
        <w:tc>
          <w:tcPr>
            <w:tcW w:w="6945" w:type="dxa"/>
          </w:tcPr>
          <w:p w14:paraId="7EDDE382" w14:textId="2154D3E1" w:rsidR="009424B6" w:rsidRDefault="00375583" w:rsidP="000835C2">
            <w:pPr>
              <w:spacing w:before="120" w:after="120"/>
            </w:pPr>
            <w:r>
              <w:t>SPs</w:t>
            </w:r>
            <w:r w:rsidR="006316ED">
              <w:t xml:space="preserve"> must</w:t>
            </w:r>
            <w:r>
              <w:t xml:space="preserve"> </w:t>
            </w:r>
            <w:r w:rsidR="009424B6">
              <w:t xml:space="preserve">collect information on any </w:t>
            </w:r>
            <w:r w:rsidR="004A17F8">
              <w:t xml:space="preserve">intermediaries </w:t>
            </w:r>
            <w:r w:rsidR="009424B6">
              <w:t>used by the</w:t>
            </w:r>
            <w:r w:rsidR="004A17F8">
              <w:t xml:space="preserve"> </w:t>
            </w:r>
            <w:r w:rsidR="000F246C">
              <w:t>End User</w:t>
            </w:r>
            <w:r w:rsidR="00A34D89">
              <w:t xml:space="preserve"> </w:t>
            </w:r>
            <w:r w:rsidR="009424B6">
              <w:t xml:space="preserve">to </w:t>
            </w:r>
            <w:r w:rsidR="004A17F8">
              <w:t>accesses the Peppol Network</w:t>
            </w:r>
            <w:r w:rsidR="006316ED">
              <w:t xml:space="preserve">. </w:t>
            </w:r>
          </w:p>
          <w:p w14:paraId="5FC79F85" w14:textId="776E81D1" w:rsidR="005E190C" w:rsidRDefault="004A17F8" w:rsidP="000835C2">
            <w:pPr>
              <w:spacing w:before="120" w:after="120"/>
            </w:pPr>
            <w:r>
              <w:t xml:space="preserve">The </w:t>
            </w:r>
            <w:r w:rsidR="00234D54">
              <w:t>SP</w:t>
            </w:r>
            <w:r>
              <w:t xml:space="preserve"> must</w:t>
            </w:r>
            <w:r w:rsidR="00234D54">
              <w:t xml:space="preserve"> ensure that the</w:t>
            </w:r>
            <w:r w:rsidR="009424B6">
              <w:t xml:space="preserve"> legal</w:t>
            </w:r>
            <w:r>
              <w:t xml:space="preserve"> identifier</w:t>
            </w:r>
            <w:r w:rsidR="00A73D67">
              <w:t>,</w:t>
            </w:r>
            <w:r>
              <w:t xml:space="preserve"> </w:t>
            </w:r>
            <w:r w:rsidR="009424B6">
              <w:t xml:space="preserve">legal </w:t>
            </w:r>
            <w:r>
              <w:t>name</w:t>
            </w:r>
            <w:r w:rsidR="00A73D67">
              <w:t>,</w:t>
            </w:r>
            <w:r>
              <w:t xml:space="preserve"> and country of these intermediaries</w:t>
            </w:r>
            <w:r w:rsidR="00A73D67">
              <w:t xml:space="preserve"> is </w:t>
            </w:r>
            <w:r w:rsidR="009424B6">
              <w:t>verified.</w:t>
            </w:r>
          </w:p>
        </w:tc>
      </w:tr>
    </w:tbl>
    <w:p w14:paraId="14D5FFA6" w14:textId="77777777" w:rsidR="000859D5" w:rsidRDefault="000859D5" w:rsidP="00E710CC"/>
    <w:p w14:paraId="62A458CA" w14:textId="4E51325C" w:rsidR="00E710CC" w:rsidRDefault="00E710CC" w:rsidP="000859D5">
      <w:pPr>
        <w:pStyle w:val="ListParagraph"/>
        <w:numPr>
          <w:ilvl w:val="0"/>
          <w:numId w:val="5"/>
        </w:numPr>
        <w:spacing w:before="0" w:after="120" w:line="240" w:lineRule="auto"/>
      </w:pPr>
      <w:r>
        <w:t xml:space="preserve">Re-verify/check </w:t>
      </w:r>
      <w:r w:rsidR="000F246C">
        <w:t>End User</w:t>
      </w:r>
      <w:r>
        <w:t xml:space="preserve"> identification </w:t>
      </w:r>
      <w:r w:rsidR="00EE62DC">
        <w:t>information annually</w:t>
      </w:r>
      <w:r>
        <w:t xml:space="preserve"> (</w:t>
      </w:r>
      <w:r w:rsidRPr="00B839CA">
        <w:rPr>
          <w:b/>
          <w:bCs/>
        </w:rPr>
        <w:t>Mandatory</w:t>
      </w:r>
      <w:r>
        <w:t>)</w:t>
      </w:r>
    </w:p>
    <w:bookmarkStart w:id="3" w:name="_Hlk99108475"/>
    <w:p w14:paraId="2B8900F6" w14:textId="77777777" w:rsidR="005F3DE6" w:rsidRPr="005F3DE6" w:rsidRDefault="005F3DE6" w:rsidP="005F3DE6">
      <w:pPr>
        <w:ind w:left="360"/>
      </w:pPr>
      <w:r w:rsidRPr="005F3DE6">
        <w:fldChar w:fldCharType="begin"/>
      </w:r>
      <w:r w:rsidRPr="005F3DE6">
        <w:instrText xml:space="preserve"> HYPERLINK "https://openpeppol.atlassian.net/wiki/spaces/AF/pages/2756771841/New+Peppol+Agreements+and+accompanying+documents" \l "B2.-Internal-Regulations-on-the-Use-of-the-Peppol-Network" </w:instrText>
      </w:r>
      <w:r w:rsidRPr="005F3DE6">
        <w:fldChar w:fldCharType="separate"/>
      </w:r>
      <w:r w:rsidRPr="005F3DE6">
        <w:rPr>
          <w:rStyle w:val="Hyperlink"/>
          <w:i/>
          <w:iCs/>
        </w:rPr>
        <w:t>3.3.1 of Internal Regulations</w:t>
      </w:r>
      <w:r w:rsidRPr="005F3DE6">
        <w:fldChar w:fldCharType="end"/>
      </w:r>
    </w:p>
    <w:bookmarkEnd w:id="3"/>
    <w:p w14:paraId="4974CE10" w14:textId="54C137E6" w:rsidR="009B528B" w:rsidRDefault="00B839CA" w:rsidP="00B839CA">
      <w:pPr>
        <w:ind w:left="360"/>
      </w:pPr>
      <w:r>
        <w:t xml:space="preserve">SPs must ensure that </w:t>
      </w:r>
      <w:r w:rsidR="001D7AAB">
        <w:t xml:space="preserve">items under </w:t>
      </w:r>
      <w:r w:rsidR="00B36BE8" w:rsidRPr="00B36BE8">
        <w:rPr>
          <w:i/>
          <w:iCs/>
        </w:rPr>
        <w:t xml:space="preserve">Collect and verify </w:t>
      </w:r>
      <w:r w:rsidR="000F246C">
        <w:rPr>
          <w:i/>
          <w:iCs/>
        </w:rPr>
        <w:t>End User</w:t>
      </w:r>
      <w:r w:rsidR="00B36BE8" w:rsidRPr="00B36BE8">
        <w:rPr>
          <w:i/>
          <w:iCs/>
        </w:rPr>
        <w:t xml:space="preserve"> </w:t>
      </w:r>
      <w:r w:rsidR="00457BB0">
        <w:rPr>
          <w:i/>
          <w:iCs/>
        </w:rPr>
        <w:t>i</w:t>
      </w:r>
      <w:r w:rsidR="00B36BE8" w:rsidRPr="00B36BE8">
        <w:rPr>
          <w:i/>
          <w:iCs/>
        </w:rPr>
        <w:t>nformation</w:t>
      </w:r>
      <w:r w:rsidR="00B36BE8">
        <w:t xml:space="preserve"> </w:t>
      </w:r>
      <w:r w:rsidR="009424B6">
        <w:t>(</w:t>
      </w:r>
      <w:r w:rsidR="00684579">
        <w:t>r</w:t>
      </w:r>
      <w:r w:rsidR="009424B6">
        <w:t xml:space="preserve">equirement 3) </w:t>
      </w:r>
      <w:r w:rsidR="001D7AAB">
        <w:t>are</w:t>
      </w:r>
      <w:r w:rsidR="00B36BE8">
        <w:t xml:space="preserve"> </w:t>
      </w:r>
      <w:r>
        <w:t>re-verified/checked on an annual basis.</w:t>
      </w:r>
    </w:p>
    <w:p w14:paraId="67CB77A3" w14:textId="0589F302" w:rsidR="00580489" w:rsidRDefault="00580489" w:rsidP="000F5C54">
      <w:pPr>
        <w:pStyle w:val="Heading3"/>
      </w:pPr>
      <w:bookmarkStart w:id="4" w:name="_Hlk100654918"/>
      <w:r>
        <w:t>Migration</w:t>
      </w:r>
      <w:r w:rsidR="00ED6701">
        <w:t xml:space="preserve"> Plan</w:t>
      </w:r>
    </w:p>
    <w:p w14:paraId="593C6837" w14:textId="77777777" w:rsidR="00580489" w:rsidRPr="00580489" w:rsidRDefault="00580489" w:rsidP="00580489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395"/>
        <w:gridCol w:w="1701"/>
        <w:gridCol w:w="1417"/>
        <w:gridCol w:w="1557"/>
      </w:tblGrid>
      <w:tr w:rsidR="00781D30" w14:paraId="48F895FD" w14:textId="77777777" w:rsidTr="009A0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2145E23" w14:textId="071A9F1E" w:rsidR="00781D30" w:rsidRDefault="000B0AE4" w:rsidP="00144820">
            <w:r>
              <w:t>Guidance notes</w:t>
            </w:r>
          </w:p>
        </w:tc>
        <w:tc>
          <w:tcPr>
            <w:tcW w:w="1701" w:type="dxa"/>
          </w:tcPr>
          <w:p w14:paraId="44A6E12D" w14:textId="77777777" w:rsidR="000B0AE4" w:rsidRPr="00CD487F" w:rsidRDefault="000B0AE4" w:rsidP="00144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D487F">
              <w:rPr>
                <w:i/>
                <w:iCs/>
              </w:rPr>
              <w:t>Before</w:t>
            </w:r>
          </w:p>
          <w:p w14:paraId="31B31013" w14:textId="7305E81F" w:rsidR="00781D30" w:rsidRPr="00CD487F" w:rsidRDefault="00144820" w:rsidP="00144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D487F">
              <w:rPr>
                <w:i/>
                <w:iCs/>
              </w:rPr>
              <w:t>01/07/2022</w:t>
            </w:r>
          </w:p>
        </w:tc>
        <w:tc>
          <w:tcPr>
            <w:tcW w:w="1417" w:type="dxa"/>
          </w:tcPr>
          <w:p w14:paraId="53E5E41C" w14:textId="2E7359EF" w:rsidR="000B0AE4" w:rsidRPr="00CD487F" w:rsidRDefault="000B0AE4" w:rsidP="00144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D487F">
              <w:rPr>
                <w:i/>
                <w:iCs/>
              </w:rPr>
              <w:t>After</w:t>
            </w:r>
          </w:p>
          <w:p w14:paraId="3D7C800B" w14:textId="51195530" w:rsidR="00781D30" w:rsidRPr="00CD487F" w:rsidRDefault="00144820" w:rsidP="00144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D487F">
              <w:rPr>
                <w:i/>
                <w:iCs/>
              </w:rPr>
              <w:t>01/07/2022</w:t>
            </w:r>
          </w:p>
        </w:tc>
        <w:tc>
          <w:tcPr>
            <w:tcW w:w="1557" w:type="dxa"/>
          </w:tcPr>
          <w:p w14:paraId="45BBD4E1" w14:textId="77777777" w:rsidR="000B0AE4" w:rsidRPr="00CD487F" w:rsidRDefault="000B0AE4" w:rsidP="00144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D487F">
              <w:rPr>
                <w:i/>
                <w:iCs/>
              </w:rPr>
              <w:t>After</w:t>
            </w:r>
          </w:p>
          <w:p w14:paraId="6C490959" w14:textId="5A81EF07" w:rsidR="00781D30" w:rsidRPr="00CD487F" w:rsidRDefault="00144820" w:rsidP="00144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D487F">
              <w:rPr>
                <w:i/>
                <w:iCs/>
              </w:rPr>
              <w:t>01/01/2023</w:t>
            </w:r>
          </w:p>
        </w:tc>
      </w:tr>
      <w:tr w:rsidR="00781D30" w14:paraId="604D7771" w14:textId="77777777" w:rsidTr="009A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F3DED05" w14:textId="780A24CF" w:rsidR="00781D30" w:rsidRPr="00C75617" w:rsidRDefault="00CD487F" w:rsidP="00144820">
            <w:pPr>
              <w:rPr>
                <w:b w:val="0"/>
                <w:bCs w:val="0"/>
              </w:rPr>
            </w:pPr>
            <w:r w:rsidRPr="00C75617">
              <w:rPr>
                <w:b w:val="0"/>
                <w:bCs w:val="0"/>
              </w:rPr>
              <w:t xml:space="preserve">04 </w:t>
            </w:r>
            <w:r w:rsidR="000B0AE4" w:rsidRPr="00C75617">
              <w:rPr>
                <w:b w:val="0"/>
                <w:bCs w:val="0"/>
              </w:rPr>
              <w:t>Know your customer</w:t>
            </w:r>
            <w:r w:rsidR="00C75617" w:rsidRPr="00C75617">
              <w:rPr>
                <w:b w:val="0"/>
                <w:bCs w:val="0"/>
              </w:rPr>
              <w:t xml:space="preserve"> guidance note</w:t>
            </w:r>
          </w:p>
        </w:tc>
        <w:tc>
          <w:tcPr>
            <w:tcW w:w="1701" w:type="dxa"/>
          </w:tcPr>
          <w:p w14:paraId="039EF217" w14:textId="58E295B2" w:rsidR="00781D30" w:rsidRDefault="000B0AE4" w:rsidP="00144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417" w:type="dxa"/>
          </w:tcPr>
          <w:p w14:paraId="03BA1468" w14:textId="0CB1E009" w:rsidR="00781D30" w:rsidRDefault="00ED6701" w:rsidP="00144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57" w:type="dxa"/>
          </w:tcPr>
          <w:p w14:paraId="14AD882A" w14:textId="5AAA4FFA" w:rsidR="00781D30" w:rsidRDefault="00045249" w:rsidP="00144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Phased out</w:t>
            </w:r>
          </w:p>
        </w:tc>
      </w:tr>
      <w:tr w:rsidR="00781D30" w14:paraId="7F766D8A" w14:textId="77777777" w:rsidTr="009A0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B3B90F7" w14:textId="44B5D934" w:rsidR="00781D30" w:rsidRPr="00C75617" w:rsidRDefault="00CD487F" w:rsidP="00144820">
            <w:pPr>
              <w:rPr>
                <w:b w:val="0"/>
                <w:bCs w:val="0"/>
              </w:rPr>
            </w:pPr>
            <w:r w:rsidRPr="00C75617">
              <w:rPr>
                <w:b w:val="0"/>
                <w:bCs w:val="0"/>
              </w:rPr>
              <w:t xml:space="preserve">05 </w:t>
            </w:r>
            <w:r w:rsidR="000B0AE4" w:rsidRPr="00C75617">
              <w:rPr>
                <w:b w:val="0"/>
                <w:bCs w:val="0"/>
              </w:rPr>
              <w:t>ABN Validation</w:t>
            </w:r>
            <w:r w:rsidR="00C75617" w:rsidRPr="00C75617">
              <w:rPr>
                <w:b w:val="0"/>
                <w:bCs w:val="0"/>
              </w:rPr>
              <w:t xml:space="preserve"> guidance note</w:t>
            </w:r>
          </w:p>
        </w:tc>
        <w:tc>
          <w:tcPr>
            <w:tcW w:w="1701" w:type="dxa"/>
          </w:tcPr>
          <w:p w14:paraId="16EC0F22" w14:textId="1841013F" w:rsidR="00781D30" w:rsidRDefault="000B0AE4" w:rsidP="00144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417" w:type="dxa"/>
          </w:tcPr>
          <w:p w14:paraId="790D4019" w14:textId="2C624FE0" w:rsidR="00781D30" w:rsidRDefault="00ED6701" w:rsidP="00144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57" w:type="dxa"/>
          </w:tcPr>
          <w:p w14:paraId="0C60FA7E" w14:textId="3550C8F6" w:rsidR="00781D30" w:rsidRDefault="00045249" w:rsidP="00144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Phased out</w:t>
            </w:r>
          </w:p>
        </w:tc>
      </w:tr>
      <w:tr w:rsidR="00781D30" w14:paraId="64DFB898" w14:textId="77777777" w:rsidTr="009A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C590046" w14:textId="2AEAD98D" w:rsidR="00781D30" w:rsidRPr="00C75617" w:rsidRDefault="00CD487F" w:rsidP="00144820">
            <w:pPr>
              <w:rPr>
                <w:b w:val="0"/>
                <w:bCs w:val="0"/>
              </w:rPr>
            </w:pPr>
            <w:r w:rsidRPr="00C75617">
              <w:rPr>
                <w:b w:val="0"/>
                <w:bCs w:val="0"/>
              </w:rPr>
              <w:t xml:space="preserve">06 </w:t>
            </w:r>
            <w:r w:rsidR="000B0AE4" w:rsidRPr="00C75617">
              <w:rPr>
                <w:b w:val="0"/>
                <w:bCs w:val="0"/>
              </w:rPr>
              <w:t>NZBN Validation</w:t>
            </w:r>
            <w:r w:rsidR="00C75617" w:rsidRPr="00C75617">
              <w:rPr>
                <w:b w:val="0"/>
                <w:bCs w:val="0"/>
              </w:rPr>
              <w:t xml:space="preserve"> guidance note </w:t>
            </w:r>
          </w:p>
        </w:tc>
        <w:tc>
          <w:tcPr>
            <w:tcW w:w="1701" w:type="dxa"/>
          </w:tcPr>
          <w:p w14:paraId="7D55490E" w14:textId="0A9858A1" w:rsidR="00781D30" w:rsidRDefault="000B0AE4" w:rsidP="00144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417" w:type="dxa"/>
          </w:tcPr>
          <w:p w14:paraId="4BE09D17" w14:textId="3D202580" w:rsidR="00781D30" w:rsidRDefault="00ED6701" w:rsidP="00144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57" w:type="dxa"/>
          </w:tcPr>
          <w:p w14:paraId="02F750B4" w14:textId="773A5F5A" w:rsidR="00781D30" w:rsidRDefault="00045249" w:rsidP="00144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Phased out</w:t>
            </w:r>
          </w:p>
        </w:tc>
      </w:tr>
      <w:tr w:rsidR="000B0AE4" w14:paraId="029CE32F" w14:textId="77777777" w:rsidTr="009A0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B4438F0" w14:textId="2FED5D99" w:rsidR="000B0AE4" w:rsidRPr="00C75617" w:rsidRDefault="00CD487F" w:rsidP="00144820">
            <w:pPr>
              <w:rPr>
                <w:b w:val="0"/>
                <w:bCs w:val="0"/>
              </w:rPr>
            </w:pPr>
            <w:r w:rsidRPr="00C75617">
              <w:rPr>
                <w:b w:val="0"/>
                <w:bCs w:val="0"/>
              </w:rPr>
              <w:t xml:space="preserve">10 </w:t>
            </w:r>
            <w:r w:rsidR="000F246C" w:rsidRPr="00C75617">
              <w:rPr>
                <w:b w:val="0"/>
                <w:bCs w:val="0"/>
              </w:rPr>
              <w:t>End User</w:t>
            </w:r>
            <w:r w:rsidR="000B0AE4" w:rsidRPr="00C75617">
              <w:rPr>
                <w:b w:val="0"/>
                <w:bCs w:val="0"/>
              </w:rPr>
              <w:t xml:space="preserve"> Identification</w:t>
            </w:r>
            <w:r w:rsidR="00C75617" w:rsidRPr="00C75617">
              <w:rPr>
                <w:b w:val="0"/>
                <w:bCs w:val="0"/>
              </w:rPr>
              <w:t xml:space="preserve"> guidance note </w:t>
            </w:r>
          </w:p>
        </w:tc>
        <w:tc>
          <w:tcPr>
            <w:tcW w:w="1701" w:type="dxa"/>
          </w:tcPr>
          <w:p w14:paraId="43491399" w14:textId="7E7B8FB1" w:rsidR="000B0AE4" w:rsidRDefault="00ED6701" w:rsidP="00144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417" w:type="dxa"/>
          </w:tcPr>
          <w:p w14:paraId="6581BF34" w14:textId="4417E7F0" w:rsidR="000B0AE4" w:rsidRDefault="00ED6701" w:rsidP="00144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557" w:type="dxa"/>
          </w:tcPr>
          <w:p w14:paraId="3D9119F0" w14:textId="41EB3CAC" w:rsidR="000B0AE4" w:rsidRDefault="000B0AE4" w:rsidP="00144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bookmarkEnd w:id="4"/>
    </w:tbl>
    <w:p w14:paraId="4298DA9B" w14:textId="77777777" w:rsidR="00580489" w:rsidRPr="00580489" w:rsidRDefault="00580489" w:rsidP="00580489"/>
    <w:p w14:paraId="34798702" w14:textId="01C7C489" w:rsidR="000F5C54" w:rsidRDefault="000F5C54" w:rsidP="000F5C54">
      <w:pPr>
        <w:pStyle w:val="Heading3"/>
      </w:pPr>
      <w:r>
        <w:lastRenderedPageBreak/>
        <w:t>Further information</w:t>
      </w:r>
    </w:p>
    <w:p w14:paraId="1868BAE8" w14:textId="61881874" w:rsidR="00B53071" w:rsidRDefault="00B53071" w:rsidP="003043F0">
      <w:r>
        <w:t>Whilst most SPs won’t be governed by these documents or guidelines, they may provide useful information on best practice.</w:t>
      </w:r>
    </w:p>
    <w:p w14:paraId="31FBC5F7" w14:textId="19297D7A" w:rsidR="00B53071" w:rsidRDefault="009A0D34" w:rsidP="001D7AAB">
      <w:pPr>
        <w:pStyle w:val="Bulletedlist1"/>
      </w:pPr>
      <w:hyperlink r:id="rId28" w:history="1">
        <w:r w:rsidR="009424B6">
          <w:rPr>
            <w:rStyle w:val="Hyperlink"/>
          </w:rPr>
          <w:t>Australia - AUSTRAC</w:t>
        </w:r>
      </w:hyperlink>
      <w:r w:rsidR="00B53071">
        <w:t xml:space="preserve"> (</w:t>
      </w:r>
      <w:r w:rsidR="00B53071" w:rsidRPr="00B53071">
        <w:t>Customer identification: Know your customer (KYC)</w:t>
      </w:r>
      <w:r w:rsidR="00B53071">
        <w:t xml:space="preserve"> for reporting entities under the </w:t>
      </w:r>
      <w:r w:rsidR="00B53071" w:rsidRPr="001D7AAB">
        <w:rPr>
          <w:i/>
          <w:iCs/>
        </w:rPr>
        <w:t>Anti-Money Laundering and Counter</w:t>
      </w:r>
      <w:r w:rsidR="00FE4B34" w:rsidRPr="001D7AAB">
        <w:rPr>
          <w:i/>
          <w:iCs/>
        </w:rPr>
        <w:t>-</w:t>
      </w:r>
      <w:r w:rsidR="00B53071" w:rsidRPr="001D7AAB">
        <w:rPr>
          <w:i/>
          <w:iCs/>
        </w:rPr>
        <w:t>Terrorism Financing Act</w:t>
      </w:r>
      <w:r w:rsidR="00FE4B34" w:rsidRPr="001D7AAB">
        <w:rPr>
          <w:i/>
          <w:iCs/>
        </w:rPr>
        <w:t xml:space="preserve"> 2006</w:t>
      </w:r>
      <w:r w:rsidR="00B53071">
        <w:t>)</w:t>
      </w:r>
    </w:p>
    <w:p w14:paraId="1ACBBA60" w14:textId="1987CD82" w:rsidR="00B53071" w:rsidRPr="00B53071" w:rsidRDefault="009A0D34" w:rsidP="001D7AAB">
      <w:pPr>
        <w:pStyle w:val="Bulletedlist1"/>
      </w:pPr>
      <w:hyperlink r:id="rId29" w:history="1">
        <w:r w:rsidR="00B53071">
          <w:rPr>
            <w:rStyle w:val="Hyperlink"/>
          </w:rPr>
          <w:t>Australia – Australian Taxation Office</w:t>
        </w:r>
      </w:hyperlink>
      <w:r w:rsidR="00B53071">
        <w:t xml:space="preserve"> (</w:t>
      </w:r>
      <w:r w:rsidR="00B53071" w:rsidRPr="00B53071">
        <w:t>Strengthening client verification guidelines</w:t>
      </w:r>
      <w:r w:rsidR="00FE4B34">
        <w:t xml:space="preserve"> for tax professionals</w:t>
      </w:r>
      <w:r w:rsidR="00B53071">
        <w:t>)</w:t>
      </w:r>
    </w:p>
    <w:p w14:paraId="2A0D8564" w14:textId="590ABF3F" w:rsidR="00B53071" w:rsidRPr="00B53071" w:rsidRDefault="009A0D34" w:rsidP="001D7AAB">
      <w:pPr>
        <w:pStyle w:val="Bulletedlist1"/>
        <w:rPr>
          <w:rStyle w:val="Hyperlink"/>
          <w:color w:val="000000" w:themeColor="text1"/>
          <w:u w:val="none"/>
        </w:rPr>
      </w:pPr>
      <w:hyperlink r:id="rId30" w:history="1">
        <w:r w:rsidR="00B53071" w:rsidRPr="00B53071">
          <w:rPr>
            <w:rStyle w:val="Hyperlink"/>
          </w:rPr>
          <w:t>Australi</w:t>
        </w:r>
        <w:r w:rsidR="00B53071">
          <w:rPr>
            <w:rStyle w:val="Hyperlink"/>
          </w:rPr>
          <w:t>a – Tax Practitioners Board</w:t>
        </w:r>
      </w:hyperlink>
      <w:r w:rsidR="00B53071">
        <w:t xml:space="preserve"> (</w:t>
      </w:r>
      <w:r w:rsidR="00B53071" w:rsidRPr="00B53071">
        <w:t>Proof of identity requirements for client verification</w:t>
      </w:r>
      <w:r w:rsidR="00FE4B34">
        <w:t xml:space="preserve"> for tax practitioners</w:t>
      </w:r>
      <w:r w:rsidR="00B53071">
        <w:t>)</w:t>
      </w:r>
    </w:p>
    <w:p w14:paraId="79B6D38A" w14:textId="1944EBA8" w:rsidR="00FE4B34" w:rsidRDefault="009A0D34" w:rsidP="001D7AAB">
      <w:pPr>
        <w:pStyle w:val="Bulletedlist1"/>
      </w:pPr>
      <w:hyperlink r:id="rId31" w:history="1">
        <w:r w:rsidR="009424B6">
          <w:rPr>
            <w:rStyle w:val="Hyperlink"/>
          </w:rPr>
          <w:t>New Zealand – Financial Markets Authority</w:t>
        </w:r>
      </w:hyperlink>
      <w:r w:rsidR="00B53071">
        <w:rPr>
          <w:rStyle w:val="Hyperlink"/>
          <w:u w:val="none"/>
        </w:rPr>
        <w:t xml:space="preserve"> </w:t>
      </w:r>
      <w:r w:rsidR="00B53071" w:rsidRPr="00B53071">
        <w:rPr>
          <w:rStyle w:val="Hyperlink"/>
          <w:color w:val="auto"/>
          <w:u w:val="none"/>
        </w:rPr>
        <w:t>(</w:t>
      </w:r>
      <w:r w:rsidR="00B53071" w:rsidRPr="00B53071">
        <w:t>Identity Verification Code of Practice for reporting entities</w:t>
      </w:r>
      <w:r w:rsidR="00FE4B34">
        <w:t xml:space="preserve"> under the New Zealand </w:t>
      </w:r>
      <w:r w:rsidR="00FE4B34" w:rsidRPr="00FE4B34">
        <w:rPr>
          <w:i/>
          <w:iCs/>
        </w:rPr>
        <w:t>Anti-</w:t>
      </w:r>
      <w:r w:rsidR="00FE4B34" w:rsidRPr="001D7AAB">
        <w:t>Money</w:t>
      </w:r>
      <w:r w:rsidR="00FE4B34" w:rsidRPr="00FE4B34">
        <w:rPr>
          <w:i/>
          <w:iCs/>
        </w:rPr>
        <w:t xml:space="preserve"> Laundering and Countering Financing of Terrorism Act 2009</w:t>
      </w:r>
      <w:r w:rsidR="00FE4B34">
        <w:t>)</w:t>
      </w:r>
    </w:p>
    <w:p w14:paraId="055BD39B" w14:textId="47168FE7" w:rsidR="000F5C54" w:rsidRPr="006E354F" w:rsidRDefault="009A0D34" w:rsidP="001D7AAB">
      <w:pPr>
        <w:pStyle w:val="Bulletedlist1"/>
      </w:pPr>
      <w:hyperlink r:id="rId32" w:history="1">
        <w:r w:rsidR="00B53071">
          <w:rPr>
            <w:rStyle w:val="Hyperlink"/>
          </w:rPr>
          <w:t>New Zealand – Department of Internal Affairs</w:t>
        </w:r>
      </w:hyperlink>
      <w:r w:rsidR="000F5C54">
        <w:t xml:space="preserve"> </w:t>
      </w:r>
      <w:r w:rsidR="00B53071">
        <w:t xml:space="preserve">(Guideline for accountants for complying with the </w:t>
      </w:r>
      <w:r w:rsidR="00B53071" w:rsidRPr="00FE4B34">
        <w:rPr>
          <w:i/>
          <w:iCs/>
        </w:rPr>
        <w:t>Anti-Money Laundering and Countering Financing of Terrorism Act 2009</w:t>
      </w:r>
      <w:r w:rsidR="00B53071">
        <w:t>)</w:t>
      </w:r>
    </w:p>
    <w:p w14:paraId="2ED18CEB" w14:textId="77777777" w:rsidR="00FA7BBE" w:rsidRDefault="00FA7BBE" w:rsidP="000F5C54">
      <w:pPr>
        <w:rPr>
          <w:sz w:val="26"/>
        </w:rPr>
      </w:pPr>
      <w:r>
        <w:br w:type="page"/>
      </w:r>
    </w:p>
    <w:p w14:paraId="3817E245" w14:textId="77777777" w:rsidR="00C6511F" w:rsidRPr="00701E1F" w:rsidRDefault="00701E1F" w:rsidP="004C0277">
      <w:pPr>
        <w:pStyle w:val="Heading4"/>
      </w:pPr>
      <w:r w:rsidRPr="00701E1F">
        <w:lastRenderedPageBreak/>
        <w:t>Version history</w:t>
      </w:r>
    </w:p>
    <w:tbl>
      <w:tblPr>
        <w:tblStyle w:val="TableGrid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2552"/>
        <w:gridCol w:w="5242"/>
      </w:tblGrid>
      <w:tr w:rsidR="00701E1F" w:rsidRPr="00A862A8" w14:paraId="1652DDEA" w14:textId="77777777" w:rsidTr="00BC20E3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50552D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552" w:type="dxa"/>
          </w:tcPr>
          <w:p w14:paraId="2FE0463D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49F3500D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01E1F" w:rsidRPr="00A862A8" w14:paraId="020774E8" w14:textId="77777777" w:rsidTr="00BC20E3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180FA9" w14:textId="77777777" w:rsidR="00701E1F" w:rsidRPr="00A71EEB" w:rsidRDefault="00701E1F" w:rsidP="00701E1F">
            <w:pPr>
              <w:pStyle w:val="Tabletext"/>
            </w:pPr>
            <w:r w:rsidRPr="00A71EEB">
              <w:t>1.0</w:t>
            </w:r>
          </w:p>
        </w:tc>
        <w:tc>
          <w:tcPr>
            <w:tcW w:w="2552" w:type="dxa"/>
          </w:tcPr>
          <w:p w14:paraId="2A1D7BF8" w14:textId="73401114" w:rsidR="00701E1F" w:rsidRPr="00A71EEB" w:rsidRDefault="00CD3CBD" w:rsidP="00AE0E98">
            <w:pPr>
              <w:pStyle w:val="Tabletext"/>
            </w:pPr>
            <w:r>
              <w:t>1</w:t>
            </w:r>
            <w:r w:rsidR="009D0567">
              <w:t>0</w:t>
            </w:r>
            <w:r w:rsidR="003B10B4">
              <w:t xml:space="preserve"> </w:t>
            </w:r>
            <w:r w:rsidR="009D0567">
              <w:t>June</w:t>
            </w:r>
            <w:r w:rsidR="009D0567">
              <w:t xml:space="preserve"> </w:t>
            </w:r>
            <w:r w:rsidR="003B10B4">
              <w:t>2022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4829AE10" w14:textId="77777777" w:rsidR="00701E1F" w:rsidRPr="00A862A8" w:rsidRDefault="00701E1F" w:rsidP="00AE0E98">
            <w:pPr>
              <w:pStyle w:val="Tabletext"/>
            </w:pPr>
            <w:r>
              <w:t>Initial published version</w:t>
            </w:r>
          </w:p>
        </w:tc>
      </w:tr>
    </w:tbl>
    <w:p w14:paraId="731C9AA1" w14:textId="77777777" w:rsidR="00380CB9" w:rsidRDefault="00380CB9" w:rsidP="00CC7C44"/>
    <w:sectPr w:rsidR="00380CB9" w:rsidSect="00C23038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670E2" w14:textId="77777777" w:rsidR="002327C3" w:rsidRDefault="002327C3" w:rsidP="00B538D7">
      <w:r>
        <w:separator/>
      </w:r>
    </w:p>
  </w:endnote>
  <w:endnote w:type="continuationSeparator" w:id="0">
    <w:p w14:paraId="3E33580A" w14:textId="77777777" w:rsidR="002327C3" w:rsidRDefault="002327C3" w:rsidP="00B538D7">
      <w:r>
        <w:continuationSeparator/>
      </w:r>
    </w:p>
  </w:endnote>
  <w:endnote w:type="continuationNotice" w:id="1">
    <w:p w14:paraId="78C1CA62" w14:textId="77777777" w:rsidR="002327C3" w:rsidRDefault="002327C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4B7D6" w14:textId="4CC5F14D" w:rsidR="002327C3" w:rsidRDefault="002327C3" w:rsidP="0024029D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1AED397A" w14:textId="755E7719" w:rsidR="002327C3" w:rsidRPr="002B0C38" w:rsidRDefault="009A0D34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sdt>
      <w:sdtPr>
        <w:rPr>
          <w:rStyle w:val="Classification"/>
        </w:rPr>
        <w:alias w:val="Classification"/>
        <w:tag w:val=""/>
        <w:id w:val="-113379517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9D0567">
          <w:rPr>
            <w:rStyle w:val="Classification"/>
          </w:rPr>
          <w:t>OFFICAL</w:t>
        </w:r>
      </w:sdtContent>
    </w:sdt>
    <w:r w:rsidR="002327C3">
      <w:rPr>
        <w:rStyle w:val="Classification"/>
      </w:rPr>
      <w:t xml:space="preserve"> </w:t>
    </w:r>
    <w:r w:rsidR="002327C3" w:rsidRPr="0044347B">
      <w:rPr>
        <w:lang w:val="en-US"/>
      </w:rPr>
      <w:t xml:space="preserve"> </w:t>
    </w:r>
    <w:sdt>
      <w:sdtPr>
        <w:rPr>
          <w:lang w:val="en-US"/>
        </w:rPr>
        <w:alias w:val="Internal/External"/>
        <w:tag w:val="Internal/External"/>
        <w:id w:val="1830472434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 w:rsidR="002327C3">
          <w:rPr>
            <w:lang w:val="en-US"/>
          </w:rPr>
          <w:t>External</w:t>
        </w:r>
      </w:sdtContent>
    </w:sdt>
    <w:r w:rsidR="002327C3">
      <w:rPr>
        <w:lang w:val="en-US"/>
      </w:rPr>
      <w:tab/>
    </w:r>
    <w:r w:rsidR="002327C3" w:rsidRPr="00F67130">
      <w:rPr>
        <w:noProof/>
        <w:sz w:val="20"/>
        <w:lang w:val="en-US"/>
      </w:rPr>
      <w:fldChar w:fldCharType="begin"/>
    </w:r>
    <w:r w:rsidR="002327C3" w:rsidRPr="00F67130">
      <w:rPr>
        <w:noProof/>
        <w:sz w:val="20"/>
        <w:lang w:val="en-US"/>
      </w:rPr>
      <w:instrText xml:space="preserve"> </w:instrText>
    </w:r>
    <w:r w:rsidR="002327C3">
      <w:rPr>
        <w:noProof/>
        <w:sz w:val="20"/>
        <w:lang w:val="en-US"/>
      </w:rPr>
      <w:instrText>PAGE</w:instrText>
    </w:r>
    <w:r w:rsidR="002327C3" w:rsidRPr="00F67130">
      <w:rPr>
        <w:noProof/>
        <w:sz w:val="20"/>
        <w:lang w:val="en-US"/>
      </w:rPr>
      <w:instrText xml:space="preserve">   \* MERGEFORMAT </w:instrText>
    </w:r>
    <w:r w:rsidR="002327C3" w:rsidRPr="00F67130">
      <w:rPr>
        <w:noProof/>
        <w:sz w:val="20"/>
        <w:lang w:val="en-US"/>
      </w:rPr>
      <w:fldChar w:fldCharType="separate"/>
    </w:r>
    <w:r w:rsidR="002327C3" w:rsidRPr="00A71EEB">
      <w:rPr>
        <w:caps w:val="0"/>
        <w:noProof/>
        <w:sz w:val="20"/>
        <w:lang w:val="en-US"/>
      </w:rPr>
      <w:t>5</w:t>
    </w:r>
    <w:r w:rsidR="002327C3"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08D36" w14:textId="77777777" w:rsidR="002327C3" w:rsidRPr="002B0C38" w:rsidRDefault="002327C3" w:rsidP="00DF5A0D">
    <w:pPr>
      <w:pStyle w:val="Footer"/>
      <w:tabs>
        <w:tab w:val="clear" w:pos="4513"/>
        <w:tab w:val="clear" w:pos="9026"/>
        <w:tab w:val="right" w:pos="9923"/>
      </w:tabs>
      <w:ind w:left="0"/>
      <w:rPr>
        <w:lang w:val="en-US"/>
      </w:rPr>
    </w:pPr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 w:rsidRPr="00F67130">
      <w:rPr>
        <w:noProof/>
        <w:sz w:val="20"/>
        <w:lang w:val="en-US"/>
      </w:rPr>
      <w:instrText xml:space="preserve"> </w:instrText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Pr="00A71EEB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C78B0" w14:textId="77777777" w:rsidR="002327C3" w:rsidRDefault="002327C3" w:rsidP="00B538D7">
      <w:r>
        <w:separator/>
      </w:r>
    </w:p>
  </w:footnote>
  <w:footnote w:type="continuationSeparator" w:id="0">
    <w:p w14:paraId="23E20409" w14:textId="77777777" w:rsidR="002327C3" w:rsidRDefault="002327C3" w:rsidP="00B538D7">
      <w:r>
        <w:continuationSeparator/>
      </w:r>
    </w:p>
  </w:footnote>
  <w:footnote w:type="continuationNotice" w:id="1">
    <w:p w14:paraId="0BDF20C4" w14:textId="77777777" w:rsidR="002327C3" w:rsidRDefault="002327C3">
      <w:pPr>
        <w:spacing w:before="0" w:line="240" w:lineRule="auto"/>
      </w:pPr>
    </w:p>
  </w:footnote>
  <w:footnote w:id="2">
    <w:p w14:paraId="5103A30B" w14:textId="69E40F03" w:rsidR="00F00155" w:rsidRDefault="00F001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An Introduction to the Global Location Number (GLN) (gs1us.org)</w:t>
        </w:r>
      </w:hyperlink>
    </w:p>
  </w:footnote>
  <w:footnote w:id="3">
    <w:p w14:paraId="0092305C" w14:textId="77777777" w:rsidR="008E23B6" w:rsidRDefault="008E23B6" w:rsidP="008E23B6">
      <w:pPr>
        <w:pStyle w:val="FootnoteText"/>
      </w:pPr>
      <w:r>
        <w:rPr>
          <w:rStyle w:val="FootnoteReference"/>
        </w:rPr>
        <w:footnoteRef/>
      </w:r>
      <w:r>
        <w:t xml:space="preserve"> Note: </w:t>
      </w:r>
      <w:r w:rsidRPr="00294E25">
        <w:t xml:space="preserve">From 1 November 2023, ABN Lookup will </w:t>
      </w:r>
      <w:hyperlink r:id="rId2" w:history="1">
        <w:r w:rsidRPr="00294E25">
          <w:rPr>
            <w:rStyle w:val="Hyperlink"/>
          </w:rPr>
          <w:t>not display trading names</w:t>
        </w:r>
      </w:hyperlink>
      <w:r w:rsidRPr="00294E25">
        <w:t xml:space="preserve"> and will only display registered business names.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F3DEB" w14:textId="77CA725D" w:rsidR="002327C3" w:rsidRDefault="009D0567" w:rsidP="00C23038">
    <w:pPr>
      <w:pStyle w:val="ClassificationInfo"/>
      <w:rPr>
        <w:rStyle w:val="ClassificationBody"/>
      </w:rPr>
    </w:pPr>
    <w:sdt>
      <w:sdtPr>
        <w:rPr>
          <w:rStyle w:val="ClassificationBody"/>
        </w:rPr>
        <w:alias w:val="Classification"/>
        <w:tag w:val=""/>
        <w:id w:val="-167618435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>
          <w:rPr>
            <w:rStyle w:val="ClassificationBody"/>
          </w:rPr>
          <w:t>OFFICAL</w:t>
        </w:r>
      </w:sdtContent>
    </w:sdt>
  </w:p>
  <w:p w14:paraId="4EE714D2" w14:textId="77777777" w:rsidR="002327C3" w:rsidRPr="00EB0912" w:rsidRDefault="009A0D34" w:rsidP="00C23038">
    <w:pPr>
      <w:pStyle w:val="ClassificationInfo"/>
      <w:rPr>
        <w:color w:val="auto"/>
      </w:rPr>
    </w:pPr>
    <w:sdt>
      <w:sdtPr>
        <w:rPr>
          <w:rStyle w:val="ClassificationBody"/>
          <w:color w:val="auto"/>
        </w:rPr>
        <w:alias w:val="DLM"/>
        <w:tag w:val=""/>
        <w:id w:val="-1792819443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2327C3">
          <w:rPr>
            <w:rStyle w:val="ClassificationBody"/>
            <w:color w:val="auto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C16AE" w14:textId="77777777" w:rsidR="002327C3" w:rsidRDefault="002327C3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76B4EEFE" wp14:editId="16417DB6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7" name="Picture 7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69807745" wp14:editId="006C8F33">
          <wp:simplePos x="0" y="0"/>
          <wp:positionH relativeFrom="column">
            <wp:posOffset>3862070</wp:posOffset>
          </wp:positionH>
          <wp:positionV relativeFrom="paragraph">
            <wp:posOffset>288925</wp:posOffset>
          </wp:positionV>
          <wp:extent cx="2188845" cy="582295"/>
          <wp:effectExtent l="0" t="0" r="1905" b="0"/>
          <wp:wrapNone/>
          <wp:docPr id="9" name="Picture 9" descr="C:\Users\uct5k\Desktop\4x\NewZealand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ct5k\Desktop\4x\NewZealand crest_rev@4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845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7B28">
      <w:rPr>
        <w:noProof/>
        <w:color w:val="auto"/>
        <w:lang w:eastAsia="en-A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FBE580A" wp14:editId="24446089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984000" cy="1080000"/>
              <wp:effectExtent l="0" t="0" r="7620" b="6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00" cy="10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53D995" id="Rectangle 4" o:spid="_x0000_s1026" style="position:absolute;margin-left:22.5pt;margin-top:22.5pt;width:549.9pt;height:85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2933"/>
    <w:multiLevelType w:val="hybridMultilevel"/>
    <w:tmpl w:val="7B6C7B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A9456A"/>
    <w:multiLevelType w:val="hybridMultilevel"/>
    <w:tmpl w:val="5588CDD8"/>
    <w:lvl w:ilvl="0" w:tplc="0C09001B">
      <w:start w:val="1"/>
      <w:numFmt w:val="lowerRoman"/>
      <w:lvlText w:val="%1."/>
      <w:lvlJc w:val="right"/>
      <w:pPr>
        <w:ind w:left="1233" w:hanging="360"/>
      </w:pPr>
    </w:lvl>
    <w:lvl w:ilvl="1" w:tplc="0C090019" w:tentative="1">
      <w:start w:val="1"/>
      <w:numFmt w:val="lowerLetter"/>
      <w:lvlText w:val="%2."/>
      <w:lvlJc w:val="left"/>
      <w:pPr>
        <w:ind w:left="1953" w:hanging="360"/>
      </w:pPr>
    </w:lvl>
    <w:lvl w:ilvl="2" w:tplc="0C09001B" w:tentative="1">
      <w:start w:val="1"/>
      <w:numFmt w:val="lowerRoman"/>
      <w:lvlText w:val="%3."/>
      <w:lvlJc w:val="right"/>
      <w:pPr>
        <w:ind w:left="2673" w:hanging="180"/>
      </w:pPr>
    </w:lvl>
    <w:lvl w:ilvl="3" w:tplc="0C09000F" w:tentative="1">
      <w:start w:val="1"/>
      <w:numFmt w:val="decimal"/>
      <w:lvlText w:val="%4."/>
      <w:lvlJc w:val="left"/>
      <w:pPr>
        <w:ind w:left="3393" w:hanging="360"/>
      </w:pPr>
    </w:lvl>
    <w:lvl w:ilvl="4" w:tplc="0C090019" w:tentative="1">
      <w:start w:val="1"/>
      <w:numFmt w:val="lowerLetter"/>
      <w:lvlText w:val="%5."/>
      <w:lvlJc w:val="left"/>
      <w:pPr>
        <w:ind w:left="4113" w:hanging="360"/>
      </w:pPr>
    </w:lvl>
    <w:lvl w:ilvl="5" w:tplc="0C09001B" w:tentative="1">
      <w:start w:val="1"/>
      <w:numFmt w:val="lowerRoman"/>
      <w:lvlText w:val="%6."/>
      <w:lvlJc w:val="right"/>
      <w:pPr>
        <w:ind w:left="4833" w:hanging="180"/>
      </w:pPr>
    </w:lvl>
    <w:lvl w:ilvl="6" w:tplc="0C09000F" w:tentative="1">
      <w:start w:val="1"/>
      <w:numFmt w:val="decimal"/>
      <w:lvlText w:val="%7."/>
      <w:lvlJc w:val="left"/>
      <w:pPr>
        <w:ind w:left="5553" w:hanging="360"/>
      </w:pPr>
    </w:lvl>
    <w:lvl w:ilvl="7" w:tplc="0C090019" w:tentative="1">
      <w:start w:val="1"/>
      <w:numFmt w:val="lowerLetter"/>
      <w:lvlText w:val="%8."/>
      <w:lvlJc w:val="left"/>
      <w:pPr>
        <w:ind w:left="6273" w:hanging="360"/>
      </w:pPr>
    </w:lvl>
    <w:lvl w:ilvl="8" w:tplc="0C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040D1125"/>
    <w:multiLevelType w:val="hybridMultilevel"/>
    <w:tmpl w:val="ECC047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BE3096"/>
    <w:multiLevelType w:val="hybridMultilevel"/>
    <w:tmpl w:val="457E5B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865294"/>
    <w:multiLevelType w:val="hybridMultilevel"/>
    <w:tmpl w:val="67663D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6" w15:restartNumberingAfterBreak="0">
    <w:nsid w:val="375503DF"/>
    <w:multiLevelType w:val="hybridMultilevel"/>
    <w:tmpl w:val="7FBCB9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9A7A54"/>
    <w:multiLevelType w:val="hybridMultilevel"/>
    <w:tmpl w:val="962ED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353DAA"/>
    <w:multiLevelType w:val="hybridMultilevel"/>
    <w:tmpl w:val="D2024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24BB6"/>
    <w:multiLevelType w:val="hybridMultilevel"/>
    <w:tmpl w:val="5588CDD8"/>
    <w:lvl w:ilvl="0" w:tplc="0C09001B">
      <w:start w:val="1"/>
      <w:numFmt w:val="lowerRoman"/>
      <w:lvlText w:val="%1."/>
      <w:lvlJc w:val="right"/>
      <w:pPr>
        <w:ind w:left="1233" w:hanging="360"/>
      </w:pPr>
    </w:lvl>
    <w:lvl w:ilvl="1" w:tplc="0C090019" w:tentative="1">
      <w:start w:val="1"/>
      <w:numFmt w:val="lowerLetter"/>
      <w:lvlText w:val="%2."/>
      <w:lvlJc w:val="left"/>
      <w:pPr>
        <w:ind w:left="1953" w:hanging="360"/>
      </w:pPr>
    </w:lvl>
    <w:lvl w:ilvl="2" w:tplc="0C09001B" w:tentative="1">
      <w:start w:val="1"/>
      <w:numFmt w:val="lowerRoman"/>
      <w:lvlText w:val="%3."/>
      <w:lvlJc w:val="right"/>
      <w:pPr>
        <w:ind w:left="2673" w:hanging="180"/>
      </w:pPr>
    </w:lvl>
    <w:lvl w:ilvl="3" w:tplc="0C09000F" w:tentative="1">
      <w:start w:val="1"/>
      <w:numFmt w:val="decimal"/>
      <w:lvlText w:val="%4."/>
      <w:lvlJc w:val="left"/>
      <w:pPr>
        <w:ind w:left="3393" w:hanging="360"/>
      </w:pPr>
    </w:lvl>
    <w:lvl w:ilvl="4" w:tplc="0C090019" w:tentative="1">
      <w:start w:val="1"/>
      <w:numFmt w:val="lowerLetter"/>
      <w:lvlText w:val="%5."/>
      <w:lvlJc w:val="left"/>
      <w:pPr>
        <w:ind w:left="4113" w:hanging="360"/>
      </w:pPr>
    </w:lvl>
    <w:lvl w:ilvl="5" w:tplc="0C09001B" w:tentative="1">
      <w:start w:val="1"/>
      <w:numFmt w:val="lowerRoman"/>
      <w:lvlText w:val="%6."/>
      <w:lvlJc w:val="right"/>
      <w:pPr>
        <w:ind w:left="4833" w:hanging="180"/>
      </w:pPr>
    </w:lvl>
    <w:lvl w:ilvl="6" w:tplc="0C09000F" w:tentative="1">
      <w:start w:val="1"/>
      <w:numFmt w:val="decimal"/>
      <w:lvlText w:val="%7."/>
      <w:lvlJc w:val="left"/>
      <w:pPr>
        <w:ind w:left="5553" w:hanging="360"/>
      </w:pPr>
    </w:lvl>
    <w:lvl w:ilvl="7" w:tplc="0C090019" w:tentative="1">
      <w:start w:val="1"/>
      <w:numFmt w:val="lowerLetter"/>
      <w:lvlText w:val="%8."/>
      <w:lvlJc w:val="left"/>
      <w:pPr>
        <w:ind w:left="6273" w:hanging="360"/>
      </w:pPr>
    </w:lvl>
    <w:lvl w:ilvl="8" w:tplc="0C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0" w15:restartNumberingAfterBreak="0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11" w15:restartNumberingAfterBreak="0">
    <w:nsid w:val="5AF10B33"/>
    <w:multiLevelType w:val="hybridMultilevel"/>
    <w:tmpl w:val="89DA07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170BC"/>
    <w:multiLevelType w:val="hybridMultilevel"/>
    <w:tmpl w:val="3DE617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6C0643"/>
    <w:multiLevelType w:val="hybridMultilevel"/>
    <w:tmpl w:val="925409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B3FEA"/>
    <w:multiLevelType w:val="hybridMultilevel"/>
    <w:tmpl w:val="456CA8A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6797940"/>
    <w:multiLevelType w:val="multilevel"/>
    <w:tmpl w:val="9E1C10C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3685F7" w:themeColor="accent3"/>
      </w:rPr>
    </w:lvl>
    <w:lvl w:ilvl="1">
      <w:start w:val="1"/>
      <w:numFmt w:val="bullet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16" w15:restartNumberingAfterBreak="0">
    <w:nsid w:val="6C3208CE"/>
    <w:multiLevelType w:val="hybridMultilevel"/>
    <w:tmpl w:val="D22EB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E0889"/>
    <w:multiLevelType w:val="hybridMultilevel"/>
    <w:tmpl w:val="22AEB4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5505F6"/>
    <w:multiLevelType w:val="hybridMultilevel"/>
    <w:tmpl w:val="5588CDD8"/>
    <w:lvl w:ilvl="0" w:tplc="0C09001B">
      <w:start w:val="1"/>
      <w:numFmt w:val="lowerRoman"/>
      <w:lvlText w:val="%1."/>
      <w:lvlJc w:val="right"/>
      <w:pPr>
        <w:ind w:left="1233" w:hanging="360"/>
      </w:pPr>
    </w:lvl>
    <w:lvl w:ilvl="1" w:tplc="0C090019" w:tentative="1">
      <w:start w:val="1"/>
      <w:numFmt w:val="lowerLetter"/>
      <w:lvlText w:val="%2."/>
      <w:lvlJc w:val="left"/>
      <w:pPr>
        <w:ind w:left="1953" w:hanging="360"/>
      </w:pPr>
    </w:lvl>
    <w:lvl w:ilvl="2" w:tplc="0C09001B" w:tentative="1">
      <w:start w:val="1"/>
      <w:numFmt w:val="lowerRoman"/>
      <w:lvlText w:val="%3."/>
      <w:lvlJc w:val="right"/>
      <w:pPr>
        <w:ind w:left="2673" w:hanging="180"/>
      </w:pPr>
    </w:lvl>
    <w:lvl w:ilvl="3" w:tplc="0C09000F" w:tentative="1">
      <w:start w:val="1"/>
      <w:numFmt w:val="decimal"/>
      <w:lvlText w:val="%4."/>
      <w:lvlJc w:val="left"/>
      <w:pPr>
        <w:ind w:left="3393" w:hanging="360"/>
      </w:pPr>
    </w:lvl>
    <w:lvl w:ilvl="4" w:tplc="0C090019" w:tentative="1">
      <w:start w:val="1"/>
      <w:numFmt w:val="lowerLetter"/>
      <w:lvlText w:val="%5."/>
      <w:lvlJc w:val="left"/>
      <w:pPr>
        <w:ind w:left="4113" w:hanging="360"/>
      </w:pPr>
    </w:lvl>
    <w:lvl w:ilvl="5" w:tplc="0C09001B" w:tentative="1">
      <w:start w:val="1"/>
      <w:numFmt w:val="lowerRoman"/>
      <w:lvlText w:val="%6."/>
      <w:lvlJc w:val="right"/>
      <w:pPr>
        <w:ind w:left="4833" w:hanging="180"/>
      </w:pPr>
    </w:lvl>
    <w:lvl w:ilvl="6" w:tplc="0C09000F" w:tentative="1">
      <w:start w:val="1"/>
      <w:numFmt w:val="decimal"/>
      <w:lvlText w:val="%7."/>
      <w:lvlJc w:val="left"/>
      <w:pPr>
        <w:ind w:left="5553" w:hanging="360"/>
      </w:pPr>
    </w:lvl>
    <w:lvl w:ilvl="7" w:tplc="0C090019" w:tentative="1">
      <w:start w:val="1"/>
      <w:numFmt w:val="lowerLetter"/>
      <w:lvlText w:val="%8."/>
      <w:lvlJc w:val="left"/>
      <w:pPr>
        <w:ind w:left="6273" w:hanging="360"/>
      </w:pPr>
    </w:lvl>
    <w:lvl w:ilvl="8" w:tplc="0C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9" w15:restartNumberingAfterBreak="0">
    <w:nsid w:val="7F3D1AC6"/>
    <w:multiLevelType w:val="multilevel"/>
    <w:tmpl w:val="B166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04"/>
        </w:tabs>
        <w:ind w:left="7804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10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4">
    <w:abstractNumId w:val="19"/>
  </w:num>
  <w:num w:numId="5">
    <w:abstractNumId w:val="12"/>
  </w:num>
  <w:num w:numId="6">
    <w:abstractNumId w:val="14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13"/>
  </w:num>
  <w:num w:numId="12">
    <w:abstractNumId w:val="11"/>
  </w:num>
  <w:num w:numId="13">
    <w:abstractNumId w:val="15"/>
  </w:num>
  <w:num w:numId="14">
    <w:abstractNumId w:val="10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15">
    <w:abstractNumId w:val="8"/>
  </w:num>
  <w:num w:numId="16">
    <w:abstractNumId w:val="10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17">
    <w:abstractNumId w:val="10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18">
    <w:abstractNumId w:val="3"/>
  </w:num>
  <w:num w:numId="19">
    <w:abstractNumId w:val="1"/>
  </w:num>
  <w:num w:numId="20">
    <w:abstractNumId w:val="18"/>
  </w:num>
  <w:num w:numId="21">
    <w:abstractNumId w:val="9"/>
  </w:num>
  <w:num w:numId="22">
    <w:abstractNumId w:val="6"/>
  </w:num>
  <w:num w:numId="23">
    <w:abstractNumId w:val="17"/>
  </w:num>
  <w:num w:numId="24">
    <w:abstractNumId w:val="7"/>
  </w:num>
  <w:num w:numId="25">
    <w:abstractNumId w:val="10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26">
    <w:abstractNumId w:val="10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27">
    <w:abstractNumId w:val="10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28">
    <w:abstractNumId w:val="10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29">
    <w:abstractNumId w:val="10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oNotTrackFormatting/>
  <w:defaultTabStop w:val="720"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3D"/>
    <w:rsid w:val="00000B16"/>
    <w:rsid w:val="000025E1"/>
    <w:rsid w:val="00002FE6"/>
    <w:rsid w:val="00006A35"/>
    <w:rsid w:val="00011C19"/>
    <w:rsid w:val="00013CE0"/>
    <w:rsid w:val="0001534D"/>
    <w:rsid w:val="00015AE4"/>
    <w:rsid w:val="00022F36"/>
    <w:rsid w:val="00023DF0"/>
    <w:rsid w:val="00026E8D"/>
    <w:rsid w:val="000308CA"/>
    <w:rsid w:val="00031353"/>
    <w:rsid w:val="00031CE5"/>
    <w:rsid w:val="00031D41"/>
    <w:rsid w:val="00032065"/>
    <w:rsid w:val="000343CF"/>
    <w:rsid w:val="00037D78"/>
    <w:rsid w:val="00043D72"/>
    <w:rsid w:val="00045249"/>
    <w:rsid w:val="0005052C"/>
    <w:rsid w:val="00051586"/>
    <w:rsid w:val="000537FF"/>
    <w:rsid w:val="00053B00"/>
    <w:rsid w:val="00056672"/>
    <w:rsid w:val="000643BE"/>
    <w:rsid w:val="000660AE"/>
    <w:rsid w:val="00066301"/>
    <w:rsid w:val="00066507"/>
    <w:rsid w:val="00070A45"/>
    <w:rsid w:val="00070BBC"/>
    <w:rsid w:val="00073034"/>
    <w:rsid w:val="000732FC"/>
    <w:rsid w:val="0008354B"/>
    <w:rsid w:val="000835C2"/>
    <w:rsid w:val="000859D5"/>
    <w:rsid w:val="00085C72"/>
    <w:rsid w:val="0009005F"/>
    <w:rsid w:val="000940C4"/>
    <w:rsid w:val="0009680F"/>
    <w:rsid w:val="00097C3B"/>
    <w:rsid w:val="000A1F14"/>
    <w:rsid w:val="000A3305"/>
    <w:rsid w:val="000A6430"/>
    <w:rsid w:val="000B0AE4"/>
    <w:rsid w:val="000B1B68"/>
    <w:rsid w:val="000B3331"/>
    <w:rsid w:val="000B473B"/>
    <w:rsid w:val="000B6C00"/>
    <w:rsid w:val="000C4925"/>
    <w:rsid w:val="000C7D36"/>
    <w:rsid w:val="000D24C6"/>
    <w:rsid w:val="000D48D6"/>
    <w:rsid w:val="000E0AE1"/>
    <w:rsid w:val="000E0D2F"/>
    <w:rsid w:val="000E1D48"/>
    <w:rsid w:val="000E533A"/>
    <w:rsid w:val="000F1E06"/>
    <w:rsid w:val="000F246C"/>
    <w:rsid w:val="000F28B8"/>
    <w:rsid w:val="000F3766"/>
    <w:rsid w:val="000F5C54"/>
    <w:rsid w:val="000F72E4"/>
    <w:rsid w:val="000F7611"/>
    <w:rsid w:val="001008DB"/>
    <w:rsid w:val="0010233E"/>
    <w:rsid w:val="00103BCB"/>
    <w:rsid w:val="00106993"/>
    <w:rsid w:val="00110561"/>
    <w:rsid w:val="00111F0C"/>
    <w:rsid w:val="001125E5"/>
    <w:rsid w:val="001129C0"/>
    <w:rsid w:val="001226CA"/>
    <w:rsid w:val="00123447"/>
    <w:rsid w:val="00127003"/>
    <w:rsid w:val="00132A9C"/>
    <w:rsid w:val="00137F16"/>
    <w:rsid w:val="00140810"/>
    <w:rsid w:val="00142F34"/>
    <w:rsid w:val="00144820"/>
    <w:rsid w:val="00144D1C"/>
    <w:rsid w:val="00145E2D"/>
    <w:rsid w:val="00146125"/>
    <w:rsid w:val="00150D53"/>
    <w:rsid w:val="00153275"/>
    <w:rsid w:val="00157B49"/>
    <w:rsid w:val="00157BDF"/>
    <w:rsid w:val="001731C8"/>
    <w:rsid w:val="001750CA"/>
    <w:rsid w:val="00175961"/>
    <w:rsid w:val="001763D4"/>
    <w:rsid w:val="001805C8"/>
    <w:rsid w:val="00181967"/>
    <w:rsid w:val="00182778"/>
    <w:rsid w:val="00184802"/>
    <w:rsid w:val="00185A8C"/>
    <w:rsid w:val="00185DBD"/>
    <w:rsid w:val="00191656"/>
    <w:rsid w:val="001972C3"/>
    <w:rsid w:val="001A2C52"/>
    <w:rsid w:val="001B345E"/>
    <w:rsid w:val="001B4E3D"/>
    <w:rsid w:val="001B72B9"/>
    <w:rsid w:val="001B7537"/>
    <w:rsid w:val="001C53CE"/>
    <w:rsid w:val="001D0E18"/>
    <w:rsid w:val="001D18FF"/>
    <w:rsid w:val="001D5459"/>
    <w:rsid w:val="001D6136"/>
    <w:rsid w:val="001D6908"/>
    <w:rsid w:val="001D7AAB"/>
    <w:rsid w:val="001E118C"/>
    <w:rsid w:val="001E1676"/>
    <w:rsid w:val="001E213B"/>
    <w:rsid w:val="001E4622"/>
    <w:rsid w:val="001E53F3"/>
    <w:rsid w:val="001E66CE"/>
    <w:rsid w:val="001E70F6"/>
    <w:rsid w:val="001F03CA"/>
    <w:rsid w:val="001F199E"/>
    <w:rsid w:val="001F2D54"/>
    <w:rsid w:val="00202B62"/>
    <w:rsid w:val="00202F60"/>
    <w:rsid w:val="0020357D"/>
    <w:rsid w:val="00206308"/>
    <w:rsid w:val="002126A7"/>
    <w:rsid w:val="00221DC2"/>
    <w:rsid w:val="00221EA4"/>
    <w:rsid w:val="002237B5"/>
    <w:rsid w:val="00223DD3"/>
    <w:rsid w:val="00224AB1"/>
    <w:rsid w:val="002274AA"/>
    <w:rsid w:val="002327C3"/>
    <w:rsid w:val="00232C83"/>
    <w:rsid w:val="0023407E"/>
    <w:rsid w:val="0023445D"/>
    <w:rsid w:val="00234D54"/>
    <w:rsid w:val="0023679D"/>
    <w:rsid w:val="00240158"/>
    <w:rsid w:val="0024029D"/>
    <w:rsid w:val="00240ED6"/>
    <w:rsid w:val="002425B0"/>
    <w:rsid w:val="00244111"/>
    <w:rsid w:val="00246986"/>
    <w:rsid w:val="00247A6D"/>
    <w:rsid w:val="0025016C"/>
    <w:rsid w:val="002547B1"/>
    <w:rsid w:val="00254A90"/>
    <w:rsid w:val="002573D5"/>
    <w:rsid w:val="00257AFB"/>
    <w:rsid w:val="0026491A"/>
    <w:rsid w:val="00264CC4"/>
    <w:rsid w:val="00266F56"/>
    <w:rsid w:val="0027529D"/>
    <w:rsid w:val="00276038"/>
    <w:rsid w:val="00282773"/>
    <w:rsid w:val="00284962"/>
    <w:rsid w:val="002931E5"/>
    <w:rsid w:val="00293608"/>
    <w:rsid w:val="0029416D"/>
    <w:rsid w:val="0029621F"/>
    <w:rsid w:val="00296FFB"/>
    <w:rsid w:val="002A024B"/>
    <w:rsid w:val="002A16D8"/>
    <w:rsid w:val="002A41E1"/>
    <w:rsid w:val="002A4919"/>
    <w:rsid w:val="002B01DE"/>
    <w:rsid w:val="002B0C38"/>
    <w:rsid w:val="002B0C63"/>
    <w:rsid w:val="002B1D76"/>
    <w:rsid w:val="002B6574"/>
    <w:rsid w:val="002C73F1"/>
    <w:rsid w:val="002D0299"/>
    <w:rsid w:val="002D0B93"/>
    <w:rsid w:val="002D191E"/>
    <w:rsid w:val="002D2ADC"/>
    <w:rsid w:val="002D7BBC"/>
    <w:rsid w:val="002E07C2"/>
    <w:rsid w:val="002E1AE8"/>
    <w:rsid w:val="002E54C6"/>
    <w:rsid w:val="002F465F"/>
    <w:rsid w:val="002F5163"/>
    <w:rsid w:val="002F55D0"/>
    <w:rsid w:val="002F66EF"/>
    <w:rsid w:val="002F7D3C"/>
    <w:rsid w:val="00300CCA"/>
    <w:rsid w:val="00303E65"/>
    <w:rsid w:val="00304059"/>
    <w:rsid w:val="003043F0"/>
    <w:rsid w:val="003103E2"/>
    <w:rsid w:val="00313142"/>
    <w:rsid w:val="003131AB"/>
    <w:rsid w:val="00313552"/>
    <w:rsid w:val="003217BE"/>
    <w:rsid w:val="00323AE6"/>
    <w:rsid w:val="0032539E"/>
    <w:rsid w:val="0034021F"/>
    <w:rsid w:val="003455FF"/>
    <w:rsid w:val="00346DCD"/>
    <w:rsid w:val="003539F5"/>
    <w:rsid w:val="00356A3C"/>
    <w:rsid w:val="00356C32"/>
    <w:rsid w:val="003618DC"/>
    <w:rsid w:val="003641D6"/>
    <w:rsid w:val="00364E76"/>
    <w:rsid w:val="00366219"/>
    <w:rsid w:val="003669B2"/>
    <w:rsid w:val="00374BD5"/>
    <w:rsid w:val="00375583"/>
    <w:rsid w:val="00380CB9"/>
    <w:rsid w:val="003842D0"/>
    <w:rsid w:val="00392CA7"/>
    <w:rsid w:val="0039329B"/>
    <w:rsid w:val="00393DD9"/>
    <w:rsid w:val="00397A6A"/>
    <w:rsid w:val="003A645C"/>
    <w:rsid w:val="003A69A2"/>
    <w:rsid w:val="003B10B4"/>
    <w:rsid w:val="003B2C05"/>
    <w:rsid w:val="003B2DF3"/>
    <w:rsid w:val="003B343D"/>
    <w:rsid w:val="003B3B06"/>
    <w:rsid w:val="003B424F"/>
    <w:rsid w:val="003B606C"/>
    <w:rsid w:val="003C1490"/>
    <w:rsid w:val="003C3C35"/>
    <w:rsid w:val="003C583B"/>
    <w:rsid w:val="003C75EF"/>
    <w:rsid w:val="003D2A40"/>
    <w:rsid w:val="003D3B1D"/>
    <w:rsid w:val="003D50A6"/>
    <w:rsid w:val="003D5DBE"/>
    <w:rsid w:val="003D6896"/>
    <w:rsid w:val="003E525C"/>
    <w:rsid w:val="003E79F5"/>
    <w:rsid w:val="003F2DBB"/>
    <w:rsid w:val="003F47FB"/>
    <w:rsid w:val="00404841"/>
    <w:rsid w:val="00404E9C"/>
    <w:rsid w:val="00407638"/>
    <w:rsid w:val="00412059"/>
    <w:rsid w:val="0041683F"/>
    <w:rsid w:val="00420E15"/>
    <w:rsid w:val="004223B1"/>
    <w:rsid w:val="00422E7C"/>
    <w:rsid w:val="00424787"/>
    <w:rsid w:val="00440F3C"/>
    <w:rsid w:val="00441E79"/>
    <w:rsid w:val="00442B26"/>
    <w:rsid w:val="00445776"/>
    <w:rsid w:val="00447AB3"/>
    <w:rsid w:val="00456D61"/>
    <w:rsid w:val="00457411"/>
    <w:rsid w:val="00457BB0"/>
    <w:rsid w:val="0046116C"/>
    <w:rsid w:val="00463080"/>
    <w:rsid w:val="00465E2B"/>
    <w:rsid w:val="0046613B"/>
    <w:rsid w:val="004725BD"/>
    <w:rsid w:val="00473889"/>
    <w:rsid w:val="00473FC8"/>
    <w:rsid w:val="00476AB0"/>
    <w:rsid w:val="00480424"/>
    <w:rsid w:val="0048268E"/>
    <w:rsid w:val="00483A58"/>
    <w:rsid w:val="004907E2"/>
    <w:rsid w:val="00491B23"/>
    <w:rsid w:val="004A17F8"/>
    <w:rsid w:val="004A33EE"/>
    <w:rsid w:val="004A5F71"/>
    <w:rsid w:val="004A69D1"/>
    <w:rsid w:val="004B35F2"/>
    <w:rsid w:val="004C0277"/>
    <w:rsid w:val="004C2310"/>
    <w:rsid w:val="004C2769"/>
    <w:rsid w:val="004C2AAF"/>
    <w:rsid w:val="004D3DE4"/>
    <w:rsid w:val="004D717D"/>
    <w:rsid w:val="004D7F17"/>
    <w:rsid w:val="004E5283"/>
    <w:rsid w:val="004E76EC"/>
    <w:rsid w:val="004E7736"/>
    <w:rsid w:val="004E7D54"/>
    <w:rsid w:val="004E7F37"/>
    <w:rsid w:val="004F220E"/>
    <w:rsid w:val="004F244C"/>
    <w:rsid w:val="004F6568"/>
    <w:rsid w:val="004F7480"/>
    <w:rsid w:val="0050014A"/>
    <w:rsid w:val="005066D4"/>
    <w:rsid w:val="005114FD"/>
    <w:rsid w:val="005121EC"/>
    <w:rsid w:val="00517A51"/>
    <w:rsid w:val="00523D41"/>
    <w:rsid w:val="0052482A"/>
    <w:rsid w:val="00524C0A"/>
    <w:rsid w:val="005308AB"/>
    <w:rsid w:val="00531B12"/>
    <w:rsid w:val="00533B64"/>
    <w:rsid w:val="005340CC"/>
    <w:rsid w:val="0054562C"/>
    <w:rsid w:val="00546051"/>
    <w:rsid w:val="0055292A"/>
    <w:rsid w:val="00556488"/>
    <w:rsid w:val="005569EA"/>
    <w:rsid w:val="00556C3B"/>
    <w:rsid w:val="00556F59"/>
    <w:rsid w:val="005617B6"/>
    <w:rsid w:val="005623F5"/>
    <w:rsid w:val="00576BE1"/>
    <w:rsid w:val="00580489"/>
    <w:rsid w:val="0058150A"/>
    <w:rsid w:val="005818A7"/>
    <w:rsid w:val="005819D8"/>
    <w:rsid w:val="0058362C"/>
    <w:rsid w:val="00590C47"/>
    <w:rsid w:val="00590E0E"/>
    <w:rsid w:val="00592D5C"/>
    <w:rsid w:val="0059552B"/>
    <w:rsid w:val="00597DDE"/>
    <w:rsid w:val="005A34AF"/>
    <w:rsid w:val="005A4998"/>
    <w:rsid w:val="005A779C"/>
    <w:rsid w:val="005C4DED"/>
    <w:rsid w:val="005C59AC"/>
    <w:rsid w:val="005C7B17"/>
    <w:rsid w:val="005D0462"/>
    <w:rsid w:val="005D0C65"/>
    <w:rsid w:val="005D4361"/>
    <w:rsid w:val="005D4E84"/>
    <w:rsid w:val="005E08FA"/>
    <w:rsid w:val="005E190C"/>
    <w:rsid w:val="005E3976"/>
    <w:rsid w:val="005E73C6"/>
    <w:rsid w:val="005F3DE6"/>
    <w:rsid w:val="00600E83"/>
    <w:rsid w:val="006030BA"/>
    <w:rsid w:val="00603227"/>
    <w:rsid w:val="006046E4"/>
    <w:rsid w:val="00606BA5"/>
    <w:rsid w:val="00607552"/>
    <w:rsid w:val="00607CA6"/>
    <w:rsid w:val="00616EBA"/>
    <w:rsid w:val="00617FB5"/>
    <w:rsid w:val="00621ECC"/>
    <w:rsid w:val="00625F2F"/>
    <w:rsid w:val="00626B43"/>
    <w:rsid w:val="00626FEB"/>
    <w:rsid w:val="00627A51"/>
    <w:rsid w:val="006316ED"/>
    <w:rsid w:val="00631F8F"/>
    <w:rsid w:val="00632C08"/>
    <w:rsid w:val="00634FBE"/>
    <w:rsid w:val="00642261"/>
    <w:rsid w:val="00642EF1"/>
    <w:rsid w:val="0064519D"/>
    <w:rsid w:val="006467B9"/>
    <w:rsid w:val="0064799F"/>
    <w:rsid w:val="00650324"/>
    <w:rsid w:val="00656A71"/>
    <w:rsid w:val="00660332"/>
    <w:rsid w:val="00662C2B"/>
    <w:rsid w:val="00665486"/>
    <w:rsid w:val="00667EAB"/>
    <w:rsid w:val="0067074A"/>
    <w:rsid w:val="006721DA"/>
    <w:rsid w:val="006728EE"/>
    <w:rsid w:val="00672994"/>
    <w:rsid w:val="006739A4"/>
    <w:rsid w:val="00677887"/>
    <w:rsid w:val="00677B28"/>
    <w:rsid w:val="006804C4"/>
    <w:rsid w:val="006806A7"/>
    <w:rsid w:val="00680FFB"/>
    <w:rsid w:val="00684579"/>
    <w:rsid w:val="0068468F"/>
    <w:rsid w:val="006902F1"/>
    <w:rsid w:val="006921B0"/>
    <w:rsid w:val="00692E6F"/>
    <w:rsid w:val="00693A3B"/>
    <w:rsid w:val="00696669"/>
    <w:rsid w:val="00697798"/>
    <w:rsid w:val="006A1F1A"/>
    <w:rsid w:val="006A25FD"/>
    <w:rsid w:val="006A3695"/>
    <w:rsid w:val="006A7A8A"/>
    <w:rsid w:val="006C189E"/>
    <w:rsid w:val="006C2CE5"/>
    <w:rsid w:val="006C2FA3"/>
    <w:rsid w:val="006C34BC"/>
    <w:rsid w:val="006C3D80"/>
    <w:rsid w:val="006D059C"/>
    <w:rsid w:val="006E0351"/>
    <w:rsid w:val="006F1C72"/>
    <w:rsid w:val="006F38E9"/>
    <w:rsid w:val="006F402B"/>
    <w:rsid w:val="006F5536"/>
    <w:rsid w:val="006F6404"/>
    <w:rsid w:val="006F7655"/>
    <w:rsid w:val="006F7B07"/>
    <w:rsid w:val="00700BA2"/>
    <w:rsid w:val="0070166C"/>
    <w:rsid w:val="00701E1F"/>
    <w:rsid w:val="00702F50"/>
    <w:rsid w:val="00710CFC"/>
    <w:rsid w:val="00710DBB"/>
    <w:rsid w:val="00716840"/>
    <w:rsid w:val="00716D9B"/>
    <w:rsid w:val="00716F0A"/>
    <w:rsid w:val="0072030C"/>
    <w:rsid w:val="0072490F"/>
    <w:rsid w:val="00727C0C"/>
    <w:rsid w:val="00730D6C"/>
    <w:rsid w:val="00733C77"/>
    <w:rsid w:val="007359B9"/>
    <w:rsid w:val="0074538A"/>
    <w:rsid w:val="00747A4A"/>
    <w:rsid w:val="00752B84"/>
    <w:rsid w:val="00752C6B"/>
    <w:rsid w:val="00753C52"/>
    <w:rsid w:val="007642FC"/>
    <w:rsid w:val="00765D78"/>
    <w:rsid w:val="00767874"/>
    <w:rsid w:val="00774FE2"/>
    <w:rsid w:val="00775FB6"/>
    <w:rsid w:val="00777FBB"/>
    <w:rsid w:val="00781D30"/>
    <w:rsid w:val="0079248A"/>
    <w:rsid w:val="007A3BB0"/>
    <w:rsid w:val="007A52CF"/>
    <w:rsid w:val="007A619D"/>
    <w:rsid w:val="007A7580"/>
    <w:rsid w:val="007B0F04"/>
    <w:rsid w:val="007B333E"/>
    <w:rsid w:val="007B78ED"/>
    <w:rsid w:val="007C208F"/>
    <w:rsid w:val="007C63F8"/>
    <w:rsid w:val="007C687F"/>
    <w:rsid w:val="007D2BDE"/>
    <w:rsid w:val="007D3D76"/>
    <w:rsid w:val="007D58B0"/>
    <w:rsid w:val="007E2BF6"/>
    <w:rsid w:val="007E3229"/>
    <w:rsid w:val="007E3BDC"/>
    <w:rsid w:val="007E797A"/>
    <w:rsid w:val="007E7CB4"/>
    <w:rsid w:val="007F4199"/>
    <w:rsid w:val="007F4DF2"/>
    <w:rsid w:val="007F6B1B"/>
    <w:rsid w:val="00802A3B"/>
    <w:rsid w:val="00802B80"/>
    <w:rsid w:val="0080779A"/>
    <w:rsid w:val="00813B69"/>
    <w:rsid w:val="008142D0"/>
    <w:rsid w:val="00820F20"/>
    <w:rsid w:val="0082487B"/>
    <w:rsid w:val="00825754"/>
    <w:rsid w:val="00832FF5"/>
    <w:rsid w:val="00833320"/>
    <w:rsid w:val="00835D6E"/>
    <w:rsid w:val="0083647E"/>
    <w:rsid w:val="00836BBD"/>
    <w:rsid w:val="00842EF8"/>
    <w:rsid w:val="00844C2D"/>
    <w:rsid w:val="00850744"/>
    <w:rsid w:val="00850A78"/>
    <w:rsid w:val="00850E1F"/>
    <w:rsid w:val="0085349F"/>
    <w:rsid w:val="00854265"/>
    <w:rsid w:val="00862093"/>
    <w:rsid w:val="00864116"/>
    <w:rsid w:val="008656C7"/>
    <w:rsid w:val="008677BC"/>
    <w:rsid w:val="00870F9B"/>
    <w:rsid w:val="008727A7"/>
    <w:rsid w:val="00872951"/>
    <w:rsid w:val="00877924"/>
    <w:rsid w:val="008827DB"/>
    <w:rsid w:val="00885BCC"/>
    <w:rsid w:val="00886A29"/>
    <w:rsid w:val="008914DB"/>
    <w:rsid w:val="008921DD"/>
    <w:rsid w:val="0089358F"/>
    <w:rsid w:val="00893AB1"/>
    <w:rsid w:val="00894A85"/>
    <w:rsid w:val="00894D21"/>
    <w:rsid w:val="008954E0"/>
    <w:rsid w:val="008A1C28"/>
    <w:rsid w:val="008A387B"/>
    <w:rsid w:val="008A6707"/>
    <w:rsid w:val="008B1A29"/>
    <w:rsid w:val="008B3574"/>
    <w:rsid w:val="008B65E8"/>
    <w:rsid w:val="008B6EC5"/>
    <w:rsid w:val="008C0052"/>
    <w:rsid w:val="008C0196"/>
    <w:rsid w:val="008C08DA"/>
    <w:rsid w:val="008C0972"/>
    <w:rsid w:val="008C1842"/>
    <w:rsid w:val="008C593B"/>
    <w:rsid w:val="008D1BD1"/>
    <w:rsid w:val="008D1FF8"/>
    <w:rsid w:val="008D366D"/>
    <w:rsid w:val="008D7450"/>
    <w:rsid w:val="008E1E86"/>
    <w:rsid w:val="008E23B6"/>
    <w:rsid w:val="008E49CE"/>
    <w:rsid w:val="008E593D"/>
    <w:rsid w:val="008F272B"/>
    <w:rsid w:val="008F5FCE"/>
    <w:rsid w:val="008F6353"/>
    <w:rsid w:val="008F6718"/>
    <w:rsid w:val="00900A5E"/>
    <w:rsid w:val="009033F0"/>
    <w:rsid w:val="00904BC1"/>
    <w:rsid w:val="00905C40"/>
    <w:rsid w:val="0090729C"/>
    <w:rsid w:val="0091099F"/>
    <w:rsid w:val="0091674B"/>
    <w:rsid w:val="0091689F"/>
    <w:rsid w:val="00921355"/>
    <w:rsid w:val="009250C0"/>
    <w:rsid w:val="00927DCE"/>
    <w:rsid w:val="009312E8"/>
    <w:rsid w:val="009345F1"/>
    <w:rsid w:val="009401D2"/>
    <w:rsid w:val="009424B6"/>
    <w:rsid w:val="00942EE7"/>
    <w:rsid w:val="00942EFB"/>
    <w:rsid w:val="00943F73"/>
    <w:rsid w:val="009445EB"/>
    <w:rsid w:val="00961072"/>
    <w:rsid w:val="009657D6"/>
    <w:rsid w:val="00967AC7"/>
    <w:rsid w:val="00970352"/>
    <w:rsid w:val="00972866"/>
    <w:rsid w:val="00973381"/>
    <w:rsid w:val="00973784"/>
    <w:rsid w:val="00985F6E"/>
    <w:rsid w:val="00993252"/>
    <w:rsid w:val="009958A4"/>
    <w:rsid w:val="00996D7B"/>
    <w:rsid w:val="0099716A"/>
    <w:rsid w:val="00997F9E"/>
    <w:rsid w:val="009A0D34"/>
    <w:rsid w:val="009A1567"/>
    <w:rsid w:val="009A25EB"/>
    <w:rsid w:val="009A5BCD"/>
    <w:rsid w:val="009A69FE"/>
    <w:rsid w:val="009B22AA"/>
    <w:rsid w:val="009B438D"/>
    <w:rsid w:val="009B51E2"/>
    <w:rsid w:val="009B528B"/>
    <w:rsid w:val="009B7AFD"/>
    <w:rsid w:val="009C11F8"/>
    <w:rsid w:val="009C3D77"/>
    <w:rsid w:val="009D03E7"/>
    <w:rsid w:val="009D0567"/>
    <w:rsid w:val="009D154A"/>
    <w:rsid w:val="009D3BF6"/>
    <w:rsid w:val="009D5166"/>
    <w:rsid w:val="009D539F"/>
    <w:rsid w:val="009E17A8"/>
    <w:rsid w:val="009E19CC"/>
    <w:rsid w:val="009E4EFE"/>
    <w:rsid w:val="009E750F"/>
    <w:rsid w:val="009F0D93"/>
    <w:rsid w:val="009F1152"/>
    <w:rsid w:val="009F39CC"/>
    <w:rsid w:val="00A0079F"/>
    <w:rsid w:val="00A0273B"/>
    <w:rsid w:val="00A04666"/>
    <w:rsid w:val="00A04D96"/>
    <w:rsid w:val="00A0629B"/>
    <w:rsid w:val="00A06892"/>
    <w:rsid w:val="00A12BC4"/>
    <w:rsid w:val="00A16F8B"/>
    <w:rsid w:val="00A20352"/>
    <w:rsid w:val="00A224D3"/>
    <w:rsid w:val="00A236FA"/>
    <w:rsid w:val="00A246A6"/>
    <w:rsid w:val="00A24ED4"/>
    <w:rsid w:val="00A26786"/>
    <w:rsid w:val="00A27BBC"/>
    <w:rsid w:val="00A27F45"/>
    <w:rsid w:val="00A321AD"/>
    <w:rsid w:val="00A33FA8"/>
    <w:rsid w:val="00A3489D"/>
    <w:rsid w:val="00A34D89"/>
    <w:rsid w:val="00A35A7F"/>
    <w:rsid w:val="00A36DF3"/>
    <w:rsid w:val="00A410F9"/>
    <w:rsid w:val="00A4687A"/>
    <w:rsid w:val="00A47D17"/>
    <w:rsid w:val="00A50969"/>
    <w:rsid w:val="00A60124"/>
    <w:rsid w:val="00A6758A"/>
    <w:rsid w:val="00A67FE5"/>
    <w:rsid w:val="00A707DE"/>
    <w:rsid w:val="00A718F6"/>
    <w:rsid w:val="00A71EEB"/>
    <w:rsid w:val="00A73D67"/>
    <w:rsid w:val="00A7487F"/>
    <w:rsid w:val="00A8217E"/>
    <w:rsid w:val="00A8279D"/>
    <w:rsid w:val="00A84980"/>
    <w:rsid w:val="00A862A8"/>
    <w:rsid w:val="00A87320"/>
    <w:rsid w:val="00A90D1B"/>
    <w:rsid w:val="00A968BE"/>
    <w:rsid w:val="00AA1333"/>
    <w:rsid w:val="00AA2FE5"/>
    <w:rsid w:val="00AA5A8A"/>
    <w:rsid w:val="00AB1537"/>
    <w:rsid w:val="00AC755F"/>
    <w:rsid w:val="00AD54FB"/>
    <w:rsid w:val="00AE0E98"/>
    <w:rsid w:val="00AE13F4"/>
    <w:rsid w:val="00AE1B67"/>
    <w:rsid w:val="00AF1923"/>
    <w:rsid w:val="00AF6A83"/>
    <w:rsid w:val="00AF7ACE"/>
    <w:rsid w:val="00B02CA9"/>
    <w:rsid w:val="00B04A74"/>
    <w:rsid w:val="00B06A46"/>
    <w:rsid w:val="00B07043"/>
    <w:rsid w:val="00B17E06"/>
    <w:rsid w:val="00B267D3"/>
    <w:rsid w:val="00B274D1"/>
    <w:rsid w:val="00B306F7"/>
    <w:rsid w:val="00B36BE8"/>
    <w:rsid w:val="00B46E57"/>
    <w:rsid w:val="00B4796B"/>
    <w:rsid w:val="00B50DB3"/>
    <w:rsid w:val="00B5127F"/>
    <w:rsid w:val="00B53071"/>
    <w:rsid w:val="00B538D7"/>
    <w:rsid w:val="00B630FA"/>
    <w:rsid w:val="00B670EF"/>
    <w:rsid w:val="00B70CC7"/>
    <w:rsid w:val="00B7125D"/>
    <w:rsid w:val="00B81B92"/>
    <w:rsid w:val="00B839CA"/>
    <w:rsid w:val="00B84708"/>
    <w:rsid w:val="00B8660E"/>
    <w:rsid w:val="00B90319"/>
    <w:rsid w:val="00B90BDC"/>
    <w:rsid w:val="00B97AB6"/>
    <w:rsid w:val="00BA0A52"/>
    <w:rsid w:val="00BA1D5C"/>
    <w:rsid w:val="00BA74A4"/>
    <w:rsid w:val="00BB5B23"/>
    <w:rsid w:val="00BB6073"/>
    <w:rsid w:val="00BB6741"/>
    <w:rsid w:val="00BB7040"/>
    <w:rsid w:val="00BC0211"/>
    <w:rsid w:val="00BC093A"/>
    <w:rsid w:val="00BC0FF4"/>
    <w:rsid w:val="00BC20E3"/>
    <w:rsid w:val="00BC4650"/>
    <w:rsid w:val="00BC4ACC"/>
    <w:rsid w:val="00BC508F"/>
    <w:rsid w:val="00BD193D"/>
    <w:rsid w:val="00BD1AB4"/>
    <w:rsid w:val="00BD3972"/>
    <w:rsid w:val="00BD73DA"/>
    <w:rsid w:val="00BE0D56"/>
    <w:rsid w:val="00BE34D3"/>
    <w:rsid w:val="00BE4874"/>
    <w:rsid w:val="00BE6E62"/>
    <w:rsid w:val="00BE7F0F"/>
    <w:rsid w:val="00BF05A1"/>
    <w:rsid w:val="00BF19F1"/>
    <w:rsid w:val="00BF1BBB"/>
    <w:rsid w:val="00C00423"/>
    <w:rsid w:val="00C1067D"/>
    <w:rsid w:val="00C11286"/>
    <w:rsid w:val="00C14B40"/>
    <w:rsid w:val="00C16DFC"/>
    <w:rsid w:val="00C217A8"/>
    <w:rsid w:val="00C21F9F"/>
    <w:rsid w:val="00C22985"/>
    <w:rsid w:val="00C23038"/>
    <w:rsid w:val="00C2579B"/>
    <w:rsid w:val="00C25A5E"/>
    <w:rsid w:val="00C2614E"/>
    <w:rsid w:val="00C2759A"/>
    <w:rsid w:val="00C31282"/>
    <w:rsid w:val="00C31387"/>
    <w:rsid w:val="00C34E81"/>
    <w:rsid w:val="00C45DC3"/>
    <w:rsid w:val="00C50CCA"/>
    <w:rsid w:val="00C56DD2"/>
    <w:rsid w:val="00C56DD9"/>
    <w:rsid w:val="00C56F19"/>
    <w:rsid w:val="00C63F7C"/>
    <w:rsid w:val="00C64550"/>
    <w:rsid w:val="00C6511F"/>
    <w:rsid w:val="00C65749"/>
    <w:rsid w:val="00C65CBB"/>
    <w:rsid w:val="00C71B13"/>
    <w:rsid w:val="00C71D75"/>
    <w:rsid w:val="00C75617"/>
    <w:rsid w:val="00C863D4"/>
    <w:rsid w:val="00C871CF"/>
    <w:rsid w:val="00C878D0"/>
    <w:rsid w:val="00C92FD8"/>
    <w:rsid w:val="00C93AFE"/>
    <w:rsid w:val="00C97C4C"/>
    <w:rsid w:val="00CA00F9"/>
    <w:rsid w:val="00CA360C"/>
    <w:rsid w:val="00CA483A"/>
    <w:rsid w:val="00CA757E"/>
    <w:rsid w:val="00CB0EAD"/>
    <w:rsid w:val="00CB3953"/>
    <w:rsid w:val="00CB6DA3"/>
    <w:rsid w:val="00CB6E0C"/>
    <w:rsid w:val="00CC1512"/>
    <w:rsid w:val="00CC5FA4"/>
    <w:rsid w:val="00CC706C"/>
    <w:rsid w:val="00CC7C44"/>
    <w:rsid w:val="00CD12EE"/>
    <w:rsid w:val="00CD3BF9"/>
    <w:rsid w:val="00CD3CBD"/>
    <w:rsid w:val="00CD40B2"/>
    <w:rsid w:val="00CD487F"/>
    <w:rsid w:val="00CD5925"/>
    <w:rsid w:val="00CE018D"/>
    <w:rsid w:val="00CE557A"/>
    <w:rsid w:val="00CF6D8D"/>
    <w:rsid w:val="00D0283A"/>
    <w:rsid w:val="00D028D0"/>
    <w:rsid w:val="00D04474"/>
    <w:rsid w:val="00D05312"/>
    <w:rsid w:val="00D07216"/>
    <w:rsid w:val="00D07724"/>
    <w:rsid w:val="00D11C04"/>
    <w:rsid w:val="00D11EED"/>
    <w:rsid w:val="00D1410C"/>
    <w:rsid w:val="00D21ABC"/>
    <w:rsid w:val="00D262F8"/>
    <w:rsid w:val="00D303B3"/>
    <w:rsid w:val="00D33A42"/>
    <w:rsid w:val="00D44901"/>
    <w:rsid w:val="00D57F79"/>
    <w:rsid w:val="00D64A5A"/>
    <w:rsid w:val="00D66D37"/>
    <w:rsid w:val="00D677D1"/>
    <w:rsid w:val="00D72025"/>
    <w:rsid w:val="00D73079"/>
    <w:rsid w:val="00D74A71"/>
    <w:rsid w:val="00D7634F"/>
    <w:rsid w:val="00D84BF0"/>
    <w:rsid w:val="00D87181"/>
    <w:rsid w:val="00D904F0"/>
    <w:rsid w:val="00D91378"/>
    <w:rsid w:val="00D927B7"/>
    <w:rsid w:val="00DA6F5A"/>
    <w:rsid w:val="00DB19EC"/>
    <w:rsid w:val="00DB379A"/>
    <w:rsid w:val="00DB3BAF"/>
    <w:rsid w:val="00DB4210"/>
    <w:rsid w:val="00DB5A5F"/>
    <w:rsid w:val="00DB70D9"/>
    <w:rsid w:val="00DC1EB5"/>
    <w:rsid w:val="00DC2ECB"/>
    <w:rsid w:val="00DC4A04"/>
    <w:rsid w:val="00DC7A9B"/>
    <w:rsid w:val="00DD111A"/>
    <w:rsid w:val="00DD1408"/>
    <w:rsid w:val="00DD356D"/>
    <w:rsid w:val="00DD7F6E"/>
    <w:rsid w:val="00DE0DE9"/>
    <w:rsid w:val="00DE1F6B"/>
    <w:rsid w:val="00DE2593"/>
    <w:rsid w:val="00DE3660"/>
    <w:rsid w:val="00DE3CDF"/>
    <w:rsid w:val="00DE45D7"/>
    <w:rsid w:val="00DE59D4"/>
    <w:rsid w:val="00DE6919"/>
    <w:rsid w:val="00DE7762"/>
    <w:rsid w:val="00DF0F5D"/>
    <w:rsid w:val="00DF5A0D"/>
    <w:rsid w:val="00DF79EA"/>
    <w:rsid w:val="00E0688A"/>
    <w:rsid w:val="00E07432"/>
    <w:rsid w:val="00E24385"/>
    <w:rsid w:val="00E319B8"/>
    <w:rsid w:val="00E320F6"/>
    <w:rsid w:val="00E33F03"/>
    <w:rsid w:val="00E3440E"/>
    <w:rsid w:val="00E355A3"/>
    <w:rsid w:val="00E36917"/>
    <w:rsid w:val="00E4341D"/>
    <w:rsid w:val="00E45C1C"/>
    <w:rsid w:val="00E4666A"/>
    <w:rsid w:val="00E47B16"/>
    <w:rsid w:val="00E50B97"/>
    <w:rsid w:val="00E546A3"/>
    <w:rsid w:val="00E55D94"/>
    <w:rsid w:val="00E55E45"/>
    <w:rsid w:val="00E57111"/>
    <w:rsid w:val="00E65A92"/>
    <w:rsid w:val="00E66F08"/>
    <w:rsid w:val="00E710CC"/>
    <w:rsid w:val="00E72E05"/>
    <w:rsid w:val="00E75247"/>
    <w:rsid w:val="00E75C26"/>
    <w:rsid w:val="00E7653D"/>
    <w:rsid w:val="00E84012"/>
    <w:rsid w:val="00E84332"/>
    <w:rsid w:val="00E86BD3"/>
    <w:rsid w:val="00E941E6"/>
    <w:rsid w:val="00EA0724"/>
    <w:rsid w:val="00EA1E6E"/>
    <w:rsid w:val="00EA6BEF"/>
    <w:rsid w:val="00EB05FE"/>
    <w:rsid w:val="00EB55D5"/>
    <w:rsid w:val="00EB6414"/>
    <w:rsid w:val="00EC0281"/>
    <w:rsid w:val="00EC7029"/>
    <w:rsid w:val="00EC757F"/>
    <w:rsid w:val="00ED13D7"/>
    <w:rsid w:val="00ED18F2"/>
    <w:rsid w:val="00ED6701"/>
    <w:rsid w:val="00EE0721"/>
    <w:rsid w:val="00EE4611"/>
    <w:rsid w:val="00EE5B64"/>
    <w:rsid w:val="00EE5BC2"/>
    <w:rsid w:val="00EE62DC"/>
    <w:rsid w:val="00EF0712"/>
    <w:rsid w:val="00EF426C"/>
    <w:rsid w:val="00EF7B3B"/>
    <w:rsid w:val="00F00155"/>
    <w:rsid w:val="00F07EAE"/>
    <w:rsid w:val="00F13D9F"/>
    <w:rsid w:val="00F20478"/>
    <w:rsid w:val="00F22E0F"/>
    <w:rsid w:val="00F242B1"/>
    <w:rsid w:val="00F24895"/>
    <w:rsid w:val="00F34550"/>
    <w:rsid w:val="00F37236"/>
    <w:rsid w:val="00F42540"/>
    <w:rsid w:val="00F42A8C"/>
    <w:rsid w:val="00F44E37"/>
    <w:rsid w:val="00F454C2"/>
    <w:rsid w:val="00F45685"/>
    <w:rsid w:val="00F51B1C"/>
    <w:rsid w:val="00F52DD1"/>
    <w:rsid w:val="00F5341C"/>
    <w:rsid w:val="00F5650E"/>
    <w:rsid w:val="00F608E0"/>
    <w:rsid w:val="00F63C69"/>
    <w:rsid w:val="00F64A33"/>
    <w:rsid w:val="00F64D0E"/>
    <w:rsid w:val="00F7752A"/>
    <w:rsid w:val="00F81BD5"/>
    <w:rsid w:val="00F8265F"/>
    <w:rsid w:val="00F82DC4"/>
    <w:rsid w:val="00F844CC"/>
    <w:rsid w:val="00F91308"/>
    <w:rsid w:val="00F92EEA"/>
    <w:rsid w:val="00F9527F"/>
    <w:rsid w:val="00F95886"/>
    <w:rsid w:val="00FA0462"/>
    <w:rsid w:val="00FA3609"/>
    <w:rsid w:val="00FA5A7B"/>
    <w:rsid w:val="00FA7BB9"/>
    <w:rsid w:val="00FA7BBE"/>
    <w:rsid w:val="00FB0734"/>
    <w:rsid w:val="00FB18D6"/>
    <w:rsid w:val="00FB1A00"/>
    <w:rsid w:val="00FB2D0A"/>
    <w:rsid w:val="00FB3311"/>
    <w:rsid w:val="00FC1D4F"/>
    <w:rsid w:val="00FC7CAC"/>
    <w:rsid w:val="00FD2383"/>
    <w:rsid w:val="00FD23FB"/>
    <w:rsid w:val="00FD3A33"/>
    <w:rsid w:val="00FD3B72"/>
    <w:rsid w:val="00FD62C3"/>
    <w:rsid w:val="00FD7343"/>
    <w:rsid w:val="00FD7DB9"/>
    <w:rsid w:val="00FE1D49"/>
    <w:rsid w:val="00FE2BE2"/>
    <w:rsid w:val="00FE4B34"/>
    <w:rsid w:val="00FF6A39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01"/>
    <o:shapelayout v:ext="edit">
      <o:idmap v:ext="edit" data="1"/>
    </o:shapelayout>
  </w:shapeDefaults>
  <w:decimalSymbol w:val="."/>
  <w:listSeparator w:val=","/>
  <w14:docId w14:val="296A699F"/>
  <w15:docId w15:val="{581C398D-9969-45FC-B9F2-F427DD43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uiPriority="4" w:qFormat="1"/>
    <w:lsdException w:name="heading 4" w:uiPriority="4" w:qFormat="1"/>
    <w:lsdException w:name="heading 5" w:semiHidden="1" w:uiPriority="4" w:qFormat="1"/>
    <w:lsdException w:name="heading 6" w:semiHidden="1" w:uiPriority="4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3" w:unhideWhenUsed="1" w:qFormat="1"/>
    <w:lsdException w:name="annotation text" w:semiHidden="1" w:unhideWhenUsed="1"/>
    <w:lsdException w:name="header" w:uiPriority="49" w:unhideWhenUsed="1"/>
    <w:lsdException w:name="footer" w:uiPriority="49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iPriority="44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7" w:qFormat="1"/>
    <w:lsdException w:name="Salutation" w:semiHidden="1"/>
    <w:lsdException w:name="Date" w:semiHidden="1" w:uiPriority="38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3A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4C0277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4C0277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99"/>
    <w:qFormat/>
    <w:rsid w:val="00296FFB"/>
    <w:pPr>
      <w:ind w:left="720"/>
      <w:contextualSpacing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3F0"/>
    <w:rPr>
      <w:color w:val="605E5C"/>
      <w:shd w:val="clear" w:color="auto" w:fill="E1DFDD"/>
    </w:rPr>
  </w:style>
  <w:style w:type="paragraph" w:customStyle="1" w:styleId="Default">
    <w:name w:val="Default"/>
    <w:rsid w:val="001731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B267D3"/>
    <w:tblPr>
      <w:tblStyleRowBandSize w:val="1"/>
      <w:tblStyleColBandSize w:val="1"/>
      <w:tblBorders>
        <w:top w:val="single" w:sz="4" w:space="0" w:color="CCCCCC" w:themeColor="accent1" w:themeTint="66"/>
        <w:left w:val="single" w:sz="4" w:space="0" w:color="CCCCCC" w:themeColor="accent1" w:themeTint="66"/>
        <w:bottom w:val="single" w:sz="4" w:space="0" w:color="CCCCCC" w:themeColor="accent1" w:themeTint="66"/>
        <w:right w:val="single" w:sz="4" w:space="0" w:color="CCCCCC" w:themeColor="accent1" w:themeTint="66"/>
        <w:insideH w:val="single" w:sz="4" w:space="0" w:color="CCCCCC" w:themeColor="accent1" w:themeTint="66"/>
        <w:insideV w:val="single" w:sz="4" w:space="0" w:color="CCCCC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B26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445776"/>
    <w:rPr>
      <w:rFonts w:asciiTheme="minorHAnsi" w:hAnsiTheme="minorHAnsi"/>
      <w:color w:val="000000" w:themeColor="text1"/>
      <w:sz w:val="22"/>
    </w:rPr>
  </w:style>
  <w:style w:type="table" w:styleId="ListTable2">
    <w:name w:val="List Table 2"/>
    <w:basedOn w:val="TableNormal"/>
    <w:uiPriority w:val="47"/>
    <w:rsid w:val="0023445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5804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A-NZ-PEPPOL/Guidance-documents" TargetMode="External"/><Relationship Id="rId18" Type="http://schemas.openxmlformats.org/officeDocument/2006/relationships/hyperlink" Target="https://abr.business.gov.au/Tools/AtoApp" TargetMode="External"/><Relationship Id="rId26" Type="http://schemas.openxmlformats.org/officeDocument/2006/relationships/hyperlink" Target="https://www.nzbn.govt.nz/manage-your-nzbn/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api.business.govt.nz/api/apis/info?name=NZBN&amp;version=v4&amp;provider=mbiecreator" TargetMode="External"/><Relationship Id="rId34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abr.business.gov.au" TargetMode="External"/><Relationship Id="rId25" Type="http://schemas.openxmlformats.org/officeDocument/2006/relationships/hyperlink" Target="https://mygovid.gov.au/AuthSpa.UI/index.html" TargetMode="External"/><Relationship Id="rId33" Type="http://schemas.openxmlformats.org/officeDocument/2006/relationships/header" Target="header1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abr.business.gov.au/Tools/AbnLookup" TargetMode="External"/><Relationship Id="rId20" Type="http://schemas.openxmlformats.org/officeDocument/2006/relationships/hyperlink" Target="https://www.nzbn.govt.nz/using-the-nzbn/nzbn-services/" TargetMode="External"/><Relationship Id="rId29" Type="http://schemas.openxmlformats.org/officeDocument/2006/relationships/hyperlink" Target="https://www.ato.gov.au/Tax-professionals/Your-practice/Tax-and-BAS-agents/Strengthening-client-verification-guidelines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abr.business.gov.au/Help/AbnFormat" TargetMode="External"/><Relationship Id="rId32" Type="http://schemas.openxmlformats.org/officeDocument/2006/relationships/hyperlink" Target="https://www.dia.govt.nz/AML-CFT-Information-for-Accountants" TargetMode="Externa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abr.business.gov.au/Tools/WebServices" TargetMode="External"/><Relationship Id="rId23" Type="http://schemas.openxmlformats.org/officeDocument/2006/relationships/hyperlink" Target="https://openpeppol.atlassian.net/wiki/spaces/AF/pages/2756771841/New+Peppol+Agreements+and+accompanying+documents" TargetMode="External"/><Relationship Id="rId28" Type="http://schemas.openxmlformats.org/officeDocument/2006/relationships/hyperlink" Target="https://www.austrac.gov.au/business/how-comply-and-report-guidance-and-resources/customer-identification-and-verification/customer-identification-know-your-customer-kyc" TargetMode="External"/><Relationship Id="rId36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s://www.nzbn.govt.nz/" TargetMode="External"/><Relationship Id="rId31" Type="http://schemas.openxmlformats.org/officeDocument/2006/relationships/hyperlink" Target="https://www.fma.govt.nz/compliance/guidance-library/identity-verification-code-of-practice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openpeppol.atlassian.net/wiki/spaces/AF/pages/2756771841/New+Peppol+Agreements+and+accompanying+documents" TargetMode="External"/><Relationship Id="rId22" Type="http://schemas.openxmlformats.org/officeDocument/2006/relationships/hyperlink" Target="https://www.nzbn.govt.nz/using-the-nzbn/nzbn-services/" TargetMode="External"/><Relationship Id="rId27" Type="http://schemas.openxmlformats.org/officeDocument/2006/relationships/hyperlink" Target="https://softwaredevelopers.ato.gov.au/Cloud_Software_Authentication_and_Authorisation" TargetMode="External"/><Relationship Id="rId30" Type="http://schemas.openxmlformats.org/officeDocument/2006/relationships/hyperlink" Target="https://www.tpb.gov.au/tpb-practice-note-tpbpn-52022-proof-identity-requirements-client-verification" TargetMode="External"/><Relationship Id="rId35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br.business.gov.au/FAQ/Names" TargetMode="External"/><Relationship Id="rId1" Type="http://schemas.openxmlformats.org/officeDocument/2006/relationships/hyperlink" Target="https://www.gs1us.org/DesktopModules/Bring2mind/DMX/Download.aspx?Command=Core_Download&amp;EntryId=158&amp;language=en-US&amp;PortalId=0&amp;TabId=134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ql2\Desktop\e-invoicing_Template_Report_A4_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5392DCBE15415E9AB93049E000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0B04-87DC-4773-A082-49DC40F5933E}"/>
      </w:docPartPr>
      <w:docPartBody>
        <w:p w:rsidR="00420142" w:rsidRDefault="00420142">
          <w:pPr>
            <w:pStyle w:val="F15392DCBE15415E9AB93049E000179E"/>
          </w:pPr>
          <w:r w:rsidRPr="0055313B">
            <w:rPr>
              <w:rStyle w:val="Classification"/>
            </w:rPr>
            <w:t>[Classification]</w:t>
          </w:r>
        </w:p>
      </w:docPartBody>
    </w:docPart>
    <w:docPart>
      <w:docPartPr>
        <w:name w:val="D9DADFFC01F14929AAA408DA97587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E668-1FA6-40DF-B60F-8044CDB6C04E}"/>
      </w:docPartPr>
      <w:docPartBody>
        <w:p w:rsidR="00420142" w:rsidRDefault="00420142">
          <w:pPr>
            <w:pStyle w:val="D9DADFFC01F14929AAA408DA97587A05"/>
          </w:pPr>
          <w:r w:rsidRPr="0044347B">
            <w:rPr>
              <w:lang w:val="en-US"/>
            </w:rPr>
            <w:t>[Internal/External]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142"/>
    <w:rsid w:val="000F374C"/>
    <w:rsid w:val="002B5B68"/>
    <w:rsid w:val="00420142"/>
    <w:rsid w:val="00422538"/>
    <w:rsid w:val="00473868"/>
    <w:rsid w:val="00895E62"/>
    <w:rsid w:val="009624C9"/>
    <w:rsid w:val="00B035C6"/>
    <w:rsid w:val="00B126C7"/>
    <w:rsid w:val="00B26409"/>
    <w:rsid w:val="00B32E81"/>
    <w:rsid w:val="00BA55FF"/>
    <w:rsid w:val="00D718DE"/>
    <w:rsid w:val="00D843A1"/>
    <w:rsid w:val="00F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C0729C2EA3439DAFE168BCD9F61F" ma:contentTypeVersion="8" ma:contentTypeDescription="Create a new document." ma:contentTypeScope="" ma:versionID="64c6b1303b20b7ba020785b926adc4c4">
  <xsd:schema xmlns:xsd="http://www.w3.org/2001/XMLSchema" xmlns:xs="http://www.w3.org/2001/XMLSchema" xmlns:p="http://schemas.microsoft.com/office/2006/metadata/properties" xmlns:ns1="http://schemas.microsoft.com/sharepoint/v3" xmlns:ns2="32fbe8f2-534f-40de-947e-601f28edc0c1" xmlns:ns3="68218b3e-2e7c-4c1e-bca2-dc370c1589f5" targetNamespace="http://schemas.microsoft.com/office/2006/metadata/properties" ma:root="true" ma:fieldsID="30935d22493480dcc836119476206008" ns1:_="" ns2:_="" ns3:_="">
    <xsd:import namespace="http://schemas.microsoft.com/sharepoint/v3"/>
    <xsd:import namespace="32fbe8f2-534f-40de-947e-601f28edc0c1"/>
    <xsd:import namespace="68218b3e-2e7c-4c1e-bca2-dc370c1589f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TaxKeywordTaxHTField" minOccurs="0"/>
                <xsd:element ref="ns2:TaxCatchAll" minOccurs="0"/>
                <xsd:element ref="ns3:h027d188b65a4a02979d87d114e12e29" minOccurs="0"/>
                <xsd:element ref="ns3:idb679395e064b8ca6ecefa08efcc15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e8f2-534f-40de-947e-601f28edc0c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Enterprise Keywords" ma:fieldId="{23f27201-bee3-471e-b2e7-b64fd8b7ca38}" ma:taxonomyMulti="true" ma:sspId="d3742e83-a686-4f13-83b5-cf7cb86061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55d261c9-c71c-4954-9a92-2c93b9a76382}" ma:internalName="TaxCatchAll" ma:showField="CatchAllData" ma:web="32fbe8f2-534f-40de-947e-601f28edc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18b3e-2e7c-4c1e-bca2-dc370c1589f5" elementFormDefault="qualified">
    <xsd:import namespace="http://schemas.microsoft.com/office/2006/documentManagement/types"/>
    <xsd:import namespace="http://schemas.microsoft.com/office/infopath/2007/PartnerControls"/>
    <xsd:element name="h027d188b65a4a02979d87d114e12e29" ma:index="17" nillable="true" ma:taxonomy="true" ma:internalName="h027d188b65a4a02979d87d114e12e29" ma:taxonomyFieldName="Topic" ma:displayName="Topic" ma:default="" ma:fieldId="{1027d188-b65a-4a02-979d-87d114e12e29}" ma:taxonomyMulti="true" ma:sspId="d3742e83-a686-4f13-83b5-cf7cb8606158" ma:termSetId="ae095cfb-cc3f-4d82-be11-aa8b26c740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db679395e064b8ca6ecefa08efcc15b" ma:index="19" nillable="true" ma:taxonomy="true" ma:internalName="idb679395e064b8ca6ecefa08efcc15b" ma:taxonomyFieldName="Document_x0020_type" ma:displayName="Document type" ma:default="" ma:fieldId="{2db67939-5e06-4b8c-a6ec-efa08efcc15b}" ma:sspId="d3742e83-a686-4f13-83b5-cf7cb8606158" ma:termSetId="9b62e491-6987-46e1-ba6f-3046a8e3322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2fbe8f2-534f-40de-947e-601f28edc0c1">FNW6PDPTEM6U-303466699-38</_dlc_DocId>
    <TaxCatchAll xmlns="32fbe8f2-534f-40de-947e-601f28edc0c1">
      <Value>1369</Value>
      <Value>150</Value>
    </TaxCatchAll>
    <_dlc_DocIdUrl xmlns="32fbe8f2-534f-40de-947e-601f28edc0c1">
      <Url>http://myato/Communications/_layouts/15/DocIdRedir.aspx?ID=FNW6PDPTEM6U-303466699-38</Url>
      <Description>FNW6PDPTEM6U-303466699-38</Description>
    </_dlc_DocIdUrl>
    <TaxKeywordTaxHTField xmlns="32fbe8f2-534f-40de-947e-601f28edc0c1">
      <Terms xmlns="http://schemas.microsoft.com/office/infopath/2007/PartnerControls"/>
    </TaxKeywordTaxHTField>
    <idb679395e064b8ca6ecefa08efcc15b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59cec208-9237-408c-936e-cc32bcf04ff1</TermId>
        </TermInfo>
      </Terms>
    </idb679395e064b8ca6ecefa08efcc15b>
    <PublishingExpirationDate xmlns="http://schemas.microsoft.com/sharepoint/v3" xsi:nil="true"/>
    <h027d188b65a4a02979d87d114e12e29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202907e3-b9e0-4f13-81ac-90573f7e4576</TermId>
        </TermInfo>
      </Terms>
    </h027d188b65a4a02979d87d114e12e29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root xmlns="www.drdoc.com.au">
  <internalExternal>External</internalExternal>
</root>
</file>

<file path=customXml/itemProps1.xml><?xml version="1.0" encoding="utf-8"?>
<ds:datastoreItem xmlns:ds="http://schemas.openxmlformats.org/officeDocument/2006/customXml" ds:itemID="{653FA800-FDB8-498F-8372-84BE48272A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975AB7-0FB1-43A7-91AF-01FB8EB84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fbe8f2-534f-40de-947e-601f28edc0c1"/>
    <ds:schemaRef ds:uri="68218b3e-2e7c-4c1e-bca2-dc370c158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362E9F-5DC1-4AE6-9821-42BB7D13B93C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68218b3e-2e7c-4c1e-bca2-dc370c1589f5"/>
    <ds:schemaRef ds:uri="http://schemas.microsoft.com/office/2006/documentManagement/types"/>
    <ds:schemaRef ds:uri="http://schemas.microsoft.com/office/infopath/2007/PartnerControls"/>
    <ds:schemaRef ds:uri="32fbe8f2-534f-40de-947e-601f28edc0c1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2515616-DB07-419C-9468-7E88011E34B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8DDA5A1-3516-41FD-91B1-7BCF97652808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e-invoicing_Template_Report_A4_Portrait.dotx</Template>
  <TotalTime>1</TotalTime>
  <Pages>7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</vt:lpstr>
    </vt:vector>
  </TitlesOfParts>
  <Company>ATO</Company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Portrait</dc:title>
  <dc:creator>Chao Wang</dc:creator>
  <cp:lastModifiedBy>Ashleigh Chirnside</cp:lastModifiedBy>
  <cp:revision>2</cp:revision>
  <cp:lastPrinted>2019-09-20T06:33:00Z</cp:lastPrinted>
  <dcterms:created xsi:type="dcterms:W3CDTF">2022-06-10T02:24:00Z</dcterms:created>
  <dcterms:modified xsi:type="dcterms:W3CDTF">2022-06-10T02:24:00Z</dcterms:modified>
  <cp:category>OFFICAL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0x010100A64679C44DADA04984EEB770C4791873|1060299444</vt:lpwstr>
  </property>
  <property fmtid="{D5CDD505-2E9C-101B-9397-08002B2CF9AE}" pid="3" name="ContentTypeId">
    <vt:lpwstr>0x010100C17EC0729C2EA3439DAFE168BCD9F61F</vt:lpwstr>
  </property>
  <property fmtid="{D5CDD505-2E9C-101B-9397-08002B2CF9AE}" pid="4" name="Security Classification">
    <vt:lpwstr>1;#UNCLASSIFIED|1bbb598d-ed8e-4faa-b9b5-c952cc7313f8</vt:lpwstr>
  </property>
  <property fmtid="{D5CDD505-2E9C-101B-9397-08002B2CF9AE}" pid="5" name="ItemRetentionFormula">
    <vt:lpwstr>&lt;formula id="Microsoft.Office.RecordsManagement.PolicyFeatures.Expiration.Formula.BuiltIn"&gt;&lt;number&gt;10&lt;/number&gt;&lt;property&gt;Modified&lt;/property&gt;&lt;propertyId&gt;28cf69c5-fa48-462a-b5cd-27b6f9d2bd5f&lt;/propertyId&gt;&lt;period&gt;years&lt;/period&gt;&lt;/formula&gt;</vt:lpwstr>
  </property>
  <property fmtid="{D5CDD505-2E9C-101B-9397-08002B2CF9AE}" pid="6" name="_dlc_DocIdItemGuid">
    <vt:lpwstr>f26380b2-4360-48fc-98a5-a32cb8d5d2fe</vt:lpwstr>
  </property>
  <property fmtid="{D5CDD505-2E9C-101B-9397-08002B2CF9AE}" pid="7" name="_dlc_ExpireDate">
    <vt:filetime>2026-10-20T00:54:16Z</vt:filetime>
  </property>
  <property fmtid="{D5CDD505-2E9C-101B-9397-08002B2CF9AE}" pid="8" name="TaxKeyword">
    <vt:lpwstr/>
  </property>
  <property fmtid="{D5CDD505-2E9C-101B-9397-08002B2CF9AE}" pid="9" name="Topic">
    <vt:lpwstr>1369;#Communications|202907e3-b9e0-4f13-81ac-90573f7e4576</vt:lpwstr>
  </property>
  <property fmtid="{D5CDD505-2E9C-101B-9397-08002B2CF9AE}" pid="10" name="Document type">
    <vt:lpwstr>150;#Template|59cec208-9237-408c-936e-cc32bcf04ff1</vt:lpwstr>
  </property>
</Properties>
</file>