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68A66" w14:textId="207A2D40" w:rsidR="00A56EEB" w:rsidRPr="00A56EEB" w:rsidRDefault="00A56EEB">
      <w:pPr>
        <w:rPr>
          <w:b/>
          <w:bCs/>
        </w:rPr>
      </w:pPr>
      <w:r w:rsidRPr="00A56EEB">
        <w:rPr>
          <w:b/>
          <w:bCs/>
        </w:rPr>
        <w:t>Notes on Burkina Faso Survey Results</w:t>
      </w:r>
    </w:p>
    <w:p w14:paraId="16F530F2" w14:textId="4E2BA414" w:rsidR="00A64868" w:rsidRDefault="00A56EEB">
      <w:r>
        <w:t>As previously discussed, we noted that there is a sizeable</w:t>
      </w:r>
      <w:r w:rsidR="001B6A10">
        <w:t xml:space="preserve"> livelihood imbalance between the</w:t>
      </w:r>
      <w:r>
        <w:t xml:space="preserve"> households completing the</w:t>
      </w:r>
      <w:r w:rsidR="001B6A10">
        <w:t xml:space="preserve"> F2F and remote surveys</w:t>
      </w:r>
      <w:r>
        <w:t xml:space="preserve">, </w:t>
      </w:r>
      <w:r w:rsidR="001B6A10">
        <w:t>with small farmers representing over 50% of the F2F participants but only 2 of the remote households</w:t>
      </w:r>
      <w:r>
        <w:t xml:space="preserve">. Because small farmers are generally among the most food insecure households, this imbalance is likely to cause confounding and complicate the ability to assess the role of modality </w:t>
      </w:r>
      <w:r w:rsidR="00F605F2">
        <w:t xml:space="preserve">through direct analysis. Additionally, there is a </w:t>
      </w:r>
      <w:r w:rsidR="001B6A10">
        <w:t>very sparse representation of non-agricultural livelihoods</w:t>
      </w:r>
      <w:r w:rsidR="00F605F2">
        <w:t xml:space="preserve"> among both the F2F and remote participants. Therefore,</w:t>
      </w:r>
      <w:r w:rsidR="001B6A10">
        <w:t xml:space="preserve"> to </w:t>
      </w:r>
      <w:r w:rsidR="00F605F2">
        <w:t>compare results for the various assignment groups</w:t>
      </w:r>
      <w:r w:rsidR="001B6A10">
        <w:t xml:space="preserve"> I concentrated on the 1397 households with primary income derived from medium or large agricultural production. This accounted for 589 (31%) of the F2F households and 808 (79%) of the remote households.</w:t>
      </w:r>
      <w:r w:rsidR="004641DF">
        <w:t xml:space="preserve"> For this subset, I’ve compared response patterns for each component of CARI/rCARI to determine the extent to which modality contributes to differences in food security classifications.</w:t>
      </w:r>
      <w:r w:rsidR="001B6A10">
        <w:t xml:space="preserve"> </w:t>
      </w:r>
    </w:p>
    <w:p w14:paraId="56B89D4E" w14:textId="524F1E9F" w:rsidR="00A86762" w:rsidRPr="004641DF" w:rsidRDefault="00A86762">
      <w:pPr>
        <w:rPr>
          <w:u w:val="single"/>
        </w:rPr>
      </w:pPr>
      <w:r w:rsidRPr="004641DF">
        <w:rPr>
          <w:u w:val="single"/>
        </w:rPr>
        <w:t>FCS</w:t>
      </w:r>
    </w:p>
    <w:p w14:paraId="544F6DC8" w14:textId="328F9302" w:rsidR="00A86762" w:rsidRDefault="00A86762">
      <w:r>
        <w:t xml:space="preserve">Initially, simply comparing the distributions of FCS based on modality does suggest that scores are slightly higher for the F2F respondents (mean 27.9 vs 26.5, with a t-test </w:t>
      </w:r>
      <w:r w:rsidRPr="00A86762">
        <w:rPr>
          <w:i/>
          <w:iCs/>
        </w:rPr>
        <w:t>p</w:t>
      </w:r>
      <w:r>
        <w:t>-value &lt; 0.0</w:t>
      </w:r>
      <w:r w:rsidR="00D960F5">
        <w:t>1</w:t>
      </w:r>
      <w:r>
        <w:t>). However, it is important to consider that 23% of the variation in FCS scores can be explained by enumerator ID and geographic variation at the ADMIN5 level. These are both important factors, as most enumerators only conducted either F2F or remote interviews, and m</w:t>
      </w:r>
      <w:r w:rsidR="004641DF">
        <w:t>any</w:t>
      </w:r>
      <w:r>
        <w:t xml:space="preserve"> communities did not have comparable numbers of respondents in both modalities. To address this, I fit a regression model to assess the impact of modality on FCS scores with random effects included for ADMIN5 and Enumerator ID</w:t>
      </w:r>
      <w:r w:rsidR="00D960F5">
        <w:t xml:space="preserve">. Following the inclusion of these terms, there was no longer a significant difference in the estimated average FCS scores for the F2F and remote respondents in the fitted model (26.96 vs 26.44, </w:t>
      </w:r>
      <w:r w:rsidR="00D960F5" w:rsidRPr="00D960F5">
        <w:rPr>
          <w:i/>
          <w:iCs/>
        </w:rPr>
        <w:t>p</w:t>
      </w:r>
      <w:r w:rsidR="00D960F5">
        <w:t>=0.764).</w:t>
      </w:r>
      <w:r w:rsidR="00F605F2">
        <w:t xml:space="preserve"> This highlights the critical importance of accounting for enumerator variation in all analyses, as human enumerators will always introduce some level of subjectivity regardless of their level of training and experience.</w:t>
      </w:r>
      <w:r>
        <w:t xml:space="preserve"> </w:t>
      </w:r>
    </w:p>
    <w:p w14:paraId="41AB9234" w14:textId="447E5C4A" w:rsidR="004641DF" w:rsidRPr="004641DF" w:rsidRDefault="004641DF">
      <w:pPr>
        <w:rPr>
          <w:u w:val="single"/>
        </w:rPr>
      </w:pPr>
      <w:r w:rsidRPr="004641DF">
        <w:rPr>
          <w:u w:val="single"/>
        </w:rPr>
        <w:t>FES</w:t>
      </w:r>
    </w:p>
    <w:p w14:paraId="54110C91" w14:textId="77777777" w:rsidR="009465B7" w:rsidRDefault="004641DF">
      <w:r>
        <w:t xml:space="preserve">The average computed food expenditure share was significantly lower for the respondents assigned to the “Remote/Short” modality, with an average of 64% compared with 68% for the “F2F/Short” group and 71% for the “F2F/Long” and “Remote/Long” categories. </w:t>
      </w:r>
      <w:r w:rsidR="00695AA7">
        <w:t>However, it appears that 60 of the 417 respondents randomized to the “Remote/Short” group were assigned an FES score of 0, representing 14% of the sample (compared with only two of the 589 F2F respondents and 26 of the 391 “Remote/Long” respondents).</w:t>
      </w:r>
      <w:r w:rsidR="00DC60C4">
        <w:t xml:space="preserve"> In such cases, the enumerator did not actually complete the FES </w:t>
      </w:r>
      <w:proofErr w:type="gramStart"/>
      <w:r w:rsidR="00DC60C4">
        <w:t>module</w:t>
      </w:r>
      <w:proofErr w:type="gramEnd"/>
      <w:r w:rsidR="00DC60C4">
        <w:t xml:space="preserve"> but the respondents </w:t>
      </w:r>
      <w:r w:rsidR="00DC60C4">
        <w:lastRenderedPageBreak/>
        <w:t xml:space="preserve">were still assigned a score of 0 rather than a missing value. After correcting this error, both the “Remote/Long” and “Remote/Short” groups </w:t>
      </w:r>
      <w:r w:rsidR="00C364EC">
        <w:t>now had higher overall averages than the F2F groups, with averages of 76% and 75% respectively compared to 71% and 69% for the “F2F/Long” and “F2F/Short” groups. However, as for FCS, a large proportion of the variability in the responses (19%) was due to geographic and enumerator variation, so I again fit a model including random effects for Enumerator ID and ADMIN5. In this case, there was still evidence of a 5% increase in mean FES for the “Remote/Long” group relative to the “F2F/Long” group and a 4% increase in FES for the “Remote/Short” group, although the latter was not statistically significant.</w:t>
      </w:r>
      <w:r w:rsidR="001E55B2">
        <w:t xml:space="preserve"> I therefore investigated whether demographic factors could explain the differences. Interestingly, the average age of respondents in the remote groups was 3.8 years younger than for the F2F groups, increas</w:t>
      </w:r>
      <w:r w:rsidR="00427547">
        <w:t>ing</w:t>
      </w:r>
      <w:r w:rsidR="001E55B2">
        <w:t xml:space="preserve"> to a </w:t>
      </w:r>
      <w:proofErr w:type="gramStart"/>
      <w:r w:rsidR="001E55B2">
        <w:t>4.2 year</w:t>
      </w:r>
      <w:proofErr w:type="gramEnd"/>
      <w:r w:rsidR="001E55B2">
        <w:t xml:space="preserve"> difference after removal of cases for which the FES module was not completed</w:t>
      </w:r>
      <w:r w:rsidR="00427547">
        <w:t xml:space="preserve">, while the average remote household had 3.5 more members.  </w:t>
      </w:r>
      <w:r w:rsidR="001E55B2">
        <w:t>Additionally, the proportion of male respondents was 6% higher in the remote groups (</w:t>
      </w:r>
      <w:r w:rsidR="006E5F28">
        <w:t>73</w:t>
      </w:r>
      <w:r w:rsidR="001E55B2">
        <w:t xml:space="preserve">% vs </w:t>
      </w:r>
      <w:r w:rsidR="006E5F28">
        <w:t>67</w:t>
      </w:r>
      <w:r w:rsidR="001E55B2">
        <w:t>%</w:t>
      </w:r>
      <w:r w:rsidR="006E5F28">
        <w:t xml:space="preserve"> for F2F</w:t>
      </w:r>
      <w:r w:rsidR="001E55B2">
        <w:t>).</w:t>
      </w:r>
      <w:r w:rsidR="00FA2D9D">
        <w:t xml:space="preserve"> Adding terms for respondent age and gender to the mixed effects model indicated that FES scores for male respondents were estimated to be 3% lower overall, while respondent age in general had no significant impact on scores. However, scores for households assigned to the “Remote/Short” group were significantly associated with respondent age, </w:t>
      </w:r>
      <w:r w:rsidR="00E265F3">
        <w:t xml:space="preserve">with an </w:t>
      </w:r>
      <w:r w:rsidR="00FA2D9D">
        <w:t>estimat</w:t>
      </w:r>
      <w:r w:rsidR="00E265F3">
        <w:t>ed</w:t>
      </w:r>
      <w:r w:rsidR="00FA2D9D">
        <w:t xml:space="preserve"> increase of 2% for every 10 years</w:t>
      </w:r>
      <w:r w:rsidR="009465B7">
        <w:t>. Once respondent sex and the interaction between age and modality was included in the model, there were no longer significant differences due to modality alone. While these results are somewhat difficult to interpret and warrant additional investigation, they suggest that the increase in FES scores for remote respondents could be legitimately associated with demographic differences and not due to modality effects.</w:t>
      </w:r>
    </w:p>
    <w:p w14:paraId="22F5547E" w14:textId="37A21B78" w:rsidR="009465B7" w:rsidRPr="009465B7" w:rsidRDefault="009465B7">
      <w:pPr>
        <w:rPr>
          <w:u w:val="single"/>
        </w:rPr>
      </w:pPr>
      <w:r w:rsidRPr="009465B7">
        <w:rPr>
          <w:u w:val="single"/>
        </w:rPr>
        <w:t>HHS</w:t>
      </w:r>
    </w:p>
    <w:p w14:paraId="4C77BCB9" w14:textId="1A90AD8E" w:rsidR="004B68EB" w:rsidRDefault="00FA1CF9">
      <w:r>
        <w:t>While not part of the standard CARI calculations, the simple 3-question Household Hunger Scale is often a useful reference for assessing concordance with other indicators. T</w:t>
      </w:r>
      <w:r w:rsidR="00F4241D">
        <w:t xml:space="preserve">here was a highly significant difference in the proportion of households indicating that they had no food in the house among remote participants (40% vs 25% for F2F respondents). This difference persisted after adjusting for </w:t>
      </w:r>
      <w:r>
        <w:t xml:space="preserve">enumerator and geographical variation, indicating a genuine impact of modality. The </w:t>
      </w:r>
      <w:r w:rsidR="00573C82">
        <w:t xml:space="preserve">estimated </w:t>
      </w:r>
      <w:r>
        <w:t>proportions of households indicating that members had gone to bed hungry at least once also differed (2</w:t>
      </w:r>
      <w:r w:rsidR="00573C82">
        <w:t>0</w:t>
      </w:r>
      <w:r>
        <w:t>% for F2F vs 3</w:t>
      </w:r>
      <w:r w:rsidR="00573C82">
        <w:t>0</w:t>
      </w:r>
      <w:r>
        <w:t>% for Remote),</w:t>
      </w:r>
      <w:r w:rsidR="00573C82">
        <w:t xml:space="preserve"> with a similar shift for not eating all day (8% for F2F vs 16% for remote).</w:t>
      </w:r>
      <w:r w:rsidR="004B68EB">
        <w:t xml:space="preserve"> While there is some evidence that factors such as enumerator sex and respondent age are significant factors in whether respondents report hunger, this is clearly an area that warrants further investigation as it cannot be explained only through the previously noted demographic differences between the remote and F2F participants in this subgroup. </w:t>
      </w:r>
    </w:p>
    <w:p w14:paraId="329A9EF7" w14:textId="73D57170" w:rsidR="004B68EB" w:rsidRPr="004B68EB" w:rsidRDefault="004B68EB">
      <w:pPr>
        <w:rPr>
          <w:u w:val="single"/>
        </w:rPr>
      </w:pPr>
      <w:r w:rsidRPr="004B68EB">
        <w:rPr>
          <w:u w:val="single"/>
        </w:rPr>
        <w:lastRenderedPageBreak/>
        <w:t>CARI Income Indicator</w:t>
      </w:r>
    </w:p>
    <w:p w14:paraId="370999B2" w14:textId="6721EECE" w:rsidR="004B68EB" w:rsidRDefault="004B68EB">
      <w:r>
        <w:t>As all respondents in this subgroup have the same livelihood, all were categorized as either “Food Secure” or “Marginally Food Secure” depending on whether they reported reduced income from the previous year.</w:t>
      </w:r>
      <w:r w:rsidR="00366125">
        <w:t xml:space="preserve"> Although the unadjusted data indicate</w:t>
      </w:r>
      <w:r w:rsidR="007935B6">
        <w:t>d</w:t>
      </w:r>
      <w:r w:rsidR="00366125">
        <w:t xml:space="preserve"> that F2F respondents were far</w:t>
      </w:r>
      <w:r w:rsidR="007935B6">
        <w:t xml:space="preserve"> less</w:t>
      </w:r>
      <w:r w:rsidR="00366125">
        <w:t xml:space="preserve"> likely to </w:t>
      </w:r>
      <w:r w:rsidR="007935B6">
        <w:t>report a stable income</w:t>
      </w:r>
      <w:r w:rsidR="00366125">
        <w:t xml:space="preserve"> relat</w:t>
      </w:r>
      <w:r w:rsidR="007935B6">
        <w:t>ive</w:t>
      </w:r>
      <w:r w:rsidR="00366125">
        <w:t xml:space="preserve"> to remote respondents (</w:t>
      </w:r>
      <w:r w:rsidR="007935B6">
        <w:t>48</w:t>
      </w:r>
      <w:r w:rsidR="00366125">
        <w:t>% vs 8</w:t>
      </w:r>
      <w:r w:rsidR="007935B6">
        <w:t>3</w:t>
      </w:r>
      <w:r w:rsidR="00366125">
        <w:t xml:space="preserve">%), a full </w:t>
      </w:r>
      <w:r w:rsidR="007935B6">
        <w:t>4</w:t>
      </w:r>
      <w:r w:rsidR="00EA6719">
        <w:t>6</w:t>
      </w:r>
      <w:r w:rsidR="00366125">
        <w:t xml:space="preserve">% of the variation in responses can be explained by enumerator </w:t>
      </w:r>
      <w:r w:rsidR="00EA6719">
        <w:t>variation</w:t>
      </w:r>
      <w:r w:rsidR="00366125">
        <w:t xml:space="preserve">, and once random effects for these </w:t>
      </w:r>
      <w:r w:rsidR="007935B6">
        <w:t>factors</w:t>
      </w:r>
      <w:r w:rsidR="00366125">
        <w:t xml:space="preserve"> were added there were no longer significant differences associated with modality.</w:t>
      </w:r>
      <w:r w:rsidR="007935B6">
        <w:t xml:space="preserve"> This is concerning, as it indicates that the CARI Income indicator is </w:t>
      </w:r>
      <w:r w:rsidR="00EA6719">
        <w:t xml:space="preserve">highly dependent on enumerator bias. To illustrate, one remote enumerator indicated “No Income Change” for all 238 respondents </w:t>
      </w:r>
      <w:r w:rsidR="00F605F2">
        <w:t xml:space="preserve">they </w:t>
      </w:r>
      <w:r w:rsidR="00EA6719">
        <w:t xml:space="preserve">surveyed, which is extremely implausible given the high level of economic instability among these household. </w:t>
      </w:r>
      <w:r w:rsidR="007935B6">
        <w:t xml:space="preserve">  </w:t>
      </w:r>
    </w:p>
    <w:p w14:paraId="49905907" w14:textId="0485C5F9" w:rsidR="004B68EB" w:rsidRDefault="00EA6719">
      <w:pPr>
        <w:rPr>
          <w:u w:val="single"/>
        </w:rPr>
      </w:pPr>
      <w:r w:rsidRPr="00EA6719">
        <w:rPr>
          <w:u w:val="single"/>
        </w:rPr>
        <w:t xml:space="preserve">Coping Indicators (rCSI and </w:t>
      </w:r>
      <w:r w:rsidR="00F11D42">
        <w:rPr>
          <w:u w:val="single"/>
        </w:rPr>
        <w:t>L</w:t>
      </w:r>
      <w:r w:rsidRPr="00EA6719">
        <w:rPr>
          <w:u w:val="single"/>
        </w:rPr>
        <w:t>CSI)</w:t>
      </w:r>
    </w:p>
    <w:p w14:paraId="368888C9" w14:textId="11955ECC" w:rsidR="00105354" w:rsidRPr="00105354" w:rsidRDefault="00270E4C">
      <w:r>
        <w:t>Like</w:t>
      </w:r>
      <w:r w:rsidR="00105354">
        <w:t xml:space="preserve"> other indicators, enumerator and geographic variation explain</w:t>
      </w:r>
      <w:r>
        <w:t>ed</w:t>
      </w:r>
      <w:r w:rsidR="00105354">
        <w:t xml:space="preserve"> a high proportion of the differences between F2F and remote rCSI values</w:t>
      </w:r>
      <w:r>
        <w:t xml:space="preserve"> for the subgroup of medium/large farmers</w:t>
      </w:r>
      <w:r w:rsidR="00105354">
        <w:t>, with coping levels appearing to be lower in the remote group</w:t>
      </w:r>
      <w:r>
        <w:t xml:space="preserve"> based on the raw data</w:t>
      </w:r>
      <w:r w:rsidR="00105354">
        <w:t xml:space="preserve">. However, </w:t>
      </w:r>
      <w:r>
        <w:t xml:space="preserve">lower scores were significantly associated with male respondents and there was a significant negative correlation between respondent age and reported coping levels for remote respondents that was not evident in the F2F responses. </w:t>
      </w:r>
    </w:p>
    <w:p w14:paraId="2C62F7E1" w14:textId="6580A5D0" w:rsidR="004641DF" w:rsidRDefault="00F11D42">
      <w:r>
        <w:t>Stress coping as measured by the LCSI</w:t>
      </w:r>
      <w:r w:rsidR="004B68EB">
        <w:t xml:space="preserve"> </w:t>
      </w:r>
      <w:r>
        <w:t>was highly prevalent in both modalities, and there was no evidence of a modality effect either before or after accounting for enumerator and geographic variation</w:t>
      </w:r>
      <w:r w:rsidR="00A56EEB">
        <w:t xml:space="preserve">, and similar results were observed for Emergency Coping. Crisis coping was the least prevalent overall (&lt;10%) and appears to be significantly higher in remote respondents after adjusting for enumerator and geographical variation, but this may or may not be indicative of a modality effect based on the small percentages of households reporting these coping strategies. </w:t>
      </w:r>
    </w:p>
    <w:p w14:paraId="01A4D66B" w14:textId="77777777" w:rsidR="00E87388" w:rsidRDefault="00E87388"/>
    <w:p w14:paraId="5E807E24" w14:textId="77777777" w:rsidR="00E87388" w:rsidRDefault="00E87388"/>
    <w:p w14:paraId="78C72052" w14:textId="77777777" w:rsidR="005B1F58" w:rsidRDefault="005B1F58"/>
    <w:sectPr w:rsidR="005B1F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A10"/>
    <w:rsid w:val="00105354"/>
    <w:rsid w:val="001B6A10"/>
    <w:rsid w:val="001E55B2"/>
    <w:rsid w:val="00216C96"/>
    <w:rsid w:val="00270E4C"/>
    <w:rsid w:val="00366125"/>
    <w:rsid w:val="003856C3"/>
    <w:rsid w:val="00427547"/>
    <w:rsid w:val="004641DF"/>
    <w:rsid w:val="004B68EB"/>
    <w:rsid w:val="00573C82"/>
    <w:rsid w:val="005B1F58"/>
    <w:rsid w:val="00695AA7"/>
    <w:rsid w:val="006E5F28"/>
    <w:rsid w:val="007935B6"/>
    <w:rsid w:val="00843D4C"/>
    <w:rsid w:val="009465B7"/>
    <w:rsid w:val="00A123D2"/>
    <w:rsid w:val="00A56EEB"/>
    <w:rsid w:val="00A64868"/>
    <w:rsid w:val="00A86762"/>
    <w:rsid w:val="00AF276B"/>
    <w:rsid w:val="00C364EC"/>
    <w:rsid w:val="00C67864"/>
    <w:rsid w:val="00D960F5"/>
    <w:rsid w:val="00DC60C4"/>
    <w:rsid w:val="00E265F3"/>
    <w:rsid w:val="00E87388"/>
    <w:rsid w:val="00EA6719"/>
    <w:rsid w:val="00EE3C08"/>
    <w:rsid w:val="00EF374A"/>
    <w:rsid w:val="00F11D42"/>
    <w:rsid w:val="00F374B3"/>
    <w:rsid w:val="00F4241D"/>
    <w:rsid w:val="00F605F2"/>
    <w:rsid w:val="00FA1CF9"/>
    <w:rsid w:val="00FA2D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01681"/>
  <w15:chartTrackingRefBased/>
  <w15:docId w15:val="{F0FD6DC2-2AB3-4690-83D0-5D7972354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A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6A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6A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A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A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A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6A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6A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6A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6A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6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A10"/>
    <w:rPr>
      <w:rFonts w:eastAsiaTheme="majorEastAsia" w:cstheme="majorBidi"/>
      <w:color w:val="272727" w:themeColor="text1" w:themeTint="D8"/>
    </w:rPr>
  </w:style>
  <w:style w:type="paragraph" w:styleId="Title">
    <w:name w:val="Title"/>
    <w:basedOn w:val="Normal"/>
    <w:next w:val="Normal"/>
    <w:link w:val="TitleChar"/>
    <w:uiPriority w:val="10"/>
    <w:qFormat/>
    <w:rsid w:val="001B6A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A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A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A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A10"/>
    <w:pPr>
      <w:spacing w:before="160"/>
      <w:jc w:val="center"/>
    </w:pPr>
    <w:rPr>
      <w:i/>
      <w:iCs/>
      <w:color w:val="404040" w:themeColor="text1" w:themeTint="BF"/>
    </w:rPr>
  </w:style>
  <w:style w:type="character" w:customStyle="1" w:styleId="QuoteChar">
    <w:name w:val="Quote Char"/>
    <w:basedOn w:val="DefaultParagraphFont"/>
    <w:link w:val="Quote"/>
    <w:uiPriority w:val="29"/>
    <w:rsid w:val="001B6A10"/>
    <w:rPr>
      <w:i/>
      <w:iCs/>
      <w:color w:val="404040" w:themeColor="text1" w:themeTint="BF"/>
    </w:rPr>
  </w:style>
  <w:style w:type="paragraph" w:styleId="ListParagraph">
    <w:name w:val="List Paragraph"/>
    <w:basedOn w:val="Normal"/>
    <w:uiPriority w:val="34"/>
    <w:qFormat/>
    <w:rsid w:val="001B6A10"/>
    <w:pPr>
      <w:ind w:left="720"/>
      <w:contextualSpacing/>
    </w:pPr>
  </w:style>
  <w:style w:type="character" w:styleId="IntenseEmphasis">
    <w:name w:val="Intense Emphasis"/>
    <w:basedOn w:val="DefaultParagraphFont"/>
    <w:uiPriority w:val="21"/>
    <w:qFormat/>
    <w:rsid w:val="001B6A10"/>
    <w:rPr>
      <w:i/>
      <w:iCs/>
      <w:color w:val="0F4761" w:themeColor="accent1" w:themeShade="BF"/>
    </w:rPr>
  </w:style>
  <w:style w:type="paragraph" w:styleId="IntenseQuote">
    <w:name w:val="Intense Quote"/>
    <w:basedOn w:val="Normal"/>
    <w:next w:val="Normal"/>
    <w:link w:val="IntenseQuoteChar"/>
    <w:uiPriority w:val="30"/>
    <w:qFormat/>
    <w:rsid w:val="001B6A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A10"/>
    <w:rPr>
      <w:i/>
      <w:iCs/>
      <w:color w:val="0F4761" w:themeColor="accent1" w:themeShade="BF"/>
    </w:rPr>
  </w:style>
  <w:style w:type="character" w:styleId="IntenseReference">
    <w:name w:val="Intense Reference"/>
    <w:basedOn w:val="DefaultParagraphFont"/>
    <w:uiPriority w:val="32"/>
    <w:qFormat/>
    <w:rsid w:val="001B6A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49256dcf-74b5-4e0f-b2ab-e17546be8a80" xsi:nil="true"/>
    <lcf76f155ced4ddcb4097134ff3c332f xmlns="49256dcf-74b5-4e0f-b2ab-e17546be8a80">
      <Terms xmlns="http://schemas.microsoft.com/office/infopath/2007/PartnerControls"/>
    </lcf76f155ced4ddcb4097134ff3c332f>
    <TaxCatchAll xmlns="3940b711-dc1d-4235-b0a5-48d487f0d3b9" xsi:nil="true"/>
  </documentManagement>
</p:properties>
</file>

<file path=customXml/itemProps1.xml><?xml version="1.0" encoding="utf-8"?>
<ds:datastoreItem xmlns:ds="http://schemas.openxmlformats.org/officeDocument/2006/customXml" ds:itemID="{EF421404-584B-4805-A959-E73D4F52D6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256dcf-74b5-4e0f-b2ab-e17546be8a80"/>
    <ds:schemaRef ds:uri="3940b711-dc1d-4235-b0a5-48d487f0d3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431371-84A2-441C-85F1-AFC2711431DD}">
  <ds:schemaRefs>
    <ds:schemaRef ds:uri="http://schemas.microsoft.com/sharepoint/v3/contenttype/forms"/>
  </ds:schemaRefs>
</ds:datastoreItem>
</file>

<file path=customXml/itemProps3.xml><?xml version="1.0" encoding="utf-8"?>
<ds:datastoreItem xmlns:ds="http://schemas.openxmlformats.org/officeDocument/2006/customXml" ds:itemID="{73BFA22D-ED59-4FE6-89EC-07224E79565F}">
  <ds:schemaRefs>
    <ds:schemaRef ds:uri="http://schemas.microsoft.com/office/2006/metadata/properties"/>
    <ds:schemaRef ds:uri="http://schemas.microsoft.com/office/infopath/2007/PartnerControls"/>
    <ds:schemaRef ds:uri="49256dcf-74b5-4e0f-b2ab-e17546be8a80"/>
    <ds:schemaRef ds:uri="3940b711-dc1d-4235-b0a5-48d487f0d3b9"/>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3</Pages>
  <Words>1176</Words>
  <Characters>6706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Lacey, Michelle R</dc:creator>
  <cp:keywords/>
  <dc:description/>
  <cp:lastModifiedBy>Alirah WEYORI</cp:lastModifiedBy>
  <cp:revision>5</cp:revision>
  <dcterms:created xsi:type="dcterms:W3CDTF">2025-02-13T10:52:00Z</dcterms:created>
  <dcterms:modified xsi:type="dcterms:W3CDTF">2025-04-07T15:24:00Z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3a108f-898d-4589-9ebc-7ee3b46df9b8_Enabled">
    <vt:lpwstr>true</vt:lpwstr>
  </property>
  <property fmtid="{D5CDD505-2E9C-101B-9397-08002B2CF9AE}" pid="3" name="MSIP_Label_2a3a108f-898d-4589-9ebc-7ee3b46df9b8_SetDate">
    <vt:lpwstr>2025-02-13T10:52:05Z</vt:lpwstr>
  </property>
  <property fmtid="{D5CDD505-2E9C-101B-9397-08002B2CF9AE}" pid="4" name="MSIP_Label_2a3a108f-898d-4589-9ebc-7ee3b46df9b8_Method">
    <vt:lpwstr>Standard</vt:lpwstr>
  </property>
  <property fmtid="{D5CDD505-2E9C-101B-9397-08002B2CF9AE}" pid="5" name="MSIP_Label_2a3a108f-898d-4589-9ebc-7ee3b46df9b8_Name">
    <vt:lpwstr>Official use only</vt:lpwstr>
  </property>
  <property fmtid="{D5CDD505-2E9C-101B-9397-08002B2CF9AE}" pid="6" name="MSIP_Label_2a3a108f-898d-4589-9ebc-7ee3b46df9b8_SiteId">
    <vt:lpwstr>462ad9ae-d7d9-4206-b874-71b1e079776f</vt:lpwstr>
  </property>
  <property fmtid="{D5CDD505-2E9C-101B-9397-08002B2CF9AE}" pid="7" name="MSIP_Label_2a3a108f-898d-4589-9ebc-7ee3b46df9b8_ActionId">
    <vt:lpwstr>05ec99e4-23ad-4328-b5b5-071d2805b8f7</vt:lpwstr>
  </property>
  <property fmtid="{D5CDD505-2E9C-101B-9397-08002B2CF9AE}" pid="8" name="MSIP_Label_2a3a108f-898d-4589-9ebc-7ee3b46df9b8_ContentBits">
    <vt:lpwstr>0</vt:lpwstr>
  </property>
  <property fmtid="{D5CDD505-2E9C-101B-9397-08002B2CF9AE}" pid="9" name="ContentTypeId">
    <vt:lpwstr>0x01010007EC5AEA005F3944B5281CE0F7F3B6DF</vt:lpwstr>
  </property>
  <property fmtid="{D5CDD505-2E9C-101B-9397-08002B2CF9AE}" pid="10" name="MediaServiceImageTags">
    <vt:lpwstr/>
  </property>
</Properties>
</file>