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13F6AE84"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w:t>
      </w:r>
      <w:proofErr w:type="spellStart"/>
      <w:r>
        <w:rPr>
          <w:b w:val="0"/>
          <w:bCs w:val="0"/>
        </w:rPr>
        <w:t>Cuadrado</w:t>
      </w:r>
      <w:proofErr w:type="spellEnd"/>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1373323D" w:rsidR="00AA35EB" w:rsidRDefault="00AA35EB" w:rsidP="00B95360">
      <w:pPr>
        <w:pStyle w:val="BodyText"/>
        <w:spacing w:before="1"/>
        <w:ind w:left="793"/>
      </w:pPr>
      <w:r>
        <w:t>“</w:t>
      </w:r>
      <w:r w:rsidRPr="00AA267C">
        <w:t>The Role of Experience in Learning for Index Insurance Products: Evidence from Rural Kenya</w:t>
      </w:r>
      <w:r>
        <w:t>,”</w:t>
      </w:r>
      <w:r>
        <w:rPr>
          <w:spacing w:val="-3"/>
        </w:rPr>
        <w:t xml:space="preserve"> </w:t>
      </w:r>
      <w:r w:rsidR="00ED3703" w:rsidRPr="00ED3703">
        <w:t>Revise</w:t>
      </w:r>
      <w:r w:rsidR="0044295E">
        <w:t>d</w:t>
      </w:r>
      <w:r w:rsidR="00ED3703" w:rsidRPr="00ED3703">
        <w:t xml:space="preserve"> &amp; Resubmit</w:t>
      </w:r>
      <w:r w:rsidR="0044295E">
        <w:t xml:space="preserve">ted, </w:t>
      </w:r>
      <w:r w:rsidR="00ED3703" w:rsidRPr="00156713">
        <w:rPr>
          <w:i/>
          <w:iCs/>
        </w:rPr>
        <w:t>Journal of Economic Behavior and Organization</w:t>
      </w:r>
      <w:r w:rsidR="00ED3703" w:rsidRPr="00ED3703">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0"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Panchanan Das and </w:t>
      </w:r>
      <w:proofErr w:type="spellStart"/>
      <w:r w:rsidRPr="00544365">
        <w:t>Swayambhu</w:t>
      </w:r>
      <w:proofErr w:type="spellEnd"/>
      <w:r w:rsidRPr="00544365">
        <w:t xml:space="preserve">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r w:rsidRPr="005D2FF6">
        <w:t xml:space="preserve">Panchanan Das and </w:t>
      </w:r>
      <w:proofErr w:type="spellStart"/>
      <w:r w:rsidRPr="005D2FF6">
        <w:t>Swayambhu</w:t>
      </w:r>
      <w:proofErr w:type="spellEnd"/>
      <w:r w:rsidRPr="005D2FF6">
        <w:t xml:space="preserve"> Mukherjee</w:t>
      </w:r>
      <w:r w:rsidR="00763F3C">
        <w:t>.</w:t>
      </w:r>
    </w:p>
    <w:p w14:paraId="62DDB14A" w14:textId="77777777" w:rsidR="00F80CA7" w:rsidRDefault="00F80CA7" w:rsidP="00AA35EB">
      <w:pPr>
        <w:pStyle w:val="BodyText"/>
        <w:spacing w:before="4"/>
      </w:pPr>
    </w:p>
    <w:p w14:paraId="53314A5C" w14:textId="5416BC4F" w:rsidR="00AA35EB" w:rsidRPr="00DD703F" w:rsidRDefault="00AA35EB" w:rsidP="00DD703F">
      <w:pPr>
        <w:pStyle w:val="Heading1"/>
        <w:spacing w:before="1" w:line="276" w:lineRule="auto"/>
      </w:pPr>
      <w:r>
        <w:t>TEACHING</w:t>
      </w:r>
      <w:r>
        <w:rPr>
          <w:spacing w:val="-5"/>
        </w:rPr>
        <w:t xml:space="preserve"> </w:t>
      </w:r>
      <w:r>
        <w:t>EXPERIENCE</w:t>
      </w:r>
    </w:p>
    <w:p w14:paraId="047D3C95" w14:textId="58B408C1" w:rsidR="00DB0260" w:rsidRDefault="00DB0260" w:rsidP="00B95360">
      <w:pPr>
        <w:pStyle w:val="Heading1"/>
        <w:spacing w:before="1"/>
        <w:ind w:firstLine="380"/>
        <w:rPr>
          <w:b w:val="0"/>
          <w:bCs w:val="0"/>
        </w:rPr>
      </w:pPr>
      <w:r>
        <w:rPr>
          <w:b w:val="0"/>
          <w:bCs w:val="0"/>
        </w:rPr>
        <w:t>Teaching Assistant, Economic Development 1, McGill University, Winter 2021-2</w:t>
      </w:r>
      <w:r w:rsidR="0068655A">
        <w:rPr>
          <w:b w:val="0"/>
          <w:bCs w:val="0"/>
        </w:rPr>
        <w:t>3</w:t>
      </w:r>
      <w:r>
        <w:rPr>
          <w:b w:val="0"/>
          <w:bCs w:val="0"/>
        </w:rPr>
        <w:t xml:space="preserve"> &amp; Fall 2021</w:t>
      </w:r>
    </w:p>
    <w:p w14:paraId="24FE8530" w14:textId="0742F3A0"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2E88FB32" w14:textId="650CB22A" w:rsidR="00DD703F" w:rsidRDefault="00DD703F" w:rsidP="00B95360">
      <w:pPr>
        <w:pStyle w:val="Heading1"/>
        <w:spacing w:before="1"/>
        <w:rPr>
          <w:b w:val="0"/>
          <w:bCs w:val="0"/>
        </w:rPr>
      </w:pPr>
      <w:r>
        <w:rPr>
          <w:b w:val="0"/>
          <w:bCs w:val="0"/>
        </w:rPr>
        <w:tab/>
        <w:t>Teaching Assistant, Labor Markets and Wages, McGill University, Fall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54545CC3" w:rsidR="00C126FD" w:rsidRPr="00C126FD" w:rsidRDefault="00C126FD" w:rsidP="00C126FD">
      <w:pPr>
        <w:pStyle w:val="BodyText"/>
        <w:spacing w:before="3"/>
        <w:ind w:left="793"/>
      </w:pPr>
      <w:r>
        <w:t>McGill CPD Social Statistics and Population Dynamics Seminar,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1"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2" w:history="1">
        <w:r w:rsidRPr="00BF75BF">
          <w:rPr>
            <w:rStyle w:val="Hyperlink"/>
            <w:b w:val="0"/>
            <w:bCs w:val="0"/>
            <w:color w:val="0000FF"/>
          </w:rPr>
          <w:t>matthieu.chemin@mcgill.ca</w:t>
        </w:r>
      </w:hyperlink>
      <w:r>
        <w:rPr>
          <w:b w:val="0"/>
          <w:bCs w:val="0"/>
        </w:rPr>
        <w:tab/>
        <w:t>(514) 398-5077</w:t>
      </w:r>
    </w:p>
    <w:p w14:paraId="2D4774CC" w14:textId="6AA3A5B9" w:rsidR="004F3396" w:rsidRDefault="00AA35EB" w:rsidP="0039274D">
      <w:pPr>
        <w:pStyle w:val="Heading1"/>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3" w:history="1">
        <w:r w:rsidRPr="00BF75BF">
          <w:rPr>
            <w:rStyle w:val="Hyperlink"/>
            <w:b w:val="0"/>
            <w:bCs w:val="0"/>
            <w:color w:val="0000FF"/>
          </w:rPr>
          <w:t>francesco.amodio@mcgill.ca</w:t>
        </w:r>
      </w:hyperlink>
      <w:r>
        <w:rPr>
          <w:b w:val="0"/>
          <w:bCs w:val="0"/>
        </w:rPr>
        <w:tab/>
        <w:t>(514) 398-2184</w:t>
      </w:r>
    </w:p>
    <w:p w14:paraId="23199249" w14:textId="6DEC1B26" w:rsidR="00264B0E" w:rsidRPr="0020504F" w:rsidRDefault="00264B0E" w:rsidP="0039274D">
      <w:pPr>
        <w:pStyle w:val="Heading1"/>
        <w:rPr>
          <w:b w:val="0"/>
          <w:bCs w:val="0"/>
        </w:rPr>
      </w:pPr>
      <w:r>
        <w:rPr>
          <w:b w:val="0"/>
          <w:bCs w:val="0"/>
        </w:rPr>
        <w:tab/>
        <w:t>Prof. Fran</w:t>
      </w:r>
      <w:r w:rsidR="00211DF2">
        <w:rPr>
          <w:b w:val="0"/>
          <w:bCs w:val="0"/>
        </w:rPr>
        <w:t>que</w:t>
      </w:r>
      <w:r>
        <w:rPr>
          <w:b w:val="0"/>
          <w:bCs w:val="0"/>
        </w:rPr>
        <w:t xml:space="preserve"> </w:t>
      </w:r>
      <w:r w:rsidR="00211DF2">
        <w:rPr>
          <w:b w:val="0"/>
          <w:bCs w:val="0"/>
        </w:rPr>
        <w:t>Grimard</w:t>
      </w:r>
      <w:r>
        <w:rPr>
          <w:b w:val="0"/>
          <w:bCs w:val="0"/>
        </w:rPr>
        <w:tab/>
      </w:r>
      <w:r>
        <w:rPr>
          <w:b w:val="0"/>
          <w:bCs w:val="0"/>
        </w:rPr>
        <w:tab/>
        <w:t>McGill University</w:t>
      </w:r>
      <w:r>
        <w:rPr>
          <w:b w:val="0"/>
          <w:bCs w:val="0"/>
        </w:rPr>
        <w:tab/>
      </w:r>
      <w:hyperlink r:id="rId14" w:history="1">
        <w:r w:rsidR="002B51F5" w:rsidRPr="0063090B">
          <w:rPr>
            <w:rStyle w:val="Hyperlink"/>
            <w:b w:val="0"/>
            <w:bCs w:val="0"/>
            <w:color w:val="0000FF"/>
          </w:rPr>
          <w:t>franque.grimard@mcgill.ca</w:t>
        </w:r>
      </w:hyperlink>
      <w:r>
        <w:rPr>
          <w:b w:val="0"/>
          <w:bCs w:val="0"/>
        </w:rPr>
        <w:tab/>
        <w:t>(514) 398-</w:t>
      </w:r>
      <w:r w:rsidR="002C40BC">
        <w:rPr>
          <w:b w:val="0"/>
          <w:bCs w:val="0"/>
        </w:rPr>
        <w:t>4717</w:t>
      </w:r>
    </w:p>
    <w:sectPr w:rsidR="00264B0E"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F6D9" w14:textId="77777777" w:rsidR="001E0813" w:rsidRDefault="001E0813" w:rsidP="00B502BD">
      <w:r>
        <w:separator/>
      </w:r>
    </w:p>
  </w:endnote>
  <w:endnote w:type="continuationSeparator" w:id="0">
    <w:p w14:paraId="3D9D3F42" w14:textId="77777777" w:rsidR="001E0813" w:rsidRDefault="001E0813"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7223" w14:textId="77777777" w:rsidR="001E0813" w:rsidRDefault="001E0813" w:rsidP="00B502BD">
      <w:r>
        <w:separator/>
      </w:r>
    </w:p>
  </w:footnote>
  <w:footnote w:type="continuationSeparator" w:id="0">
    <w:p w14:paraId="5932C135" w14:textId="77777777" w:rsidR="001E0813" w:rsidRDefault="001E0813"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B6F2B"/>
    <w:rsid w:val="000E5CDB"/>
    <w:rsid w:val="00125209"/>
    <w:rsid w:val="00156713"/>
    <w:rsid w:val="001C7CCB"/>
    <w:rsid w:val="001E0813"/>
    <w:rsid w:val="001E6DE5"/>
    <w:rsid w:val="001F6253"/>
    <w:rsid w:val="0020504F"/>
    <w:rsid w:val="00211DF2"/>
    <w:rsid w:val="00264B0E"/>
    <w:rsid w:val="00265E64"/>
    <w:rsid w:val="0028401B"/>
    <w:rsid w:val="002858CE"/>
    <w:rsid w:val="002B51F5"/>
    <w:rsid w:val="002C40BC"/>
    <w:rsid w:val="002F6544"/>
    <w:rsid w:val="0039274D"/>
    <w:rsid w:val="003C6872"/>
    <w:rsid w:val="0044295E"/>
    <w:rsid w:val="00444379"/>
    <w:rsid w:val="00461CE3"/>
    <w:rsid w:val="00465454"/>
    <w:rsid w:val="0049520F"/>
    <w:rsid w:val="004E0079"/>
    <w:rsid w:val="004F3396"/>
    <w:rsid w:val="005006E7"/>
    <w:rsid w:val="00524B5C"/>
    <w:rsid w:val="00540D8C"/>
    <w:rsid w:val="0054663C"/>
    <w:rsid w:val="00557C9B"/>
    <w:rsid w:val="005806B0"/>
    <w:rsid w:val="0059340A"/>
    <w:rsid w:val="0063090B"/>
    <w:rsid w:val="00640768"/>
    <w:rsid w:val="00647AE7"/>
    <w:rsid w:val="0065359E"/>
    <w:rsid w:val="00666694"/>
    <w:rsid w:val="0068655A"/>
    <w:rsid w:val="006E5582"/>
    <w:rsid w:val="00763F3C"/>
    <w:rsid w:val="007C623D"/>
    <w:rsid w:val="008110A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26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DD703F"/>
    <w:rsid w:val="00E805FD"/>
    <w:rsid w:val="00E807B3"/>
    <w:rsid w:val="00E84022"/>
    <w:rsid w:val="00ED3703"/>
    <w:rsid w:val="00F101DF"/>
    <w:rsid w:val="00F41492"/>
    <w:rsid w:val="00F541CE"/>
    <w:rsid w:val="00F80CA7"/>
    <w:rsid w:val="00FA65AF"/>
    <w:rsid w:val="00FE4B26"/>
    <w:rsid w:val="00FF7F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francesco.amodio@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matthieu.chemin@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mailto:sonia.laszlo@mcgill.ca"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cademia.edu/44089071/Indian_Agriculture_Under_Multilateral_and_Regional_Trade_Agreements_Competitiveness_and_Food_Security"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que.grimard@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80</cp:revision>
  <cp:lastPrinted>2022-07-15T00:08:00Z</cp:lastPrinted>
  <dcterms:created xsi:type="dcterms:W3CDTF">2022-07-06T21:39:00Z</dcterms:created>
  <dcterms:modified xsi:type="dcterms:W3CDTF">2023-03-08T18:43:00Z</dcterms:modified>
</cp:coreProperties>
</file>