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56"/>
        </w:rPr>
        <w:t>SynAgent Fork</w:t>
      </w:r>
    </w:p>
    <w:p>
      <w:pPr>
        <w:jc w:val="center"/>
      </w:pPr>
      <w:r>
        <w:rPr>
          <w:color w:val="2F5496"/>
          <w:sz w:val="36"/>
        </w:rPr>
        <w:t>Architecture &amp; Changes Overview</w:t>
      </w:r>
    </w:p>
    <w:p/>
    <w:p>
      <w:pPr>
        <w:jc w:val="center"/>
      </w:pPr>
      <w:r>
        <w:rPr>
          <w:i/>
          <w:color w:val="595959"/>
          <w:sz w:val="24"/>
        </w:rPr>
        <w:t>Patent Ingestion Pipeline · ORD Integration · Reaction Database</w:t>
      </w:r>
    </w:p>
    <w:p>
      <w:pPr>
        <w:spacing w:before="400"/>
        <w:jc w:val="center"/>
      </w:pPr>
      <w:r>
        <w:rPr>
          <w:color w:val="7F7F7F"/>
          <w:sz w:val="22"/>
        </w:rPr>
        <w:t>May 2026</w:t>
      </w:r>
    </w:p>
    <w:p>
      <w:r>
        <w:br w:type="page"/>
      </w:r>
    </w:p>
    <w:p>
      <w:pPr>
        <w:pStyle w:val="Heading1"/>
      </w:pPr>
      <w:r>
        <w:rPr>
          <w:color w:val="1F497D"/>
          <w:sz w:val="32"/>
        </w:rPr>
        <w:t>1. Original SynAgent (Baseline)</w:t>
      </w:r>
    </w:p>
    <w:p>
      <w:pPr>
        <w:spacing w:after="80"/>
      </w:pPr>
      <w:r>
        <w:t>The upstream repository at github.com/lukasmki/SynAgent provides a lean agentic framework for retrosynthesis route evaluation. It contains a single Python package (src/synagent/) with no database, no patent mining, and no persistent reaction corpus.</w:t>
      </w:r>
    </w:p>
    <w:p>
      <w:pPr>
        <w:pStyle w:val="Heading2"/>
      </w:pPr>
      <w:r>
        <w:rPr>
          <w:color w:val="2F5496"/>
          <w:sz w:val="26"/>
        </w:rPr>
        <w:t>1.1  Core Capabilities</w:t>
      </w:r>
    </w:p>
    <w:p>
      <w:pPr>
        <w:pStyle w:val="ListBullet"/>
        <w:spacing w:after="40"/>
      </w:pPr>
      <w:r>
        <w:rPr>
          <w:b/>
        </w:rPr>
        <w:t>Integration with SynLlama</w:t>
      </w:r>
      <w:r>
        <w:t xml:space="preserve"> — a fine-tuned LLM that proposes retrosynthesis routes from a SMILES target.</w:t>
      </w:r>
    </w:p>
    <w:p>
      <w:pPr>
        <w:pStyle w:val="ListBullet"/>
        <w:spacing w:after="40"/>
      </w:pPr>
      <w:r>
        <w:rPr>
          <w:b/>
        </w:rPr>
        <w:t>RDKit validation</w:t>
      </w:r>
      <w:r>
        <w:t xml:space="preserve"> — verifies SMILES strings and checks that reaction templates produce expected products.</w:t>
      </w:r>
    </w:p>
    <w:p>
      <w:pPr>
        <w:pStyle w:val="ListBullet"/>
        <w:spacing w:after="40"/>
      </w:pPr>
      <w:r>
        <w:rPr>
          <w:b/>
        </w:rPr>
        <w:t>ChemSpace API</w:t>
      </w:r>
      <w:r>
        <w:t xml:space="preserve"> — looks up commercial availability and pricing of building blocks.</w:t>
      </w:r>
    </w:p>
    <w:p>
      <w:pPr>
        <w:pStyle w:val="ListBullet"/>
        <w:spacing w:after="40"/>
      </w:pPr>
      <w:r>
        <w:rPr>
          <w:b/>
        </w:rPr>
        <w:t>PubChem hazard scoring</w:t>
      </w:r>
      <w:r>
        <w:t xml:space="preserve"> — retrieves GHS hazard codes and computes a route-level safety score.</w:t>
      </w:r>
    </w:p>
    <w:p>
      <w:pPr>
        <w:pStyle w:val="ListBullet"/>
        <w:spacing w:after="40"/>
      </w:pPr>
      <w:r>
        <w:rPr>
          <w:b/>
        </w:rPr>
        <w:t>Pydantic AI orchestration</w:t>
      </w:r>
      <w:r>
        <w:t xml:space="preserve"> — runs four specialist agents (validation, pricing, hazard, precedent) in parallel using Google Gemini.</w:t>
      </w:r>
    </w:p>
    <w:p>
      <w:pPr>
        <w:pStyle w:val="Heading2"/>
      </w:pPr>
      <w:r>
        <w:rPr>
          <w:color w:val="2F5496"/>
          <w:sz w:val="26"/>
        </w:rPr>
        <w:t>1.2  What the Original Does NOT Include</w:t>
      </w:r>
    </w:p>
    <w:p>
      <w:pPr>
        <w:pStyle w:val="ListBullet"/>
        <w:spacing w:after="40"/>
      </w:pPr>
      <w:r>
        <w:t>No database or persistent storage</w:t>
      </w:r>
    </w:p>
    <w:p>
      <w:pPr>
        <w:pStyle w:val="ListBullet"/>
        <w:spacing w:after="40"/>
      </w:pPr>
      <w:r>
        <w:t>No patent text mining or web scraping</w:t>
      </w:r>
    </w:p>
    <w:p>
      <w:pPr>
        <w:pStyle w:val="ListBullet"/>
        <w:spacing w:after="40"/>
      </w:pPr>
      <w:r>
        <w:t>No curated reaction corpus</w:t>
      </w:r>
    </w:p>
    <w:p>
      <w:pPr>
        <w:pStyle w:val="ListBullet"/>
        <w:spacing w:after="40"/>
      </w:pPr>
      <w:r>
        <w:t>No human-in-the-loop review UI</w:t>
      </w:r>
    </w:p>
    <w:p>
      <w:pPr>
        <w:pStyle w:val="ListBullet"/>
        <w:spacing w:after="40"/>
      </w:pPr>
      <w:r>
        <w:t>No bulk data ingestion pipeline</w:t>
      </w:r>
    </w:p>
    <w:p>
      <w:r>
        <w:br w:type="page"/>
      </w:r>
    </w:p>
    <w:p>
      <w:pPr>
        <w:pStyle w:val="Heading1"/>
      </w:pPr>
      <w:r>
        <w:rPr>
          <w:color w:val="1F497D"/>
          <w:sz w:val="32"/>
        </w:rPr>
        <w:t>2. What This Fork Adds</w:t>
      </w:r>
    </w:p>
    <w:p>
      <w:pPr>
        <w:spacing w:after="80"/>
      </w:pPr>
      <w:r>
        <w:t>This fork extends SynAgent with three major additions that transform it from a route-evaluation tool into a full chemistry research platform with a growing reaction database.</w:t>
      </w:r>
    </w:p>
    <w:tbl>
      <w:tblPr>
        <w:tblStyle w:val="TableGrid"/>
        <w:tblW w:type="auto" w:w="0"/>
        <w:tblLook w:firstColumn="1" w:firstRow="1" w:lastColumn="0" w:lastRow="0" w:noHBand="0" w:noVBand="1" w:val="04A0"/>
      </w:tblPr>
      <w:tblGrid>
        <w:gridCol w:w="4320"/>
        <w:gridCol w:w="4320"/>
      </w:tblGrid>
      <w:tr>
        <w:tc>
          <w:tcPr>
            <w:tcW w:type="dxa" w:w="3168"/>
            <w:shd w:val="clear" w:color="auto" w:fill="BDD7EE"/>
          </w:tcPr>
          <w:p>
            <w:r>
              <w:rPr>
                <w:b/>
                <w:sz w:val="18"/>
              </w:rPr>
              <w:t>Addition</w:t>
            </w:r>
          </w:p>
        </w:tc>
        <w:tc>
          <w:tcPr>
            <w:tcW w:type="dxa" w:w="5904"/>
            <w:shd w:val="clear" w:color="auto" w:fill="BDD7EE"/>
          </w:tcPr>
          <w:p>
            <w:r>
              <w:rPr>
                <w:b/>
                <w:sz w:val="18"/>
              </w:rPr>
              <w:t>Description</w:t>
            </w:r>
          </w:p>
        </w:tc>
      </w:tr>
      <w:tr>
        <w:tc>
          <w:tcPr>
            <w:tcW w:type="dxa" w:w="3168"/>
          </w:tcPr>
          <w:p>
            <w:r>
              <w:rPr>
                <w:sz w:val="18"/>
              </w:rPr>
              <w:t>Patent Ingestion Pipeline</w:t>
            </w:r>
          </w:p>
        </w:tc>
        <w:tc>
          <w:tcPr>
            <w:tcW w:type="dxa" w:w="5904"/>
          </w:tcPr>
          <w:p>
            <w:r>
              <w:rPr>
                <w:sz w:val="18"/>
              </w:rPr>
              <w:t>Complete system for mining synthesis reactions from patent documents using Gemini LLM</w:t>
            </w:r>
          </w:p>
        </w:tc>
      </w:tr>
      <w:tr>
        <w:tc>
          <w:tcPr>
            <w:tcW w:type="dxa" w:w="3168"/>
          </w:tcPr>
          <w:p>
            <w:r>
              <w:rPr>
                <w:sz w:val="18"/>
              </w:rPr>
              <w:t>Data Pipeline</w:t>
            </w:r>
          </w:p>
        </w:tc>
        <w:tc>
          <w:tcPr>
            <w:tcW w:type="dxa" w:w="5904"/>
          </w:tcPr>
          <w:p>
            <w:r>
              <w:rPr>
                <w:sz w:val="18"/>
              </w:rPr>
              <w:t>Bulk patent CSV downloader (PatentsView) + ORD database import from HuggingFace</w:t>
            </w:r>
          </w:p>
        </w:tc>
      </w:tr>
      <w:tr>
        <w:tc>
          <w:tcPr>
            <w:tcW w:type="dxa" w:w="3168"/>
          </w:tcPr>
          <w:p>
            <w:r>
              <w:rPr>
                <w:sz w:val="18"/>
              </w:rPr>
              <w:t>Reaction Database + Review UI</w:t>
            </w:r>
          </w:p>
        </w:tc>
        <w:tc>
          <w:tcPr>
            <w:tcW w:type="dxa" w:w="5904"/>
          </w:tcPr>
          <w:p>
            <w:r>
              <w:rPr>
                <w:sz w:val="18"/>
              </w:rPr>
              <w:t>SQLite database with FTS5/FAISS search, FastAPI review UI, active learning logs</w:t>
            </w:r>
          </w:p>
        </w:tc>
      </w:tr>
    </w:tbl>
    <w:p/>
    <w:p>
      <w:r>
        <w:br w:type="page"/>
      </w:r>
    </w:p>
    <w:p>
      <w:pPr>
        <w:pStyle w:val="Heading1"/>
      </w:pPr>
      <w:r>
        <w:rPr>
          <w:color w:val="1F497D"/>
          <w:sz w:val="32"/>
        </w:rPr>
        <w:t>3. Patent Ingestion Pipeline  (patent_ingestion_pipeline/)</w:t>
      </w:r>
    </w:p>
    <w:p>
      <w:pPr>
        <w:spacing w:after="80"/>
      </w:pPr>
      <w:r>
        <w:t>A complete separate Python package (its own pyproject.toml) that can be installed and operated independently of the main SynAgent evaluation framework. It mines synthesis reactions from patent full text, stores them in SQLite, and surfaces them through a web review interface.</w:t>
      </w:r>
    </w:p>
    <w:p>
      <w:pPr>
        <w:pStyle w:val="Heading2"/>
      </w:pPr>
      <w:r>
        <w:rPr>
          <w:color w:val="2F5496"/>
          <w:sz w:val="26"/>
        </w:rPr>
        <w:t>3.1  Database (database.py)</w:t>
      </w:r>
    </w:p>
    <w:p>
      <w:pPr>
        <w:spacing w:after="80"/>
      </w:pPr>
      <w:r>
        <w:t>SQLite + FTS5 schema with six tables:</w:t>
      </w:r>
    </w:p>
    <w:p>
      <w:pPr>
        <w:pStyle w:val="ListBullet"/>
        <w:spacing w:after="40"/>
      </w:pPr>
      <w:r>
        <w:rPr>
          <w:b/>
        </w:rPr>
        <w:t>raw_documents</w:t>
      </w:r>
      <w:r>
        <w:t xml:space="preserve"> — fetched patent pages (URL, raw HTML/text, metadata)</w:t>
      </w:r>
    </w:p>
    <w:p>
      <w:pPr>
        <w:pStyle w:val="ListBullet"/>
        <w:spacing w:after="40"/>
      </w:pPr>
      <w:r>
        <w:rPr>
          <w:b/>
        </w:rPr>
        <w:t>patents</w:t>
      </w:r>
      <w:r>
        <w:t xml:space="preserve"> — parsed patent metadata (ID, title, abstract, inventors, assignee, domain tags)</w:t>
      </w:r>
    </w:p>
    <w:p>
      <w:pPr>
        <w:pStyle w:val="ListBullet"/>
        <w:spacing w:after="40"/>
      </w:pPr>
      <w:r>
        <w:rPr>
          <w:b/>
        </w:rPr>
        <w:t>reactions</w:t>
      </w:r>
      <w:r>
        <w:t xml:space="preserve"> — extracted reactions (SMARTS, reactant/product SMILES, yield %, temperature, solvent, catalyst, time, confidence, source)</w:t>
      </w:r>
    </w:p>
    <w:p>
      <w:pPr>
        <w:pStyle w:val="ListBullet"/>
        <w:spacing w:after="40"/>
      </w:pPr>
      <w:r>
        <w:rPr>
          <w:b/>
        </w:rPr>
        <w:t>parse_queue</w:t>
      </w:r>
      <w:r>
        <w:t xml:space="preserve"> — async queue linking raw documents to LLM parse jobs (status: pending/running/done/failed)</w:t>
      </w:r>
    </w:p>
    <w:p>
      <w:pPr>
        <w:pStyle w:val="ListBullet"/>
        <w:spacing w:after="40"/>
      </w:pPr>
      <w:r>
        <w:rPr>
          <w:b/>
        </w:rPr>
        <w:t>active_learning</w:t>
      </w:r>
      <w:r>
        <w:t xml:space="preserve"> — human correction log for future fine-tuning</w:t>
      </w:r>
    </w:p>
    <w:p>
      <w:pPr>
        <w:pStyle w:val="ListBullet"/>
        <w:spacing w:after="40"/>
      </w:pPr>
      <w:r>
        <w:rPr>
          <w:b/>
        </w:rPr>
        <w:t>crawl_runs</w:t>
      </w:r>
      <w:r>
        <w:t xml:space="preserve"> — crawl session statistics</w:t>
      </w:r>
    </w:p>
    <w:p>
      <w:pPr>
        <w:spacing w:after="80"/>
      </w:pPr>
      <w:r>
        <w:t>Optional semantic search via FAISS + sentence-transformers (build_semantic_index / semantic_search methods).</w:t>
      </w:r>
    </w:p>
    <w:p>
      <w:pPr>
        <w:pStyle w:val="Heading2"/>
      </w:pPr>
      <w:r>
        <w:rPr>
          <w:color w:val="2F5496"/>
          <w:sz w:val="26"/>
        </w:rPr>
        <w:t>3.2  LLM Parser (llm_parser.py)</w:t>
      </w:r>
    </w:p>
    <w:p>
      <w:pPr>
        <w:spacing w:after="80"/>
      </w:pPr>
      <w:r>
        <w:t>GeminiLLMParser sends raw patent text to Google Gemini and requests structured JSON output covering all reactions found. A multi-pass validation pipeline then:</w:t>
      </w:r>
    </w:p>
    <w:p>
      <w:pPr>
        <w:pStyle w:val="ListBullet"/>
        <w:spacing w:after="40"/>
      </w:pPr>
      <w:r>
        <w:t>Canonicalizes SMILES via RDKit (with PubChem fallback)</w:t>
      </w:r>
    </w:p>
    <w:p>
      <w:pPr>
        <w:pStyle w:val="ListBullet"/>
        <w:spacing w:after="40"/>
      </w:pPr>
      <w:r>
        <w:t>Augments LLM output with regex NER (yields, temperatures, SMILES tokens) from chem_ner.py</w:t>
      </w:r>
    </w:p>
    <w:p>
      <w:pPr>
        <w:pStyle w:val="ListBullet"/>
        <w:spacing w:after="40"/>
      </w:pPr>
      <w:r>
        <w:t>Scores each reaction 0.0–1.0 based on RDKit validity + PubChem agreement</w:t>
      </w:r>
    </w:p>
    <w:p>
      <w:pPr>
        <w:pStyle w:val="ListBullet"/>
        <w:spacing w:after="40"/>
      </w:pPr>
      <w:r>
        <w:t>Flags reactions below 0.6 confidence for batch human review</w:t>
      </w:r>
    </w:p>
    <w:p>
      <w:pPr>
        <w:pStyle w:val="Heading2"/>
      </w:pPr>
      <w:r>
        <w:rPr>
          <w:color w:val="2F5496"/>
          <w:sz w:val="26"/>
        </w:rPr>
        <w:t>3.3  Collection Pipeline (pipeline.py)</w:t>
      </w:r>
    </w:p>
    <w:p>
      <w:pPr>
        <w:spacing w:after="80"/>
      </w:pPr>
      <w:r>
        <w:t>IngestionPipeline orchestrates fetch → store → enqueue → parse. It uses Scrapling (Fetcher, DynamicFetcher, StealthyFetcher) for web scraping, with automatic fallback from static to dynamic browser rendering for JavaScript-heavy pages. Google Patents XHR API is tried first for Google Patents URLs.</w:t>
      </w:r>
    </w:p>
    <w:p>
      <w:pPr>
        <w:pStyle w:val="Heading2"/>
      </w:pPr>
      <w:r>
        <w:rPr>
          <w:color w:val="2F5496"/>
          <w:sz w:val="26"/>
        </w:rPr>
        <w:t>3.4  Web Review UI (webui.py)</w:t>
      </w:r>
    </w:p>
    <w:p>
      <w:pPr>
        <w:spacing w:after="80"/>
      </w:pPr>
      <w:r>
        <w:t>FastAPI + Jinja2 application with the following pages/endpoints:</w:t>
      </w:r>
    </w:p>
    <w:p>
      <w:pPr>
        <w:pStyle w:val="ListBullet"/>
        <w:spacing w:after="40"/>
      </w:pPr>
      <w:r>
        <w:t>GET /  →  Review queue — list of all ingested patents</w:t>
      </w:r>
    </w:p>
    <w:p>
      <w:pPr>
        <w:pStyle w:val="ListBullet"/>
        <w:spacing w:after="40"/>
      </w:pPr>
      <w:r>
        <w:t>GET /patent/&lt;id&gt;  →  Patent detail with per-reaction AJAX edit modals</w:t>
      </w:r>
    </w:p>
    <w:p>
      <w:pPr>
        <w:pStyle w:val="ListBullet"/>
        <w:spacing w:after="40"/>
      </w:pPr>
      <w:r>
        <w:t>GET /batch_review  →  Low-confidence reactions (&lt;0.6) for batch human correction</w:t>
      </w:r>
    </w:p>
    <w:p>
      <w:pPr>
        <w:pStyle w:val="ListBullet"/>
        <w:spacing w:after="40"/>
      </w:pPr>
      <w:r>
        <w:t>GET /upload-csv  →  Drag-and-drop bulk patent CSV upload (new)</w:t>
      </w:r>
    </w:p>
    <w:p>
      <w:pPr>
        <w:pStyle w:val="ListBullet"/>
        <w:spacing w:after="40"/>
      </w:pPr>
      <w:r>
        <w:t>POST /api/upload-csv  →  CSV ingestion API — accepts file, queues for LLM parsing (new)</w:t>
      </w:r>
    </w:p>
    <w:p>
      <w:pPr>
        <w:pStyle w:val="ListBullet"/>
        <w:spacing w:after="40"/>
      </w:pPr>
      <w:r>
        <w:t>GET /search  →  Full-text search over patents and reactions</w:t>
      </w:r>
    </w:p>
    <w:p>
      <w:pPr>
        <w:pStyle w:val="ListBullet"/>
        <w:spacing w:after="40"/>
      </w:pPr>
      <w:r>
        <w:t>GET /crawler  →  Crawler dashboard with run statistics</w:t>
      </w:r>
    </w:p>
    <w:p>
      <w:pPr>
        <w:pStyle w:val="ListBullet"/>
        <w:spacing w:after="40"/>
      </w:pPr>
      <w:r>
        <w:t>POST /api/active_learning  →  Log human corrections for active learning</w:t>
      </w:r>
    </w:p>
    <w:p>
      <w:pPr>
        <w:pStyle w:val="Heading2"/>
      </w:pPr>
      <w:r>
        <w:rPr>
          <w:color w:val="2F5496"/>
          <w:sz w:val="26"/>
        </w:rPr>
        <w:t>3.5  CLI (cli.py)</w:t>
      </w:r>
    </w:p>
    <w:p>
      <w:pPr>
        <w:spacing w:after="80"/>
      </w:pPr>
      <w:r>
        <w:t>Typer-based CLI with the following commands:</w:t>
      </w:r>
    </w:p>
    <w:tbl>
      <w:tblPr>
        <w:tblStyle w:val="TableGrid"/>
        <w:tblW w:type="auto" w:w="0"/>
        <w:tblLook w:firstColumn="1" w:firstRow="1" w:lastColumn="0" w:lastRow="0" w:noHBand="0" w:noVBand="1" w:val="04A0"/>
      </w:tblPr>
      <w:tblGrid>
        <w:gridCol w:w="4320"/>
        <w:gridCol w:w="4320"/>
      </w:tblGrid>
      <w:tr>
        <w:tc>
          <w:tcPr>
            <w:tcW w:type="dxa" w:w="3600"/>
            <w:shd w:val="clear" w:color="auto" w:fill="BDD7EE"/>
          </w:tcPr>
          <w:p>
            <w:r>
              <w:rPr>
                <w:b/>
                <w:sz w:val="18"/>
              </w:rPr>
              <w:t>Command</w:t>
            </w:r>
          </w:p>
        </w:tc>
        <w:tc>
          <w:tcPr>
            <w:tcW w:type="dxa" w:w="5472"/>
            <w:shd w:val="clear" w:color="auto" w:fill="BDD7EE"/>
          </w:tcPr>
          <w:p>
            <w:r>
              <w:rPr>
                <w:b/>
                <w:sz w:val="18"/>
              </w:rPr>
              <w:t>Description</w:t>
            </w:r>
          </w:p>
        </w:tc>
      </w:tr>
      <w:tr>
        <w:tc>
          <w:tcPr>
            <w:tcW w:type="dxa" w:w="3600"/>
          </w:tcPr>
          <w:p>
            <w:r>
              <w:rPr>
                <w:sz w:val="18"/>
              </w:rPr>
              <w:t>collect &lt;url&gt;</w:t>
            </w:r>
          </w:p>
        </w:tc>
        <w:tc>
          <w:tcPr>
            <w:tcW w:type="dxa" w:w="5472"/>
          </w:tcPr>
          <w:p>
            <w:r>
              <w:rPr>
                <w:sz w:val="18"/>
              </w:rPr>
              <w:t>Fetch a single patent URL into the database</w:t>
            </w:r>
          </w:p>
        </w:tc>
      </w:tr>
      <w:tr>
        <w:tc>
          <w:tcPr>
            <w:tcW w:type="dxa" w:w="3600"/>
          </w:tcPr>
          <w:p>
            <w:r>
              <w:rPr>
                <w:sz w:val="18"/>
              </w:rPr>
              <w:t>collect-many &lt;file&gt;</w:t>
            </w:r>
          </w:p>
        </w:tc>
        <w:tc>
          <w:tcPr>
            <w:tcW w:type="dxa" w:w="5472"/>
          </w:tcPr>
          <w:p>
            <w:r>
              <w:rPr>
                <w:sz w:val="18"/>
              </w:rPr>
              <w:t>Batch fetch from a list of URLs</w:t>
            </w:r>
          </w:p>
        </w:tc>
      </w:tr>
      <w:tr>
        <w:tc>
          <w:tcPr>
            <w:tcW w:type="dxa" w:w="3600"/>
          </w:tcPr>
          <w:p>
            <w:r>
              <w:rPr>
                <w:sz w:val="18"/>
              </w:rPr>
              <w:t>collect-search &lt;query&gt;</w:t>
            </w:r>
          </w:p>
        </w:tc>
        <w:tc>
          <w:tcPr>
            <w:tcW w:type="dxa" w:w="5472"/>
          </w:tcPr>
          <w:p>
            <w:r>
              <w:rPr>
                <w:sz w:val="18"/>
              </w:rPr>
              <w:t>Google Patents search → collect results</w:t>
            </w:r>
          </w:p>
        </w:tc>
      </w:tr>
      <w:tr>
        <w:tc>
          <w:tcPr>
            <w:tcW w:type="dxa" w:w="3600"/>
          </w:tcPr>
          <w:p>
            <w:r>
              <w:rPr>
                <w:sz w:val="18"/>
              </w:rPr>
              <w:t>parse</w:t>
            </w:r>
          </w:p>
        </w:tc>
        <w:tc>
          <w:tcPr>
            <w:tcW w:type="dxa" w:w="5472"/>
          </w:tcPr>
          <w:p>
            <w:r>
              <w:rPr>
                <w:sz w:val="18"/>
              </w:rPr>
              <w:t>Run Gemini LLM on all raw documents</w:t>
            </w:r>
          </w:p>
        </w:tc>
      </w:tr>
      <w:tr>
        <w:tc>
          <w:tcPr>
            <w:tcW w:type="dxa" w:w="3600"/>
          </w:tcPr>
          <w:p>
            <w:r>
              <w:rPr>
                <w:sz w:val="18"/>
              </w:rPr>
              <w:t>run-worker</w:t>
            </w:r>
          </w:p>
        </w:tc>
        <w:tc>
          <w:tcPr>
            <w:tcW w:type="dxa" w:w="5472"/>
          </w:tcPr>
          <w:p>
            <w:r>
              <w:rPr>
                <w:sz w:val="18"/>
              </w:rPr>
              <w:t>Process parse queue continuously</w:t>
            </w:r>
          </w:p>
        </w:tc>
      </w:tr>
      <w:tr>
        <w:tc>
          <w:tcPr>
            <w:tcW w:type="dxa" w:w="3600"/>
          </w:tcPr>
          <w:p>
            <w:r>
              <w:rPr>
                <w:sz w:val="18"/>
              </w:rPr>
              <w:t>run-crawler</w:t>
            </w:r>
          </w:p>
        </w:tc>
        <w:tc>
          <w:tcPr>
            <w:tcW w:type="dxa" w:w="5472"/>
          </w:tcPr>
          <w:p>
            <w:r>
              <w:rPr>
                <w:sz w:val="18"/>
              </w:rPr>
              <w:t>Scrapling crawler with configurable profiles</w:t>
            </w:r>
          </w:p>
        </w:tc>
      </w:tr>
      <w:tr>
        <w:tc>
          <w:tcPr>
            <w:tcW w:type="dxa" w:w="3600"/>
          </w:tcPr>
          <w:p>
            <w:r>
              <w:rPr>
                <w:sz w:val="18"/>
              </w:rPr>
              <w:t>run-autonomous</w:t>
            </w:r>
          </w:p>
        </w:tc>
        <w:tc>
          <w:tcPr>
            <w:tcW w:type="dxa" w:w="5472"/>
          </w:tcPr>
          <w:p>
            <w:r>
              <w:rPr>
                <w:sz w:val="18"/>
              </w:rPr>
              <w:t>Continuous collect → enqueue → parse cycles</w:t>
            </w:r>
          </w:p>
        </w:tc>
      </w:tr>
      <w:tr>
        <w:tc>
          <w:tcPr>
            <w:tcW w:type="dxa" w:w="3600"/>
          </w:tcPr>
          <w:p>
            <w:r>
              <w:rPr>
                <w:sz w:val="18"/>
              </w:rPr>
              <w:t>run-full-pipeline</w:t>
            </w:r>
          </w:p>
        </w:tc>
        <w:tc>
          <w:tcPr>
            <w:tcW w:type="dxa" w:w="5472"/>
          </w:tcPr>
          <w:p>
            <w:r>
              <w:rPr>
                <w:sz w:val="18"/>
              </w:rPr>
              <w:t>End-to-end: search → collect → parse</w:t>
            </w:r>
          </w:p>
        </w:tc>
      </w:tr>
      <w:tr>
        <w:tc>
          <w:tcPr>
            <w:tcW w:type="dxa" w:w="3600"/>
          </w:tcPr>
          <w:p>
            <w:r>
              <w:rPr>
                <w:sz w:val="18"/>
              </w:rPr>
              <w:t>download-bulk &lt;year&gt; &lt;week&gt;</w:t>
            </w:r>
          </w:p>
        </w:tc>
        <w:tc>
          <w:tcPr>
            <w:tcW w:type="dxa" w:w="5472"/>
          </w:tcPr>
          <w:p>
            <w:r>
              <w:rPr>
                <w:sz w:val="18"/>
              </w:rPr>
              <w:t>Download weekly patent CSV from PatentsView (new)</w:t>
            </w:r>
          </w:p>
        </w:tc>
      </w:tr>
      <w:tr>
        <w:tc>
          <w:tcPr>
            <w:tcW w:type="dxa" w:w="3600"/>
          </w:tcPr>
          <w:p>
            <w:r>
              <w:rPr>
                <w:sz w:val="18"/>
              </w:rPr>
              <w:t>ingest-csv &lt;file&gt;</w:t>
            </w:r>
          </w:p>
        </w:tc>
        <w:tc>
          <w:tcPr>
            <w:tcW w:type="dxa" w:w="5472"/>
          </w:tcPr>
          <w:p>
            <w:r>
              <w:rPr>
                <w:sz w:val="18"/>
              </w:rPr>
              <w:t>Ingest bulk patent CSV into DB and queue (new)</w:t>
            </w:r>
          </w:p>
        </w:tc>
      </w:tr>
      <w:tr>
        <w:tc>
          <w:tcPr>
            <w:tcW w:type="dxa" w:w="3600"/>
          </w:tcPr>
          <w:p>
            <w:r>
              <w:rPr>
                <w:sz w:val="18"/>
              </w:rPr>
              <w:t>ingest-ord</w:t>
            </w:r>
          </w:p>
        </w:tc>
        <w:tc>
          <w:tcPr>
            <w:tcW w:type="dxa" w:w="5472"/>
          </w:tcPr>
          <w:p>
            <w:r>
              <w:rPr>
                <w:sz w:val="18"/>
              </w:rPr>
              <w:t>Import ORD reactions from HuggingFace (new)</w:t>
            </w:r>
          </w:p>
        </w:tc>
      </w:tr>
    </w:tbl>
    <w:p/>
    <w:p>
      <w:r>
        <w:br w:type="page"/>
      </w:r>
    </w:p>
    <w:p>
      <w:pPr>
        <w:pStyle w:val="Heading1"/>
      </w:pPr>
      <w:r>
        <w:rPr>
          <w:color w:val="1F497D"/>
          <w:sz w:val="32"/>
        </w:rPr>
        <w:t>4. New Data Pipeline Modules  (just implemented)</w:t>
      </w:r>
    </w:p>
    <w:p>
      <w:pPr>
        <w:spacing w:after="80"/>
      </w:pPr>
      <w:r>
        <w:t>Three new modules were added to complete the two-source data ingestion strategy: LLM-extracted patent reactions and directly imported ORD curated reactions.</w:t>
      </w:r>
    </w:p>
    <w:p>
      <w:pPr>
        <w:pStyle w:val="Heading2"/>
      </w:pPr>
      <w:r>
        <w:rPr>
          <w:color w:val="2F5496"/>
          <w:sz w:val="26"/>
        </w:rPr>
        <w:t>4.1  bulk_downloader.py</w:t>
      </w:r>
    </w:p>
    <w:p>
      <w:pPr>
        <w:spacing w:after="80"/>
      </w:pPr>
      <w:r>
        <w:t>Downloads weekly chemistry patent metadata from the PatentsView public API (free, no API key required).</w:t>
      </w:r>
    </w:p>
    <w:p>
      <w:pPr>
        <w:spacing w:after="80"/>
      </w:pPr>
      <w:r>
        <w:t>Key function:</w:t>
      </w:r>
    </w:p>
    <w:p>
      <w:pPr>
        <w:spacing w:after="40"/>
        <w:ind w:left="576"/>
      </w:pPr>
      <w:r>
        <w:rPr>
          <w:rFonts w:ascii="Courier New" w:hAnsi="Courier New"/>
          <w:color w:val="008000"/>
          <w:sz w:val="18"/>
        </w:rPr>
        <w:t>get_bulk_patent_data(year=2024, week=1, limit=500, output_csv='patents.csv')</w:t>
      </w:r>
    </w:p>
    <w:p>
      <w:pPr>
        <w:pStyle w:val="ListBullet"/>
        <w:spacing w:after="40"/>
      </w:pPr>
      <w:r>
        <w:t>Converts ISO week number to start/end dates for the PatentsView query</w:t>
      </w:r>
    </w:p>
    <w:p>
      <w:pPr>
        <w:pStyle w:val="ListBullet"/>
        <w:spacing w:after="40"/>
      </w:pPr>
      <w:r>
        <w:t>Filters to CPC section C (Chemistry and Metallurgy) by default</w:t>
      </w:r>
    </w:p>
    <w:p>
      <w:pPr>
        <w:pStyle w:val="ListBullet"/>
        <w:spacing w:after="40"/>
      </w:pPr>
      <w:r>
        <w:t>Returns: patent_id, title, abstract, date, url, raw_text columns</w:t>
      </w:r>
    </w:p>
    <w:p>
      <w:pPr>
        <w:pStyle w:val="ListBullet"/>
        <w:spacing w:after="40"/>
      </w:pPr>
      <w:r>
        <w:t>load_csv_as_patent_dicts() reads back any compatible CSV for ingestion</w:t>
      </w:r>
    </w:p>
    <w:p>
      <w:pPr>
        <w:spacing w:after="80"/>
      </w:pPr>
      <w:r>
        <w:t>CLI usage:</w:t>
      </w:r>
    </w:p>
    <w:p>
      <w:pPr>
        <w:spacing w:after="40"/>
        <w:ind w:left="576"/>
      </w:pPr>
      <w:r>
        <w:rPr>
          <w:rFonts w:ascii="Courier New" w:hAnsi="Courier New"/>
          <w:color w:val="008000"/>
          <w:sz w:val="18"/>
        </w:rPr>
        <w:t>patent-pipeline download-bulk 2024 1 --output patents_2024_w01.csv</w:t>
      </w:r>
    </w:p>
    <w:p>
      <w:pPr>
        <w:pStyle w:val="Heading2"/>
      </w:pPr>
      <w:r>
        <w:rPr>
          <w:color w:val="2F5496"/>
          <w:sz w:val="26"/>
        </w:rPr>
        <w:t>4.2  csv_ingestion.py</w:t>
      </w:r>
    </w:p>
    <w:p>
      <w:pPr>
        <w:spacing w:after="80"/>
      </w:pPr>
      <w:r>
        <w:t>Reads a bulk patent CSV (from download-bulk or any compatible format) and stores each row as a RawDocument ready for LLM parsing.</w:t>
      </w:r>
    </w:p>
    <w:p>
      <w:pPr>
        <w:spacing w:after="80"/>
      </w:pPr>
      <w:r>
        <w:t>Key functions:</w:t>
      </w:r>
    </w:p>
    <w:p>
      <w:pPr>
        <w:spacing w:after="40"/>
        <w:ind w:left="576"/>
      </w:pPr>
      <w:r>
        <w:rPr>
          <w:rFonts w:ascii="Courier New" w:hAnsi="Courier New"/>
          <w:color w:val="008000"/>
          <w:sz w:val="18"/>
        </w:rPr>
        <w:t>ingest_csv_file(csv_path, db, enqueue=True)   # CLI path</w:t>
      </w:r>
    </w:p>
    <w:p>
      <w:pPr>
        <w:spacing w:after="40"/>
        <w:ind w:left="576"/>
      </w:pPr>
      <w:r>
        <w:rPr>
          <w:rFonts w:ascii="Courier New" w:hAnsi="Courier New"/>
          <w:color w:val="008000"/>
          <w:sz w:val="18"/>
        </w:rPr>
        <w:t>ingest_csv_bytes(content, filename, db)        # Web upload path</w:t>
      </w:r>
    </w:p>
    <w:p>
      <w:pPr>
        <w:pStyle w:val="ListBullet"/>
        <w:spacing w:after="40"/>
      </w:pPr>
      <w:r>
        <w:t>Accepts any CSV with columns: patent_id, title, abstract, raw_text (extras ignored)</w:t>
      </w:r>
    </w:p>
    <w:p>
      <w:pPr>
        <w:pStyle w:val="ListBullet"/>
        <w:spacing w:after="40"/>
      </w:pPr>
      <w:r>
        <w:t>Creates one RawDocument per row; sets source_type='patent_csv'</w:t>
      </w:r>
    </w:p>
    <w:p>
      <w:pPr>
        <w:pStyle w:val="ListBullet"/>
        <w:spacing w:after="40"/>
      </w:pPr>
      <w:r>
        <w:t>Auto-enqueues each document in the parse queue for Gemini processing</w:t>
      </w:r>
    </w:p>
    <w:p>
      <w:pPr>
        <w:pStyle w:val="ListBullet"/>
        <w:spacing w:after="40"/>
      </w:pPr>
      <w:r>
        <w:t>skip_existing=True avoids re-ingesting duplicates</w:t>
      </w:r>
    </w:p>
    <w:p>
      <w:pPr>
        <w:spacing w:after="80"/>
      </w:pPr>
      <w:r>
        <w:t>CLI usage:</w:t>
      </w:r>
    </w:p>
    <w:p>
      <w:pPr>
        <w:spacing w:after="40"/>
        <w:ind w:left="576"/>
      </w:pPr>
      <w:r>
        <w:rPr>
          <w:rFonts w:ascii="Courier New" w:hAnsi="Courier New"/>
          <w:color w:val="008000"/>
          <w:sz w:val="18"/>
        </w:rPr>
        <w:t>patent-pipeline ingest-csv patents_2024_w01.csv</w:t>
      </w:r>
    </w:p>
    <w:p>
      <w:pPr>
        <w:pStyle w:val="Heading2"/>
      </w:pPr>
      <w:r>
        <w:rPr>
          <w:color w:val="2F5496"/>
          <w:sz w:val="26"/>
        </w:rPr>
        <w:t>4.3  ord_ingestion.py</w:t>
      </w:r>
    </w:p>
    <w:p>
      <w:pPr>
        <w:spacing w:after="80"/>
      </w:pPr>
      <w:r>
        <w:t>Streams reactions from the Open Reaction Database (ORD) via HuggingFace Hub. ORD data is already expert-curated — no LLM parsing is needed, eliminating API cost and latency for this data source.</w:t>
      </w:r>
    </w:p>
    <w:p>
      <w:pPr>
        <w:spacing w:after="80"/>
      </w:pPr>
      <w:r>
        <w:t>Key function:</w:t>
      </w:r>
    </w:p>
    <w:p>
      <w:pPr>
        <w:spacing w:after="40"/>
        <w:ind w:left="576"/>
      </w:pPr>
      <w:r>
        <w:rPr>
          <w:rFonts w:ascii="Courier New" w:hAnsi="Courier New"/>
          <w:color w:val="008000"/>
          <w:sz w:val="18"/>
        </w:rPr>
        <w:t>ingest_ord_dataset(db, limit=5000, dataset_id='open-reaction-database/ord-data')</w:t>
      </w:r>
    </w:p>
    <w:p>
      <w:pPr>
        <w:pStyle w:val="ListBullet"/>
        <w:spacing w:after="40"/>
      </w:pPr>
      <w:r>
        <w:t>Requires: pip install datasets</w:t>
      </w:r>
    </w:p>
    <w:p>
      <w:pPr>
        <w:pStyle w:val="ListBullet"/>
        <w:spacing w:after="40"/>
      </w:pPr>
      <w:r>
        <w:t>Creates a synthetic parent patent record 'ORD-DATASET' as the owner of all ORD reactions</w:t>
      </w:r>
    </w:p>
    <w:p>
      <w:pPr>
        <w:pStyle w:val="ListBullet"/>
        <w:spacing w:after="40"/>
      </w:pPr>
      <w:r>
        <w:t>Maps ORD fields to ReactionRecord: reaction_smiles, yield, temperature_c, solvents, catalysts</w:t>
      </w:r>
    </w:p>
    <w:p>
      <w:pPr>
        <w:pStyle w:val="ListBullet"/>
        <w:spacing w:after="40"/>
      </w:pPr>
      <w:r>
        <w:t>Tolerant of different column name conventions across ORD HuggingFace exports</w:t>
      </w:r>
    </w:p>
    <w:p>
      <w:pPr>
        <w:pStyle w:val="ListBullet"/>
        <w:spacing w:after="40"/>
      </w:pPr>
      <w:r>
        <w:t>Sets source='ord' and confidence=1.0 on every inserted reaction</w:t>
      </w:r>
    </w:p>
    <w:p>
      <w:pPr>
        <w:pStyle w:val="ListBullet"/>
        <w:spacing w:after="40"/>
      </w:pPr>
      <w:r>
        <w:t>Recommended limit: 5 000–10 000 reactions for initial testing (full corpus ~1 M+)</w:t>
      </w:r>
    </w:p>
    <w:p>
      <w:pPr>
        <w:spacing w:after="80"/>
      </w:pPr>
      <w:r>
        <w:t>CLI usage:</w:t>
      </w:r>
    </w:p>
    <w:p>
      <w:pPr>
        <w:spacing w:after="40"/>
        <w:ind w:left="576"/>
      </w:pPr>
      <w:r>
        <w:rPr>
          <w:rFonts w:ascii="Courier New" w:hAnsi="Courier New"/>
          <w:color w:val="008000"/>
          <w:sz w:val="18"/>
        </w:rPr>
        <w:t>patent-pipeline ingest-ord --limit 5000</w:t>
      </w:r>
    </w:p>
    <w:p>
      <w:pPr>
        <w:pStyle w:val="Heading2"/>
      </w:pPr>
      <w:r>
        <w:rPr>
          <w:color w:val="2F5496"/>
          <w:sz w:val="26"/>
        </w:rPr>
        <w:t>4.4  Database Schema Update (database.py)</w:t>
      </w:r>
    </w:p>
    <w:p>
      <w:pPr>
        <w:spacing w:after="80"/>
      </w:pPr>
      <w:r>
        <w:t>One new column added to the reactions table via automatic migration:</w:t>
      </w:r>
    </w:p>
    <w:p>
      <w:pPr>
        <w:spacing w:after="40"/>
        <w:ind w:left="576"/>
      </w:pPr>
      <w:r>
        <w:rPr>
          <w:rFonts w:ascii="Courier New" w:hAnsi="Courier New"/>
          <w:color w:val="008000"/>
          <w:sz w:val="18"/>
        </w:rPr>
        <w:t>ALTER TABLE reactions ADD COLUMN source TEXT DEFAULT 'patent'</w:t>
      </w:r>
    </w:p>
    <w:p>
      <w:pPr>
        <w:spacing w:after="80"/>
      </w:pPr>
      <w:r>
        <w:t>Values:</w:t>
      </w:r>
    </w:p>
    <w:p>
      <w:pPr>
        <w:pStyle w:val="ListBullet"/>
        <w:spacing w:after="40"/>
      </w:pPr>
      <w:r>
        <w:t>'patent'  — reaction extracted from patent text via Gemini LLM</w:t>
      </w:r>
    </w:p>
    <w:p>
      <w:pPr>
        <w:pStyle w:val="ListBullet"/>
        <w:spacing w:after="40"/>
      </w:pPr>
      <w:r>
        <w:t>'ord'  — reaction imported directly from the Open Reaction Database</w:t>
      </w:r>
    </w:p>
    <w:p>
      <w:pPr>
        <w:spacing w:after="80"/>
      </w:pPr>
      <w:r>
        <w:t>The migration is applied automatically on PatentDatabase startup, so existing databases are upgraded without manual intervention.</w:t>
      </w:r>
    </w:p>
    <w:p>
      <w:r>
        <w:br w:type="page"/>
      </w:r>
    </w:p>
    <w:p>
      <w:pPr>
        <w:pStyle w:val="Heading1"/>
      </w:pPr>
      <w:r>
        <w:rPr>
          <w:color w:val="1F497D"/>
          <w:sz w:val="32"/>
        </w:rPr>
        <w:t>5. Complete Data Flow</w:t>
      </w:r>
    </w:p>
    <w:p>
      <w:pPr>
        <w:pStyle w:val="Heading2"/>
      </w:pPr>
      <w:r>
        <w:rPr>
          <w:color w:val="2F5496"/>
          <w:sz w:val="26"/>
        </w:rPr>
        <w:t>Flow A — Patent CSV Path</w:t>
      </w:r>
    </w:p>
    <w:tbl>
      <w:tblPr>
        <w:tblStyle w:val="TableGrid"/>
        <w:tblW w:type="auto" w:w="0"/>
        <w:tblLook w:firstColumn="1" w:firstRow="1" w:lastColumn="0" w:lastRow="0" w:noHBand="0" w:noVBand="1" w:val="04A0"/>
      </w:tblPr>
      <w:tblGrid>
        <w:gridCol w:w="2880"/>
        <w:gridCol w:w="2880"/>
        <w:gridCol w:w="2880"/>
      </w:tblGrid>
      <w:tr>
        <w:tc>
          <w:tcPr>
            <w:tcW w:type="dxa" w:w="864"/>
            <w:shd w:val="clear" w:color="auto" w:fill="BDD7EE"/>
          </w:tcPr>
          <w:p>
            <w:r>
              <w:rPr>
                <w:b/>
                <w:sz w:val="18"/>
              </w:rPr>
              <w:t>Step</w:t>
            </w:r>
          </w:p>
        </w:tc>
        <w:tc>
          <w:tcPr>
            <w:tcW w:type="dxa" w:w="3456"/>
            <w:shd w:val="clear" w:color="auto" w:fill="BDD7EE"/>
          </w:tcPr>
          <w:p>
            <w:r>
              <w:rPr>
                <w:b/>
                <w:sz w:val="18"/>
              </w:rPr>
              <w:t>Action</w:t>
            </w:r>
          </w:p>
        </w:tc>
        <w:tc>
          <w:tcPr>
            <w:tcW w:type="dxa" w:w="4752"/>
            <w:shd w:val="clear" w:color="auto" w:fill="BDD7EE"/>
          </w:tcPr>
          <w:p>
            <w:r>
              <w:rPr>
                <w:b/>
                <w:sz w:val="18"/>
              </w:rPr>
              <w:t>Output</w:t>
            </w:r>
          </w:p>
        </w:tc>
      </w:tr>
      <w:tr>
        <w:tc>
          <w:tcPr>
            <w:tcW w:type="dxa" w:w="864"/>
          </w:tcPr>
          <w:p>
            <w:r>
              <w:rPr>
                <w:sz w:val="18"/>
              </w:rPr>
              <w:t>1</w:t>
            </w:r>
          </w:p>
        </w:tc>
        <w:tc>
          <w:tcPr>
            <w:tcW w:type="dxa" w:w="3456"/>
          </w:tcPr>
          <w:p>
            <w:r>
              <w:rPr>
                <w:sz w:val="18"/>
              </w:rPr>
              <w:t>download-bulk 2024 1</w:t>
            </w:r>
          </w:p>
        </w:tc>
        <w:tc>
          <w:tcPr>
            <w:tcW w:type="dxa" w:w="4752"/>
          </w:tcPr>
          <w:p>
            <w:r>
              <w:rPr>
                <w:sz w:val="18"/>
              </w:rPr>
              <w:t>patents_2024_w01.csv (patent_id, title, abstract, raw_text)</w:t>
            </w:r>
          </w:p>
        </w:tc>
      </w:tr>
      <w:tr>
        <w:tc>
          <w:tcPr>
            <w:tcW w:type="dxa" w:w="864"/>
          </w:tcPr>
          <w:p>
            <w:r>
              <w:rPr>
                <w:sz w:val="18"/>
              </w:rPr>
              <w:t>2</w:t>
            </w:r>
          </w:p>
        </w:tc>
        <w:tc>
          <w:tcPr>
            <w:tcW w:type="dxa" w:w="3456"/>
          </w:tcPr>
          <w:p>
            <w:r>
              <w:rPr>
                <w:sz w:val="18"/>
              </w:rPr>
              <w:t>Drag CSV into /upload-csv UI  OR  ingest-csv CLI</w:t>
            </w:r>
          </w:p>
        </w:tc>
        <w:tc>
          <w:tcPr>
            <w:tcW w:type="dxa" w:w="4752"/>
          </w:tcPr>
          <w:p>
            <w:r>
              <w:rPr>
                <w:sz w:val="18"/>
              </w:rPr>
              <w:t>RawDocuments stored in raw_documents table</w:t>
            </w:r>
          </w:p>
        </w:tc>
      </w:tr>
      <w:tr>
        <w:tc>
          <w:tcPr>
            <w:tcW w:type="dxa" w:w="864"/>
          </w:tcPr>
          <w:p>
            <w:r>
              <w:rPr>
                <w:sz w:val="18"/>
              </w:rPr>
              <w:t>3</w:t>
            </w:r>
          </w:p>
        </w:tc>
        <w:tc>
          <w:tcPr>
            <w:tcW w:type="dxa" w:w="3456"/>
          </w:tcPr>
          <w:p>
            <w:r>
              <w:rPr>
                <w:sz w:val="18"/>
              </w:rPr>
              <w:t>Documents auto-enqueued</w:t>
            </w:r>
          </w:p>
        </w:tc>
        <w:tc>
          <w:tcPr>
            <w:tcW w:type="dxa" w:w="4752"/>
          </w:tcPr>
          <w:p>
            <w:r>
              <w:rPr>
                <w:sz w:val="18"/>
              </w:rPr>
              <w:t>parse_queue rows with status='pending'</w:t>
            </w:r>
          </w:p>
        </w:tc>
      </w:tr>
      <w:tr>
        <w:tc>
          <w:tcPr>
            <w:tcW w:type="dxa" w:w="864"/>
          </w:tcPr>
          <w:p>
            <w:r>
              <w:rPr>
                <w:sz w:val="18"/>
              </w:rPr>
              <w:t>4</w:t>
            </w:r>
          </w:p>
        </w:tc>
        <w:tc>
          <w:tcPr>
            <w:tcW w:type="dxa" w:w="3456"/>
          </w:tcPr>
          <w:p>
            <w:r>
              <w:rPr>
                <w:sz w:val="18"/>
              </w:rPr>
              <w:t>run-worker (Gemini LLM)</w:t>
            </w:r>
          </w:p>
        </w:tc>
        <w:tc>
          <w:tcPr>
            <w:tcW w:type="dxa" w:w="4752"/>
          </w:tcPr>
          <w:p>
            <w:r>
              <w:rPr>
                <w:sz w:val="18"/>
              </w:rPr>
              <w:t>PatentRecord + ReactionRecords extracted</w:t>
            </w:r>
          </w:p>
        </w:tc>
      </w:tr>
      <w:tr>
        <w:tc>
          <w:tcPr>
            <w:tcW w:type="dxa" w:w="864"/>
          </w:tcPr>
          <w:p>
            <w:r>
              <w:rPr>
                <w:sz w:val="18"/>
              </w:rPr>
              <w:t>5</w:t>
            </w:r>
          </w:p>
        </w:tc>
        <w:tc>
          <w:tcPr>
            <w:tcW w:type="dxa" w:w="3456"/>
          </w:tcPr>
          <w:p>
            <w:r>
              <w:rPr>
                <w:sz w:val="18"/>
              </w:rPr>
              <w:t>Stored in DB</w:t>
            </w:r>
          </w:p>
        </w:tc>
        <w:tc>
          <w:tcPr>
            <w:tcW w:type="dxa" w:w="4752"/>
          </w:tcPr>
          <w:p>
            <w:r>
              <w:rPr>
                <w:sz w:val="18"/>
              </w:rPr>
              <w:t>reactions table rows with source='patent', confidence 0–1</w:t>
            </w:r>
          </w:p>
        </w:tc>
      </w:tr>
      <w:tr>
        <w:tc>
          <w:tcPr>
            <w:tcW w:type="dxa" w:w="864"/>
          </w:tcPr>
          <w:p>
            <w:r>
              <w:rPr>
                <w:sz w:val="18"/>
              </w:rPr>
              <w:t>6</w:t>
            </w:r>
          </w:p>
        </w:tc>
        <w:tc>
          <w:tcPr>
            <w:tcW w:type="dxa" w:w="3456"/>
          </w:tcPr>
          <w:p>
            <w:r>
              <w:rPr>
                <w:sz w:val="18"/>
              </w:rPr>
              <w:t>Human review at /batch_review</w:t>
            </w:r>
          </w:p>
        </w:tc>
        <w:tc>
          <w:tcPr>
            <w:tcW w:type="dxa" w:w="4752"/>
          </w:tcPr>
          <w:p>
            <w:r>
              <w:rPr>
                <w:sz w:val="18"/>
              </w:rPr>
              <w:t>Low-confidence reactions corrected, logged in active_learning</w:t>
            </w:r>
          </w:p>
        </w:tc>
      </w:tr>
    </w:tbl>
    <w:p/>
    <w:p>
      <w:pPr>
        <w:pStyle w:val="Heading2"/>
      </w:pPr>
      <w:r>
        <w:rPr>
          <w:color w:val="2F5496"/>
          <w:sz w:val="26"/>
        </w:rPr>
        <w:t>Flow B — ORD Direct Import Path</w:t>
      </w:r>
    </w:p>
    <w:tbl>
      <w:tblPr>
        <w:tblStyle w:val="TableGrid"/>
        <w:tblW w:type="auto" w:w="0"/>
        <w:tblLook w:firstColumn="1" w:firstRow="1" w:lastColumn="0" w:lastRow="0" w:noHBand="0" w:noVBand="1" w:val="04A0"/>
      </w:tblPr>
      <w:tblGrid>
        <w:gridCol w:w="2880"/>
        <w:gridCol w:w="2880"/>
        <w:gridCol w:w="2880"/>
      </w:tblGrid>
      <w:tr>
        <w:tc>
          <w:tcPr>
            <w:tcW w:type="dxa" w:w="864"/>
            <w:shd w:val="clear" w:color="auto" w:fill="BDD7EE"/>
          </w:tcPr>
          <w:p>
            <w:r>
              <w:rPr>
                <w:b/>
                <w:sz w:val="18"/>
              </w:rPr>
              <w:t>Step</w:t>
            </w:r>
          </w:p>
        </w:tc>
        <w:tc>
          <w:tcPr>
            <w:tcW w:type="dxa" w:w="3456"/>
            <w:shd w:val="clear" w:color="auto" w:fill="BDD7EE"/>
          </w:tcPr>
          <w:p>
            <w:r>
              <w:rPr>
                <w:b/>
                <w:sz w:val="18"/>
              </w:rPr>
              <w:t>Action</w:t>
            </w:r>
          </w:p>
        </w:tc>
        <w:tc>
          <w:tcPr>
            <w:tcW w:type="dxa" w:w="4752"/>
            <w:shd w:val="clear" w:color="auto" w:fill="BDD7EE"/>
          </w:tcPr>
          <w:p>
            <w:r>
              <w:rPr>
                <w:b/>
                <w:sz w:val="18"/>
              </w:rPr>
              <w:t>Output</w:t>
            </w:r>
          </w:p>
        </w:tc>
      </w:tr>
      <w:tr>
        <w:tc>
          <w:tcPr>
            <w:tcW w:type="dxa" w:w="864"/>
          </w:tcPr>
          <w:p>
            <w:r>
              <w:rPr>
                <w:sz w:val="18"/>
              </w:rPr>
              <w:t>1</w:t>
            </w:r>
          </w:p>
        </w:tc>
        <w:tc>
          <w:tcPr>
            <w:tcW w:type="dxa" w:w="3456"/>
          </w:tcPr>
          <w:p>
            <w:r>
              <w:rPr>
                <w:sz w:val="18"/>
              </w:rPr>
              <w:t>ingest-ord --limit 5000</w:t>
            </w:r>
          </w:p>
        </w:tc>
        <w:tc>
          <w:tcPr>
            <w:tcW w:type="dxa" w:w="4752"/>
          </w:tcPr>
          <w:p>
            <w:r>
              <w:rPr>
                <w:sz w:val="18"/>
              </w:rPr>
              <w:t>Stream from HuggingFace open-reaction-database/ord-data</w:t>
            </w:r>
          </w:p>
        </w:tc>
      </w:tr>
      <w:tr>
        <w:tc>
          <w:tcPr>
            <w:tcW w:type="dxa" w:w="864"/>
          </w:tcPr>
          <w:p>
            <w:r>
              <w:rPr>
                <w:sz w:val="18"/>
              </w:rPr>
              <w:t>2</w:t>
            </w:r>
          </w:p>
        </w:tc>
        <w:tc>
          <w:tcPr>
            <w:tcW w:type="dxa" w:w="3456"/>
          </w:tcPr>
          <w:p>
            <w:r>
              <w:rPr>
                <w:sz w:val="18"/>
              </w:rPr>
              <w:t>Parse ORD fields</w:t>
            </w:r>
          </w:p>
        </w:tc>
        <w:tc>
          <w:tcPr>
            <w:tcW w:type="dxa" w:w="4752"/>
          </w:tcPr>
          <w:p>
            <w:r>
              <w:rPr>
                <w:sz w:val="18"/>
              </w:rPr>
              <w:t>reaction_smiles, yield, temp, solvent, catalyst extracted</w:t>
            </w:r>
          </w:p>
        </w:tc>
      </w:tr>
      <w:tr>
        <w:tc>
          <w:tcPr>
            <w:tcW w:type="dxa" w:w="864"/>
          </w:tcPr>
          <w:p>
            <w:r>
              <w:rPr>
                <w:sz w:val="18"/>
              </w:rPr>
              <w:t>3</w:t>
            </w:r>
          </w:p>
        </w:tc>
        <w:tc>
          <w:tcPr>
            <w:tcW w:type="dxa" w:w="3456"/>
          </w:tcPr>
          <w:p>
            <w:r>
              <w:rPr>
                <w:sz w:val="18"/>
              </w:rPr>
              <w:t>Stored in DB</w:t>
            </w:r>
          </w:p>
        </w:tc>
        <w:tc>
          <w:tcPr>
            <w:tcW w:type="dxa" w:w="4752"/>
          </w:tcPr>
          <w:p>
            <w:r>
              <w:rPr>
                <w:sz w:val="18"/>
              </w:rPr>
              <w:t>reactions table rows with source='ord', confidence=1.0</w:t>
            </w:r>
          </w:p>
        </w:tc>
      </w:tr>
      <w:tr>
        <w:tc>
          <w:tcPr>
            <w:tcW w:type="dxa" w:w="864"/>
          </w:tcPr>
          <w:p>
            <w:r>
              <w:rPr>
                <w:sz w:val="18"/>
              </w:rPr>
              <w:t>4</w:t>
            </w:r>
          </w:p>
        </w:tc>
        <w:tc>
          <w:tcPr>
            <w:tcW w:type="dxa" w:w="3456"/>
          </w:tcPr>
          <w:p>
            <w:r>
              <w:rPr>
                <w:sz w:val="18"/>
              </w:rPr>
              <w:t>Searchable immediately</w:t>
            </w:r>
          </w:p>
        </w:tc>
        <w:tc>
          <w:tcPr>
            <w:tcW w:type="dxa" w:w="4752"/>
          </w:tcPr>
          <w:p>
            <w:r>
              <w:rPr>
                <w:sz w:val="18"/>
              </w:rPr>
              <w:t>FTS5 full-text + FAISS semantic search available</w:t>
            </w:r>
          </w:p>
        </w:tc>
      </w:tr>
    </w:tbl>
    <w:p/>
    <w:p>
      <w:pPr>
        <w:spacing w:after="80"/>
      </w:pPr>
      <w:r>
        <w:t>Both flows populate the same reactions table and are viewable in the same FastAPI review UI. The source column distinguishes origin; confidence distinguishes reliability.</w:t>
      </w:r>
    </w:p>
    <w:p>
      <w:r>
        <w:br w:type="page"/>
      </w:r>
    </w:p>
    <w:p>
      <w:pPr>
        <w:pStyle w:val="Heading1"/>
      </w:pPr>
      <w:r>
        <w:rPr>
          <w:color w:val="1F497D"/>
          <w:sz w:val="32"/>
        </w:rPr>
        <w:t>6. Technology Stack Summary</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BDD7EE"/>
          </w:tcPr>
          <w:p>
            <w:r>
              <w:rPr>
                <w:b/>
                <w:sz w:val="18"/>
              </w:rPr>
              <w:t>Component</w:t>
            </w:r>
          </w:p>
        </w:tc>
        <w:tc>
          <w:tcPr>
            <w:tcW w:type="dxa" w:w="3024"/>
            <w:shd w:val="clear" w:color="auto" w:fill="BDD7EE"/>
          </w:tcPr>
          <w:p>
            <w:r>
              <w:rPr>
                <w:b/>
                <w:sz w:val="18"/>
              </w:rPr>
              <w:t>Technology</w:t>
            </w:r>
          </w:p>
        </w:tc>
        <w:tc>
          <w:tcPr>
            <w:tcW w:type="dxa" w:w="3456"/>
            <w:shd w:val="clear" w:color="auto" w:fill="BDD7EE"/>
          </w:tcPr>
          <w:p>
            <w:r>
              <w:rPr>
                <w:b/>
                <w:sz w:val="18"/>
              </w:rPr>
              <w:t>Purpose</w:t>
            </w:r>
          </w:p>
        </w:tc>
      </w:tr>
      <w:tr>
        <w:tc>
          <w:tcPr>
            <w:tcW w:type="dxa" w:w="2592"/>
          </w:tcPr>
          <w:p>
            <w:r>
              <w:rPr>
                <w:sz w:val="18"/>
              </w:rPr>
              <w:t>Retrosynthesis validation</w:t>
            </w:r>
          </w:p>
        </w:tc>
        <w:tc>
          <w:tcPr>
            <w:tcW w:type="dxa" w:w="3024"/>
          </w:tcPr>
          <w:p>
            <w:r>
              <w:rPr>
                <w:sz w:val="18"/>
              </w:rPr>
              <w:t>RDKit</w:t>
            </w:r>
          </w:p>
        </w:tc>
        <w:tc>
          <w:tcPr>
            <w:tcW w:type="dxa" w:w="3456"/>
          </w:tcPr>
          <w:p>
            <w:r>
              <w:rPr>
                <w:sz w:val="18"/>
              </w:rPr>
              <w:t>SMILES validation, reaction template execution</w:t>
            </w:r>
          </w:p>
        </w:tc>
      </w:tr>
      <w:tr>
        <w:tc>
          <w:tcPr>
            <w:tcW w:type="dxa" w:w="2592"/>
          </w:tcPr>
          <w:p>
            <w:r>
              <w:rPr>
                <w:sz w:val="18"/>
              </w:rPr>
              <w:t>Agent orchestration</w:t>
            </w:r>
          </w:p>
        </w:tc>
        <w:tc>
          <w:tcPr>
            <w:tcW w:type="dxa" w:w="3024"/>
          </w:tcPr>
          <w:p>
            <w:r>
              <w:rPr>
                <w:sz w:val="18"/>
              </w:rPr>
              <w:t>Pydantic AI + Google Gemini</w:t>
            </w:r>
          </w:p>
        </w:tc>
        <w:tc>
          <w:tcPr>
            <w:tcW w:type="dxa" w:w="3456"/>
          </w:tcPr>
          <w:p>
            <w:r>
              <w:rPr>
                <w:sz w:val="18"/>
              </w:rPr>
              <w:t>Parallel specialist agents (validation, pricing, hazard, ORD)</w:t>
            </w:r>
          </w:p>
        </w:tc>
      </w:tr>
      <w:tr>
        <w:tc>
          <w:tcPr>
            <w:tcW w:type="dxa" w:w="2592"/>
          </w:tcPr>
          <w:p>
            <w:r>
              <w:rPr>
                <w:sz w:val="18"/>
              </w:rPr>
              <w:t>Building block pricing</w:t>
            </w:r>
          </w:p>
        </w:tc>
        <w:tc>
          <w:tcPr>
            <w:tcW w:type="dxa" w:w="3024"/>
          </w:tcPr>
          <w:p>
            <w:r>
              <w:rPr>
                <w:sz w:val="18"/>
              </w:rPr>
              <w:t>ChemSpace API</w:t>
            </w:r>
          </w:p>
        </w:tc>
        <w:tc>
          <w:tcPr>
            <w:tcW w:type="dxa" w:w="3456"/>
          </w:tcPr>
          <w:p>
            <w:r>
              <w:rPr>
                <w:sz w:val="18"/>
              </w:rPr>
              <w:t>Commercial availability + cost lookup</w:t>
            </w:r>
          </w:p>
        </w:tc>
      </w:tr>
      <w:tr>
        <w:tc>
          <w:tcPr>
            <w:tcW w:type="dxa" w:w="2592"/>
          </w:tcPr>
          <w:p>
            <w:r>
              <w:rPr>
                <w:sz w:val="18"/>
              </w:rPr>
              <w:t>Hazard scoring</w:t>
            </w:r>
          </w:p>
        </w:tc>
        <w:tc>
          <w:tcPr>
            <w:tcW w:type="dxa" w:w="3024"/>
          </w:tcPr>
          <w:p>
            <w:r>
              <w:rPr>
                <w:sz w:val="18"/>
              </w:rPr>
              <w:t>PubChem REST API</w:t>
            </w:r>
          </w:p>
        </w:tc>
        <w:tc>
          <w:tcPr>
            <w:tcW w:type="dxa" w:w="3456"/>
          </w:tcPr>
          <w:p>
            <w:r>
              <w:rPr>
                <w:sz w:val="18"/>
              </w:rPr>
              <w:t>GHS hazard codes, safety data</w:t>
            </w:r>
          </w:p>
        </w:tc>
      </w:tr>
      <w:tr>
        <w:tc>
          <w:tcPr>
            <w:tcW w:type="dxa" w:w="2592"/>
          </w:tcPr>
          <w:p>
            <w:r>
              <w:rPr>
                <w:sz w:val="18"/>
              </w:rPr>
              <w:t>Patent collection</w:t>
            </w:r>
          </w:p>
        </w:tc>
        <w:tc>
          <w:tcPr>
            <w:tcW w:type="dxa" w:w="3024"/>
          </w:tcPr>
          <w:p>
            <w:r>
              <w:rPr>
                <w:sz w:val="18"/>
              </w:rPr>
              <w:t>Scrapling (Fetcher / DynamicFetcher / Stealth)</w:t>
            </w:r>
          </w:p>
        </w:tc>
        <w:tc>
          <w:tcPr>
            <w:tcW w:type="dxa" w:w="3456"/>
          </w:tcPr>
          <w:p>
            <w:r>
              <w:rPr>
                <w:sz w:val="18"/>
              </w:rPr>
              <w:t>Web scraping with JS rendering and stealth</w:t>
            </w:r>
          </w:p>
        </w:tc>
      </w:tr>
      <w:tr>
        <w:tc>
          <w:tcPr>
            <w:tcW w:type="dxa" w:w="2592"/>
          </w:tcPr>
          <w:p>
            <w:r>
              <w:rPr>
                <w:sz w:val="18"/>
              </w:rPr>
              <w:t>LLM reaction extraction</w:t>
            </w:r>
          </w:p>
        </w:tc>
        <w:tc>
          <w:tcPr>
            <w:tcW w:type="dxa" w:w="3024"/>
          </w:tcPr>
          <w:p>
            <w:r>
              <w:rPr>
                <w:sz w:val="18"/>
              </w:rPr>
              <w:t>Google Gemini gemini-2.0-flash</w:t>
            </w:r>
          </w:p>
        </w:tc>
        <w:tc>
          <w:tcPr>
            <w:tcW w:type="dxa" w:w="3456"/>
          </w:tcPr>
          <w:p>
            <w:r>
              <w:rPr>
                <w:sz w:val="18"/>
              </w:rPr>
              <w:t>Structured chemistry parsing from patent text</w:t>
            </w:r>
          </w:p>
        </w:tc>
      </w:tr>
      <w:tr>
        <w:tc>
          <w:tcPr>
            <w:tcW w:type="dxa" w:w="2592"/>
          </w:tcPr>
          <w:p>
            <w:r>
              <w:rPr>
                <w:sz w:val="18"/>
              </w:rPr>
              <w:t>GPU inference (HPC)</w:t>
            </w:r>
          </w:p>
        </w:tc>
        <w:tc>
          <w:tcPr>
            <w:tcW w:type="dxa" w:w="3024"/>
          </w:tcPr>
          <w:p>
            <w:r>
              <w:rPr>
                <w:sz w:val="18"/>
              </w:rPr>
              <w:t>Qwen-27B via vLLM on Savio</w:t>
            </w:r>
          </w:p>
        </w:tc>
        <w:tc>
          <w:tcPr>
            <w:tcW w:type="dxa" w:w="3456"/>
          </w:tcPr>
          <w:p>
            <w:r>
              <w:rPr>
                <w:sz w:val="18"/>
              </w:rPr>
              <w:t>Local LLM alternative for offline/HPC use</w:t>
            </w:r>
          </w:p>
        </w:tc>
      </w:tr>
      <w:tr>
        <w:tc>
          <w:tcPr>
            <w:tcW w:type="dxa" w:w="2592"/>
          </w:tcPr>
          <w:p>
            <w:r>
              <w:rPr>
                <w:sz w:val="18"/>
              </w:rPr>
              <w:t>Database</w:t>
            </w:r>
          </w:p>
        </w:tc>
        <w:tc>
          <w:tcPr>
            <w:tcW w:type="dxa" w:w="3024"/>
          </w:tcPr>
          <w:p>
            <w:r>
              <w:rPr>
                <w:sz w:val="18"/>
              </w:rPr>
              <w:t>SQLite + FTS5</w:t>
            </w:r>
          </w:p>
        </w:tc>
        <w:tc>
          <w:tcPr>
            <w:tcW w:type="dxa" w:w="3456"/>
          </w:tcPr>
          <w:p>
            <w:r>
              <w:rPr>
                <w:sz w:val="18"/>
              </w:rPr>
              <w:t>Portable, zero-config, USB-friendly</w:t>
            </w:r>
          </w:p>
        </w:tc>
      </w:tr>
      <w:tr>
        <w:tc>
          <w:tcPr>
            <w:tcW w:type="dxa" w:w="2592"/>
          </w:tcPr>
          <w:p>
            <w:r>
              <w:rPr>
                <w:sz w:val="18"/>
              </w:rPr>
              <w:t>Semantic search</w:t>
            </w:r>
          </w:p>
        </w:tc>
        <w:tc>
          <w:tcPr>
            <w:tcW w:type="dxa" w:w="3024"/>
          </w:tcPr>
          <w:p>
            <w:r>
              <w:rPr>
                <w:sz w:val="18"/>
              </w:rPr>
              <w:t>FAISS + sentence-transformers</w:t>
            </w:r>
          </w:p>
        </w:tc>
        <w:tc>
          <w:tcPr>
            <w:tcW w:type="dxa" w:w="3456"/>
          </w:tcPr>
          <w:p>
            <w:r>
              <w:rPr>
                <w:sz w:val="18"/>
              </w:rPr>
              <w:t>Vector similarity over patent corpus (optional)</w:t>
            </w:r>
          </w:p>
        </w:tc>
      </w:tr>
      <w:tr>
        <w:tc>
          <w:tcPr>
            <w:tcW w:type="dxa" w:w="2592"/>
          </w:tcPr>
          <w:p>
            <w:r>
              <w:rPr>
                <w:sz w:val="18"/>
              </w:rPr>
              <w:t>Review UI</w:t>
            </w:r>
          </w:p>
        </w:tc>
        <w:tc>
          <w:tcPr>
            <w:tcW w:type="dxa" w:w="3024"/>
          </w:tcPr>
          <w:p>
            <w:r>
              <w:rPr>
                <w:sz w:val="18"/>
              </w:rPr>
              <w:t>FastAPI + Jinja2 + AJAX</w:t>
            </w:r>
          </w:p>
        </w:tc>
        <w:tc>
          <w:tcPr>
            <w:tcW w:type="dxa" w:w="3456"/>
          </w:tcPr>
          <w:p>
            <w:r>
              <w:rPr>
                <w:sz w:val="18"/>
              </w:rPr>
              <w:t>Human-in-the-loop corrections</w:t>
            </w:r>
          </w:p>
        </w:tc>
      </w:tr>
      <w:tr>
        <w:tc>
          <w:tcPr>
            <w:tcW w:type="dxa" w:w="2592"/>
          </w:tcPr>
          <w:p>
            <w:r>
              <w:rPr>
                <w:sz w:val="18"/>
              </w:rPr>
              <w:t>Bulk patent data</w:t>
            </w:r>
          </w:p>
        </w:tc>
        <w:tc>
          <w:tcPr>
            <w:tcW w:type="dxa" w:w="3024"/>
          </w:tcPr>
          <w:p>
            <w:r>
              <w:rPr>
                <w:sz w:val="18"/>
              </w:rPr>
              <w:t>PatentsView public API</w:t>
            </w:r>
          </w:p>
        </w:tc>
        <w:tc>
          <w:tcPr>
            <w:tcW w:type="dxa" w:w="3456"/>
          </w:tcPr>
          <w:p>
            <w:r>
              <w:rPr>
                <w:sz w:val="18"/>
              </w:rPr>
              <w:t>Weekly USPTO grant snapshots</w:t>
            </w:r>
          </w:p>
        </w:tc>
      </w:tr>
      <w:tr>
        <w:tc>
          <w:tcPr>
            <w:tcW w:type="dxa" w:w="2592"/>
          </w:tcPr>
          <w:p>
            <w:r>
              <w:rPr>
                <w:sz w:val="18"/>
              </w:rPr>
              <w:t>Reaction corpus</w:t>
            </w:r>
          </w:p>
        </w:tc>
        <w:tc>
          <w:tcPr>
            <w:tcW w:type="dxa" w:w="3024"/>
          </w:tcPr>
          <w:p>
            <w:r>
              <w:rPr>
                <w:sz w:val="18"/>
              </w:rPr>
              <w:t>Open Reaction Database via HuggingFace</w:t>
            </w:r>
          </w:p>
        </w:tc>
        <w:tc>
          <w:tcPr>
            <w:tcW w:type="dxa" w:w="3456"/>
          </w:tcPr>
          <w:p>
            <w:r>
              <w:rPr>
                <w:sz w:val="18"/>
              </w:rPr>
              <w:t>Expert-curated reactions, no LLM needed</w:t>
            </w:r>
          </w:p>
        </w:tc>
      </w:tr>
      <w:tr>
        <w:tc>
          <w:tcPr>
            <w:tcW w:type="dxa" w:w="2592"/>
          </w:tcPr>
          <w:p>
            <w:r>
              <w:rPr>
                <w:sz w:val="18"/>
              </w:rPr>
              <w:t>CLI</w:t>
            </w:r>
          </w:p>
        </w:tc>
        <w:tc>
          <w:tcPr>
            <w:tcW w:type="dxa" w:w="3024"/>
          </w:tcPr>
          <w:p>
            <w:r>
              <w:rPr>
                <w:sz w:val="18"/>
              </w:rPr>
              <w:t>Typer</w:t>
            </w:r>
          </w:p>
        </w:tc>
        <w:tc>
          <w:tcPr>
            <w:tcW w:type="dxa" w:w="3456"/>
          </w:tcPr>
          <w:p>
            <w:r>
              <w:rPr>
                <w:sz w:val="18"/>
              </w:rPr>
              <w:t>Command-line interface for all pipeline stages</w:t>
            </w:r>
          </w:p>
        </w:tc>
      </w:tr>
    </w:tbl>
    <w:p/>
    <w:p>
      <w:r>
        <w:br w:type="page"/>
      </w:r>
    </w:p>
    <w:p>
      <w:pPr>
        <w:pStyle w:val="Heading1"/>
      </w:pPr>
      <w:r>
        <w:rPr>
          <w:color w:val="1F497D"/>
          <w:sz w:val="32"/>
        </w:rPr>
        <w:t>7. Key Design Decisions</w:t>
      </w:r>
    </w:p>
    <w:p>
      <w:pPr>
        <w:pStyle w:val="ListBullet"/>
        <w:spacing w:after="120"/>
      </w:pPr>
      <w:r>
        <w:rPr>
          <w:b/>
          <w:sz w:val="21"/>
        </w:rPr>
        <w:t xml:space="preserve">Separate package for the patent pipeline — </w:t>
      </w:r>
      <w:r>
        <w:rPr>
          <w:sz w:val="21"/>
        </w:rPr>
        <w:t>Independent pyproject.toml keeps patent mining concerns isolated from route evaluation. Either component can be used, updated, or deployed without touching the other.</w:t>
      </w:r>
    </w:p>
    <w:p>
      <w:pPr>
        <w:pStyle w:val="ListBullet"/>
        <w:spacing w:after="120"/>
      </w:pPr>
      <w:r>
        <w:rPr>
          <w:b/>
          <w:sz w:val="21"/>
        </w:rPr>
        <w:t xml:space="preserve">SQLite over PostgreSQL — </w:t>
      </w:r>
      <w:r>
        <w:rPr>
          <w:sz w:val="21"/>
        </w:rPr>
        <w:t>Portable — the entire database (including parsed patents and ORD reactions) runs on a USB drive for offline field use. WAL mode provides concurrent read performance.</w:t>
      </w:r>
    </w:p>
    <w:p>
      <w:pPr>
        <w:pStyle w:val="ListBullet"/>
        <w:spacing w:after="120"/>
      </w:pPr>
      <w:r>
        <w:rPr>
          <w:b/>
          <w:sz w:val="21"/>
        </w:rPr>
        <w:t xml:space="preserve">Two-source reactions table with a source column — </w:t>
      </w:r>
      <w:r>
        <w:rPr>
          <w:sz w:val="21"/>
        </w:rPr>
        <w:t>Patent-extracted reactions (confidence 0–1, LLM-generated) and ORD reactions (confidence=1.0, expert-curated) share the same schema and search interface. The source column enables filtering and downstream analysis.</w:t>
      </w:r>
    </w:p>
    <w:p>
      <w:pPr>
        <w:pStyle w:val="ListBullet"/>
        <w:spacing w:after="120"/>
      </w:pPr>
      <w:r>
        <w:rPr>
          <w:b/>
          <w:sz w:val="21"/>
        </w:rPr>
        <w:t xml:space="preserve">No LLM for ORD ingestion — </w:t>
      </w:r>
      <w:r>
        <w:rPr>
          <w:sz w:val="21"/>
        </w:rPr>
        <w:t>ORD data is already fully structured. Bypassing Gemini for ORD saves API cost, latency, and the risk of hallucinated SMILES. The confidence score is set to 1.0.</w:t>
      </w:r>
    </w:p>
    <w:p>
      <w:pPr>
        <w:pStyle w:val="ListBullet"/>
        <w:spacing w:after="120"/>
      </w:pPr>
      <w:r>
        <w:rPr>
          <w:b/>
          <w:sz w:val="21"/>
        </w:rPr>
        <w:t xml:space="preserve">Active learning logging — </w:t>
      </w:r>
      <w:r>
        <w:rPr>
          <w:sz w:val="21"/>
        </w:rPr>
        <w:t>Every human correction in the review UI is appended to the active_learning table (reaction_id, field, old_value, new_value, user, timestamp). This corpus enables future fine-tuning or RLHF of the LLM parser.</w:t>
      </w:r>
    </w:p>
    <w:p>
      <w:pPr>
        <w:pStyle w:val="ListBullet"/>
        <w:spacing w:after="120"/>
      </w:pPr>
      <w:r>
        <w:rPr>
          <w:b/>
          <w:sz w:val="21"/>
        </w:rPr>
        <w:t xml:space="preserve">FTS5 + FAISS dual search — </w:t>
      </w:r>
      <w:r>
        <w:rPr>
          <w:sz w:val="21"/>
        </w:rPr>
        <w:t>FTS5 gives fast keyword search with zero extra dependencies. FAISS + sentence-transformers adds semantic similarity for chemistry queries (e.g., finding reactions by mechanism description). FAISS is optional and built on demand.</w:t>
      </w:r>
    </w:p>
    <w:p>
      <w:pPr>
        <w:pStyle w:val="ListBullet"/>
        <w:spacing w:after="120"/>
      </w:pPr>
      <w:r>
        <w:rPr>
          <w:b/>
          <w:sz w:val="21"/>
        </w:rPr>
        <w:t xml:space="preserve">Confidence-based review workflow — </w:t>
      </w:r>
      <w:r>
        <w:rPr>
          <w:sz w:val="21"/>
        </w:rPr>
        <w:t>Reactions below 0.6 are automatically surfaced at /batch_review for human correction, while high-confidence reactions (from both patent and ORD sources) enter the database immediately without blocking.</w:t>
      </w:r>
    </w:p>
    <w:p>
      <w:pPr>
        <w:pStyle w:val="ListBullet"/>
        <w:spacing w:after="120"/>
      </w:pPr>
      <w:r>
        <w:rPr>
          <w:b/>
          <w:sz w:val="21"/>
        </w:rPr>
        <w:t xml:space="preserve">PatentsView API for bulk downloads — </w:t>
      </w:r>
      <w:r>
        <w:rPr>
          <w:sz w:val="21"/>
        </w:rPr>
        <w:t>Free, requires no API key, provides structured metadata with CPC chemistry filtering, and is updated weekly with new USPTO grants. The resulting CSV is small enough to drop into the UI and process incrementally.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