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color w:val="595959"/>
          <w:sz w:val="19"/>
          <w:szCs w:val="19"/>
          <w:rtl w:val="0"/>
        </w:rPr>
        <w:t xml:space="preserve">Harris Student Government · Finance Committee</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b w:val="1"/>
          <w:bCs w:val="1"/>
          <w:color w:val="800000"/>
          <w:sz w:val="32"/>
          <w:szCs w:val="32"/>
          <w:rtl w:val="0"/>
        </w:rPr>
        <w:t xml:space="preserve">How Fall 2026 HSO Funding Works</w:t>
      </w:r>
      <w:r w:rsidDel="00000000" w:rsidR="00000000" w:rsidRPr="00000000">
        <w:rPr>
          <w:rtl w:val="0"/>
        </w:rPr>
      </w:r>
    </w:p>
    <w:p w:rsidR="00000000" w:rsidDel="00000000" w:rsidP="00000000" w:rsidRDefault="00000000" w:rsidRPr="00000000" w14:paraId="00000003">
      <w:pPr>
        <w:spacing w:after="50" w:before="120" w:lineRule="auto"/>
        <w:rPr/>
      </w:pPr>
      <w:r w:rsidDel="00000000" w:rsidR="00000000" w:rsidRPr="00000000">
        <w:rPr>
          <w:b w:val="1"/>
          <w:bCs w:val="1"/>
          <w:color w:val="800000"/>
          <w:sz w:val="23"/>
          <w:szCs w:val="23"/>
          <w:rtl w:val="0"/>
        </w:rPr>
        <w:t xml:space="preserve">The whole system in four sentences</w:t>
      </w:r>
      <w:r w:rsidDel="00000000" w:rsidR="00000000" w:rsidRPr="00000000">
        <w:rPr>
          <w:rtl w:val="0"/>
        </w:rPr>
      </w:r>
    </w:p>
    <w:p w:rsidR="00000000" w:rsidDel="00000000" w:rsidP="00000000" w:rsidRDefault="00000000" w:rsidRPr="00000000" w14:paraId="00000004">
      <w:pPr>
        <w:spacing w:after="90" w:lineRule="auto"/>
        <w:rPr/>
      </w:pPr>
      <w:r w:rsidDel="00000000" w:rsidR="00000000" w:rsidRPr="00000000">
        <w:rPr>
          <w:sz w:val="20"/>
          <w:szCs w:val="20"/>
          <w:rtl w:val="0"/>
        </w:rPr>
        <w:t>Every HSO that applied on time gets an equal base share (about $208 this quarter). The remaining $15,000 is split in proportion to your committee score times your eligible request. Your eligible request is what you asked for, minus food and social spending beyond the limits below. The committee can adjust any allocation, but only in writing, with the reason recorded.</w:t>
      </w:r>
      <w:r w:rsidDel="00000000" w:rsidR="00000000" w:rsidRPr="00000000">
        <w:rPr>
          <w:rtl w:val="0"/>
        </w:rPr>
      </w:r>
    </w:p>
    <w:tbl>
      <w:tblPr>
        <w:tblStyle w:val="Table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2510"/>
        <w:gridCol w:w="2510"/>
        <w:gridCol w:w="2510"/>
        <w:tblGridChange w:id="0">
          <w:tblGrid>
            <w:gridCol w:w="2510"/>
            <w:gridCol w:w="2510"/>
            <w:gridCol w:w="2510"/>
            <w:gridCol w:w="2510"/>
          </w:tblGrid>
        </w:tblGridChange>
      </w:tblGrid>
      <w:tr>
        <w:trPr>
          <w:cantSplit w:val="0"/>
          <w:tblHeader w:val="0"/>
        </w:trPr>
        <w:tc>
          <w:tcPr>
            <w:shd w:fill="f5e9e9" w:val="clear"/>
            <w:tcMar>
              <w:top w:w="44.0" w:type="dxa"/>
              <w:left w:w="84.0" w:type="dxa"/>
              <w:bottom w:w="44.0" w:type="dxa"/>
              <w:right w:w="84.0" w:type="dxa"/>
            </w:tcMar>
          </w:tcPr>
          <w:p w:rsidR="00000000" w:rsidDel="00000000" w:rsidP="00000000" w:rsidRDefault="00000000" w:rsidRPr="00000000" w14:paraId="00000005">
            <w:pPr>
              <w:rPr/>
            </w:pPr>
            <w:r w:rsidDel="00000000" w:rsidR="00000000" w:rsidRPr="00000000">
              <w:rPr>
                <w:b w:val="0"/>
                <w:bCs w:val="0"/>
                <w:color w:val="000000"/>
                <w:sz w:val="18"/>
                <w:szCs w:val="18"/>
                <w:rtl w:val="0"/>
              </w:rPr>
              <w:t>Budget: $20,000 (no reserve)</w:t>
            </w:r>
            <w:r w:rsidDel="00000000" w:rsidR="00000000" w:rsidRPr="00000000">
              <w:rPr>
                <w:rtl w:val="0"/>
              </w:rPr>
            </w:r>
          </w:p>
        </w:tc>
        <w:tc>
          <w:tcPr>
            <w:shd w:fill="f5e9e9" w:val="clear"/>
            <w:tcMar>
              <w:top w:w="44.0" w:type="dxa"/>
              <w:left w:w="84.0" w:type="dxa"/>
              <w:bottom w:w="44.0" w:type="dxa"/>
              <w:right w:w="84.0" w:type="dxa"/>
            </w:tcMar>
          </w:tcPr>
          <w:p w:rsidR="00000000" w:rsidDel="00000000" w:rsidP="00000000" w:rsidRDefault="00000000" w:rsidRPr="00000000" w14:paraId="00000006">
            <w:pPr>
              <w:rPr/>
            </w:pPr>
            <w:r w:rsidDel="00000000" w:rsidR="00000000" w:rsidRPr="00000000">
              <w:rPr>
                <w:b w:val="0"/>
                <w:bCs w:val="0"/>
                <w:color w:val="000000"/>
                <w:sz w:val="18"/>
                <w:szCs w:val="18"/>
                <w:rtl w:val="0"/>
              </w:rPr>
              <w:t>Base share: ~$208 each</w:t>
            </w:r>
            <w:r w:rsidDel="00000000" w:rsidR="00000000" w:rsidRPr="00000000">
              <w:rPr>
                <w:rtl w:val="0"/>
              </w:rPr>
            </w:r>
          </w:p>
        </w:tc>
        <w:tc>
          <w:tcPr>
            <w:shd w:fill="f5e9e9" w:val="clear"/>
            <w:tcMar>
              <w:top w:w="44.0" w:type="dxa"/>
              <w:left w:w="84.0" w:type="dxa"/>
              <w:bottom w:w="44.0" w:type="dxa"/>
              <w:right w:w="84.0" w:type="dxa"/>
            </w:tcMar>
          </w:tcPr>
          <w:p w:rsidR="00000000" w:rsidDel="00000000" w:rsidP="00000000" w:rsidRDefault="00000000" w:rsidRPr="00000000" w14:paraId="00000007">
            <w:pPr>
              <w:rPr/>
            </w:pPr>
            <w:r w:rsidDel="00000000" w:rsidR="00000000" w:rsidRPr="00000000">
              <w:rPr>
                <w:b w:val="0"/>
                <w:bCs w:val="0"/>
                <w:color w:val="000000"/>
                <w:sz w:val="18"/>
                <w:szCs w:val="18"/>
                <w:rtl w:val="0"/>
              </w:rPr>
              <w:t xml:space="preserve">Competed pool: $15,000</w:t>
            </w:r>
            <w:r w:rsidDel="00000000" w:rsidR="00000000" w:rsidRPr="00000000">
              <w:rPr>
                <w:rtl w:val="0"/>
              </w:rPr>
            </w:r>
          </w:p>
        </w:tc>
        <w:tc>
          <w:tcPr>
            <w:shd w:fill="f5e9e9" w:val="clear"/>
            <w:tcMar>
              <w:top w:w="44.0" w:type="dxa"/>
              <w:left w:w="84.0" w:type="dxa"/>
              <w:bottom w:w="44.0" w:type="dxa"/>
              <w:right w:w="84.0" w:type="dxa"/>
            </w:tcMar>
          </w:tcPr>
          <w:p w:rsidR="00000000" w:rsidDel="00000000" w:rsidP="00000000" w:rsidRDefault="00000000" w:rsidRPr="00000000" w14:paraId="00000008">
            <w:pPr>
              <w:rPr/>
            </w:pPr>
            <w:r w:rsidDel="00000000" w:rsidR="00000000" w:rsidRPr="00000000">
              <w:rPr>
                <w:b w:val="0"/>
                <w:bCs w:val="0"/>
                <w:color w:val="000000"/>
                <w:sz w:val="18"/>
                <w:szCs w:val="18"/>
                <w:rtl w:val="0"/>
              </w:rPr>
              <w:t>Requests total ~3.5x the budget</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b w:val="1"/>
          <w:bCs w:val="1"/>
          <w:sz w:val="20"/>
          <w:szCs w:val="20"/>
          <w:rtl w:val="0"/>
        </w:rPr>
        <w:t xml:space="preserve">Worked example: </w:t>
      </w:r>
      <w:r w:rsidDel="00000000" w:rsidR="00000000" w:rsidRPr="00000000">
        <w:rPr>
          <w:sz w:val="20"/>
          <w:szCs w:val="20"/>
          <w:rtl w:val="0"/>
        </w:rPr>
        <w:t>a club asks $2,000; food rules trim $500; eligible $1,500; at a mid-range score its share plus the base lands near $1,000, about half the ask. The pool covers about a third of total demand, so large asks typically land at 30-50%. But a club that asks only for what it needs can be funded in full: allocations never exceed your eligible request, and modest, well-itemized asks routinely hit that ceiling. Ask for your real gap and 100% is achievable; ask for everything imaginable and the average is what you get.</w:t>
      </w:r>
      <w:r w:rsidDel="00000000" w:rsidR="00000000" w:rsidRPr="00000000">
        <w:rPr>
          <w:rtl w:val="0"/>
        </w:rPr>
      </w:r>
    </w:p>
    <w:p w:rsidR="00000000" w:rsidDel="00000000" w:rsidP="00000000" w:rsidRDefault="00000000" w:rsidRPr="00000000" w14:paraId="0000000A">
      <w:pPr>
        <w:spacing w:after="50" w:before="120" w:lineRule="auto"/>
        <w:rPr/>
      </w:pPr>
      <w:r w:rsidDel="00000000" w:rsidR="00000000" w:rsidRPr="00000000">
        <w:rPr>
          <w:b w:val="1"/>
          <w:bCs w:val="1"/>
          <w:color w:val="800000"/>
          <w:sz w:val="23"/>
          <w:szCs w:val="23"/>
          <w:rtl w:val="0"/>
        </w:rPr>
        <w:t xml:space="preserve">The food and social limits</w:t>
      </w:r>
      <w:r w:rsidDel="00000000" w:rsidR="00000000" w:rsidRPr="00000000">
        <w:rPr>
          <w:rtl w:val="0"/>
        </w:rPr>
      </w:r>
    </w:p>
    <w:tbl>
      <w:tblPr>
        <w:tblStyle w:val="Table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3240"/>
        <w:tblGridChange w:id="0">
          <w:tblGrid>
            <w:gridCol w:w="2200"/>
            <w:gridCol w:w="4600"/>
            <w:gridCol w:w="3240"/>
          </w:tblGrid>
        </w:tblGridChange>
      </w:tblGrid>
      <w:tr>
        <w:trPr>
          <w:cantSplit w:val="0"/>
          <w:tblHeader w:val="0"/>
        </w:trPr>
        <w:tc>
          <w:tcPr>
            <w:shd w:fill="800000" w:val="clear"/>
            <w:tcMar>
              <w:top w:w="44.0" w:type="dxa"/>
              <w:left w:w="84.0" w:type="dxa"/>
              <w:bottom w:w="44.0" w:type="dxa"/>
              <w:right w:w="84.0" w:type="dxa"/>
            </w:tcMa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Event type</w:t>
            </w:r>
            <w:r w:rsidDel="00000000" w:rsidR="00000000" w:rsidRPr="00000000">
              <w:rPr>
                <w:rtl w:val="0"/>
              </w:rPr>
            </w:r>
          </w:p>
        </w:tc>
        <w:tc>
          <w:tcPr>
            <w:shd w:fill="800000" w:val="clear"/>
            <w:tcMar>
              <w:top w:w="44.0" w:type="dxa"/>
              <w:left w:w="84.0" w:type="dxa"/>
              <w:bottom w:w="44.0" w:type="dxa"/>
              <w:right w:w="84.0" w:type="dxa"/>
            </w:tcMar>
          </w:tcPr>
          <w:p w:rsidR="00000000" w:rsidDel="00000000" w:rsidP="00000000" w:rsidRDefault="00000000" w:rsidRPr="00000000" w14:paraId="0000000C">
            <w:pPr>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800000" w:val="clear"/>
            <w:tcMar>
              <w:top w:w="44.0" w:type="dxa"/>
              <w:left w:w="84.0" w:type="dxa"/>
              <w:bottom w:w="44.0" w:type="dxa"/>
              <w:right w:w="84.0" w:type="dxa"/>
            </w:tcMar>
          </w:tcPr>
          <w:p w:rsidR="00000000" w:rsidDel="00000000" w:rsidP="00000000" w:rsidRDefault="00000000" w:rsidRPr="00000000" w14:paraId="0000000D">
            <w:pPr>
              <w:rPr/>
            </w:pPr>
            <w:r w:rsidDel="00000000" w:rsidR="00000000" w:rsidRPr="00000000">
              <w:rPr>
                <w:b w:val="1"/>
                <w:bCs w:val="1"/>
                <w:color w:val="ffffff"/>
                <w:sz w:val="18"/>
                <w:szCs w:val="18"/>
                <w:rtl w:val="0"/>
              </w:rPr>
              <w:t xml:space="preserve">What HSG covers</w:t>
            </w:r>
            <w:r w:rsidDel="00000000" w:rsidR="00000000" w:rsidRPr="00000000">
              <w:rPr>
                <w:rtl w:val="0"/>
              </w:rPr>
            </w:r>
          </w:p>
        </w:tc>
      </w:tr>
      <w:tr>
        <w:trPr>
          <w:cantSplit w:val="0"/>
          <w:tblHeader w:val="0"/>
        </w:trPr>
        <w:tc>
          <w:tcPr>
            <w:tcMar>
              <w:top w:w="44.0" w:type="dxa"/>
              <w:left w:w="84.0" w:type="dxa"/>
              <w:bottom w:w="44.0" w:type="dxa"/>
              <w:right w:w="84.0" w:type="dxa"/>
            </w:tcMar>
          </w:tcPr>
          <w:p w:rsidR="00000000" w:rsidDel="00000000" w:rsidP="00000000" w:rsidRDefault="00000000" w:rsidRPr="00000000" w14:paraId="0000000E">
            <w:pPr>
              <w:rPr/>
            </w:pPr>
            <w:r w:rsidDel="00000000" w:rsidR="00000000" w:rsidRPr="00000000">
              <w:rPr>
                <w:b w:val="0"/>
                <w:bCs w:val="0"/>
                <w:color w:val="000000"/>
                <w:sz w:val="18"/>
                <w:szCs w:val="18"/>
                <w:rtl w:val="0"/>
              </w:rPr>
              <w:t xml:space="preserve">Cultural</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0F">
            <w:pPr>
              <w:rPr/>
            </w:pPr>
            <w:r w:rsidDel="00000000" w:rsidR="00000000" w:rsidRPr="00000000">
              <w:rPr>
                <w:b w:val="0"/>
                <w:bCs w:val="0"/>
                <w:color w:val="000000"/>
                <w:sz w:val="18"/>
                <w:szCs w:val="18"/>
                <w:rtl w:val="0"/>
              </w:rPr>
              <w:t xml:space="preserve">Food or cultural practice IS the event (heritage celebrations, cuisine showcases)</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0">
            <w:pPr>
              <w:rPr/>
            </w:pPr>
            <w:r w:rsidDel="00000000" w:rsidR="00000000" w:rsidRPr="00000000">
              <w:rPr>
                <w:b w:val="0"/>
                <w:bCs w:val="0"/>
                <w:color w:val="000000"/>
                <w:sz w:val="18"/>
                <w:szCs w:val="18"/>
                <w:rtl w:val="0"/>
              </w:rPr>
              <w:t xml:space="preserve">All of it</w:t>
            </w:r>
            <w:r w:rsidDel="00000000" w:rsidR="00000000" w:rsidRPr="00000000">
              <w:rPr>
                <w:rtl w:val="0"/>
              </w:rPr>
            </w:r>
          </w:p>
        </w:tc>
      </w:tr>
      <w:tr>
        <w:trPr>
          <w:cantSplit w:val="0"/>
          <w:tblHeader w:val="0"/>
        </w:trPr>
        <w:tc>
          <w:tcPr>
            <w:tcMar>
              <w:top w:w="44.0" w:type="dxa"/>
              <w:left w:w="84.0" w:type="dxa"/>
              <w:bottom w:w="44.0" w:type="dxa"/>
              <w:right w:w="84.0" w:type="dxa"/>
            </w:tcMar>
          </w:tcPr>
          <w:p w:rsidR="00000000" w:rsidDel="00000000" w:rsidP="00000000" w:rsidRDefault="00000000" w:rsidRPr="00000000" w14:paraId="00000011">
            <w:pPr>
              <w:rPr/>
            </w:pPr>
            <w:r w:rsidDel="00000000" w:rsidR="00000000" w:rsidRPr="00000000">
              <w:rPr>
                <w:b w:val="0"/>
                <w:bCs w:val="0"/>
                <w:color w:val="000000"/>
                <w:sz w:val="18"/>
                <w:szCs w:val="18"/>
                <w:rtl w:val="0"/>
              </w:rPr>
              <w:t xml:space="preserve">Programmatic</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2">
            <w:pPr>
              <w:rPr/>
            </w:pPr>
            <w:r w:rsidDel="00000000" w:rsidR="00000000" w:rsidRPr="00000000">
              <w:rPr>
                <w:b w:val="0"/>
                <w:bCs w:val="0"/>
                <w:color w:val="000000"/>
                <w:sz w:val="18"/>
                <w:szCs w:val="18"/>
                <w:rtl w:val="0"/>
              </w:rPr>
              <w:t xml:space="preserve">Speaker, panel, training, or service event that would happen even without food</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3">
            <w:pPr>
              <w:rPr/>
            </w:pPr>
            <w:r w:rsidDel="00000000" w:rsidR="00000000" w:rsidRPr="00000000">
              <w:rPr>
                <w:b w:val="0"/>
                <w:bCs w:val="0"/>
                <w:color w:val="000000"/>
                <w:sz w:val="18"/>
                <w:szCs w:val="18"/>
                <w:rtl w:val="0"/>
              </w:rPr>
              <w:t xml:space="preserve">Food up to 60% of the event budget</w:t>
            </w:r>
            <w:r w:rsidDel="00000000" w:rsidR="00000000" w:rsidRPr="00000000">
              <w:rPr>
                <w:rtl w:val="0"/>
              </w:rPr>
            </w:r>
          </w:p>
        </w:tc>
      </w:tr>
      <w:tr>
        <w:trPr>
          <w:cantSplit w:val="0"/>
          <w:tblHeader w:val="0"/>
        </w:trPr>
        <w:tc>
          <w:tcPr>
            <w:tcMar>
              <w:top w:w="44.0" w:type="dxa"/>
              <w:left w:w="84.0" w:type="dxa"/>
              <w:bottom w:w="44.0" w:type="dxa"/>
              <w:right w:w="84.0" w:type="dxa"/>
            </w:tcMar>
          </w:tcPr>
          <w:p w:rsidR="00000000" w:rsidDel="00000000" w:rsidP="00000000" w:rsidRDefault="00000000" w:rsidRPr="00000000" w14:paraId="00000014">
            <w:pPr>
              <w:rPr/>
            </w:pPr>
            <w:r w:rsidDel="00000000" w:rsidR="00000000" w:rsidRPr="00000000">
              <w:rPr>
                <w:b w:val="0"/>
                <w:bCs w:val="0"/>
                <w:color w:val="000000"/>
                <w:sz w:val="18"/>
                <w:szCs w:val="18"/>
                <w:rtl w:val="0"/>
              </w:rPr>
              <w:t xml:space="preserve">Social</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5">
            <w:pPr>
              <w:rPr/>
            </w:pPr>
            <w:r w:rsidDel="00000000" w:rsidR="00000000" w:rsidRPr="00000000">
              <w:rPr>
                <w:b w:val="0"/>
                <w:bCs w:val="0"/>
                <w:color w:val="000000"/>
                <w:sz w:val="18"/>
                <w:szCs w:val="18"/>
                <w:rtl w:val="0"/>
              </w:rPr>
              <w:t xml:space="preserve">The gathering is the point (mixers, pub nights, bonfires, outings)</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6">
            <w:pPr>
              <w:rPr/>
            </w:pPr>
            <w:r w:rsidDel="00000000" w:rsidR="00000000" w:rsidRPr="00000000">
              <w:rPr>
                <w:b w:val="0"/>
                <w:bCs w:val="0"/>
                <w:color w:val="000000"/>
                <w:sz w:val="18"/>
                <w:szCs w:val="18"/>
                <w:rtl w:val="0"/>
              </w:rPr>
              <w:t xml:space="preserve">Up to $400 per event (median Harris social has cost $420-500 for three quarters, so typical socials are fully covered)</w:t>
            </w:r>
            <w:r w:rsidDel="00000000" w:rsidR="00000000" w:rsidRPr="00000000">
              <w:rPr>
                <w:rtl w:val="0"/>
              </w:rPr>
            </w:r>
          </w:p>
        </w:tc>
      </w:tr>
    </w:tbl>
    <w:p w:rsidR="00000000" w:rsidDel="00000000" w:rsidP="00000000" w:rsidRDefault="00000000" w:rsidRPr="00000000" w14:paraId="00000017">
      <w:pPr>
        <w:spacing w:after="9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1"/>
          <w:bCs w:val="1"/>
          <w:sz w:val="20"/>
          <w:szCs w:val="20"/>
          <w:rtl w:val="0"/>
        </w:rPr>
        <w:t xml:space="preserve">Co-hosting bonus: </w:t>
      </w:r>
      <w:r w:rsidDel="00000000" w:rsidR="00000000" w:rsidRPr="00000000">
        <w:rPr>
          <w:sz w:val="20"/>
          <w:szCs w:val="20"/>
          <w:rtl w:val="0"/>
        </w:rPr>
        <w:t xml:space="preserve">a social co-hosted by two HSOs gets double the ceiling; three get triple. Both clubs must list the event in their applications for it to count. </w:t>
      </w:r>
      <w:r w:rsidDel="00000000" w:rsidR="00000000" w:rsidRPr="00000000">
        <w:rPr>
          <w:b w:val="1"/>
          <w:bCs w:val="1"/>
          <w:sz w:val="20"/>
          <w:szCs w:val="20"/>
          <w:rtl w:val="0"/>
        </w:rPr>
        <w:t xml:space="preserve">HSO Fair: </w:t>
      </w:r>
      <w:r w:rsidDel="00000000" w:rsidR="00000000" w:rsidRPr="00000000">
        <w:rPr>
          <w:sz w:val="20"/>
          <w:szCs w:val="20"/>
          <w:rtl w:val="0"/>
        </w:rPr>
        <w:t xml:space="preserve">tabling counts as one collaboration for your score automatically, uniformly, since the Fair is joint by design; it raises no spending ceiling. </w:t>
      </w:r>
      <w:r w:rsidDel="00000000" w:rsidR="00000000" w:rsidRPr="00000000">
        <w:rPr>
          <w:b w:val="1"/>
          <w:bCs w:val="1"/>
          <w:sz w:val="20"/>
          <w:szCs w:val="20"/>
          <w:rtl w:val="0"/>
        </w:rPr>
        <w:t xml:space="preserve">Alcohol </w:t>
      </w:r>
      <w:r w:rsidDel="00000000" w:rsidR="00000000" w:rsidRPr="00000000">
        <w:rPr>
          <w:sz w:val="20"/>
          <w:szCs w:val="20"/>
          <w:rtl w:val="0"/>
        </w:rPr>
        <w:t xml:space="preserve">is fundable and counts as food; follow University policies. </w:t>
      </w:r>
      <w:r w:rsidDel="00000000" w:rsidR="00000000" w:rsidRPr="00000000">
        <w:rPr>
          <w:b w:val="1"/>
          <w:bCs w:val="1"/>
          <w:sz w:val="20"/>
          <w:szCs w:val="20"/>
          <w:rtl w:val="0"/>
        </w:rPr>
        <w:t xml:space="preserve">No per-club cap: </w:t>
      </w:r>
      <w:r w:rsidDel="00000000" w:rsidR="00000000" w:rsidRPr="00000000">
        <w:rPr>
          <w:sz w:val="20"/>
          <w:szCs w:val="20"/>
          <w:rtl w:val="0"/>
        </w:rPr>
        <w:t xml:space="preserve">strong applications can earn beyond the old $1,800 limit. Amounts we do not cover are not banned; fund them from rollover, RSO, or sponsors.</w:t>
      </w:r>
      <w:r w:rsidDel="00000000" w:rsidR="00000000" w:rsidRPr="00000000">
        <w:rPr>
          <w:rtl w:val="0"/>
        </w:rPr>
      </w:r>
    </w:p>
    <w:p w:rsidR="00000000" w:rsidDel="00000000" w:rsidP="00000000" w:rsidRDefault="00000000" w:rsidRPr="00000000" w14:paraId="00000019">
      <w:pPr>
        <w:spacing w:after="50" w:before="120" w:lineRule="auto"/>
        <w:rPr/>
      </w:pPr>
      <w:r w:rsidDel="00000000" w:rsidR="00000000" w:rsidRPr="00000000">
        <w:rPr>
          <w:b w:val="1"/>
          <w:bCs w:val="1"/>
          <w:color w:val="800000"/>
          <w:sz w:val="23"/>
          <w:szCs w:val="23"/>
          <w:rtl w:val="0"/>
        </w:rPr>
        <w:t xml:space="preserve">How you are scored</w:t>
      </w:r>
      <w:r w:rsidDel="00000000" w:rsidR="00000000" w:rsidRPr="00000000">
        <w:rPr>
          <w:rtl w:val="0"/>
        </w:rPr>
      </w:r>
    </w:p>
    <w:p w:rsidR="00000000" w:rsidDel="00000000" w:rsidP="00000000" w:rsidRDefault="00000000" w:rsidRPr="00000000" w14:paraId="0000001A">
      <w:pPr>
        <w:spacing w:after="90" w:lineRule="auto"/>
        <w:rPr/>
      </w:pPr>
      <w:r w:rsidDel="00000000" w:rsidR="00000000" w:rsidRPr="00000000">
        <w:rPr>
          <w:sz w:val="20"/>
          <w:szCs w:val="20"/>
          <w:rtl w:val="0"/>
        </w:rPr>
        <w:t xml:space="preserve">The committee scores each club (not each event) from 1-5 on three things: Financial Stewardship (realistic itemized budgets; asking only for what you need), Collaboration &amp; Inclusion (real joint events, open programming), and Impact (substantive policy content and reach). One automatic score computed from your own application data (rollover vs request, confirmed collaborations, expected attendance) counts as one voice alongside the human reviewers, and you can verify it yourself from the published formulas. Every reviewer recuses from their own club.</w:t>
      </w:r>
      <w:r w:rsidDel="00000000" w:rsidR="00000000" w:rsidRPr="00000000">
        <w:rPr>
          <w:rtl w:val="0"/>
        </w:rPr>
      </w:r>
    </w:p>
    <w:p w:rsidR="00000000" w:rsidDel="00000000" w:rsidP="00000000" w:rsidRDefault="00000000" w:rsidRPr="00000000" w14:paraId="0000001B">
      <w:pPr>
        <w:spacing w:after="50" w:before="120" w:lineRule="auto"/>
        <w:rPr/>
      </w:pPr>
      <w:r w:rsidDel="00000000" w:rsidR="00000000" w:rsidRPr="00000000">
        <w:rPr>
          <w:b w:val="1"/>
          <w:bCs w:val="1"/>
          <w:color w:val="800000"/>
          <w:sz w:val="23"/>
          <w:szCs w:val="23"/>
          <w:rtl w:val="0"/>
        </w:rPr>
        <w:t xml:space="preserve">Make your application count (what cost clubs money this cycle)</w:t>
      </w:r>
      <w:r w:rsidDel="00000000" w:rsidR="00000000" w:rsidRPr="00000000">
        <w:rPr>
          <w:rtl w:val="0"/>
        </w:rPr>
      </w:r>
    </w:p>
    <w:tbl>
      <w:tblPr>
        <w:tblStyle w:val="Table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Mar>
              <w:top w:w="44.0" w:type="dxa"/>
              <w:left w:w="84.0" w:type="dxa"/>
              <w:bottom w:w="44.0" w:type="dxa"/>
              <w:right w:w="84.0" w:type="dxa"/>
            </w:tcMar>
          </w:tcPr>
          <w:p w:rsidR="00000000" w:rsidDel="00000000" w:rsidP="00000000" w:rsidRDefault="00000000" w:rsidRPr="00000000" w14:paraId="0000001C">
            <w:pPr>
              <w:rPr/>
            </w:pPr>
            <w:r w:rsidDel="00000000" w:rsidR="00000000" w:rsidRPr="00000000">
              <w:rPr>
                <w:b w:val="0"/>
                <w:bCs w:val="0"/>
                <w:color w:val="000000"/>
                <w:sz w:val="18"/>
                <w:szCs w:val="18"/>
                <w:rtl w:val="0"/>
              </w:rPr>
              <w:t xml:space="preserve">Itemize every dollar: amounts you request but never itemize do not count toward your eligible request</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D">
            <w:pPr>
              <w:rPr/>
            </w:pPr>
            <w:r w:rsidDel="00000000" w:rsidR="00000000" w:rsidRPr="00000000">
              <w:rPr>
                <w:b w:val="0"/>
                <w:bCs w:val="0"/>
                <w:color w:val="000000"/>
                <w:sz w:val="18"/>
                <w:szCs w:val="18"/>
                <w:rtl w:val="0"/>
              </w:rPr>
              <w:t xml:space="preserve">Date every event: Fall funding covers Fall events; Winter/Spring events apply in their own cycles</w:t>
            </w:r>
            <w:r w:rsidDel="00000000" w:rsidR="00000000" w:rsidRPr="00000000">
              <w:rPr>
                <w:rtl w:val="0"/>
              </w:rPr>
            </w:r>
          </w:p>
        </w:tc>
      </w:tr>
      <w:tr>
        <w:trPr>
          <w:cantSplit w:val="0"/>
          <w:tblHeader w:val="0"/>
        </w:trPr>
        <w:tc>
          <w:tcPr>
            <w:tcMar>
              <w:top w:w="44.0" w:type="dxa"/>
              <w:left w:w="84.0" w:type="dxa"/>
              <w:bottom w:w="44.0" w:type="dxa"/>
              <w:right w:w="84.0" w:type="dxa"/>
            </w:tcMar>
          </w:tcPr>
          <w:p w:rsidR="00000000" w:rsidDel="00000000" w:rsidP="00000000" w:rsidRDefault="00000000" w:rsidRPr="00000000" w14:paraId="0000001E">
            <w:pPr>
              <w:rPr/>
            </w:pPr>
            <w:r w:rsidDel="00000000" w:rsidR="00000000" w:rsidRPr="00000000">
              <w:rPr>
                <w:b w:val="0"/>
                <w:bCs w:val="0"/>
                <w:color w:val="000000"/>
                <w:sz w:val="18"/>
                <w:szCs w:val="18"/>
                <w:rtl w:val="0"/>
              </w:rPr>
              <w:t xml:space="preserve">Fill in expected attendance per event (ranges are fine): missing numbers score at the floor</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1F">
            <w:pPr>
              <w:rPr/>
            </w:pPr>
            <w:r w:rsidDel="00000000" w:rsidR="00000000" w:rsidRPr="00000000">
              <w:rPr>
                <w:b w:val="0"/>
                <w:bCs w:val="0"/>
                <w:color w:val="000000"/>
                <w:sz w:val="18"/>
                <w:szCs w:val="18"/>
                <w:rtl w:val="0"/>
              </w:rPr>
              <w:t>Keep HarrisHub up to date: we use your HarrisHub balance, so file reimbursements promptly and ask only for your gap</w:t>
            </w:r>
            <w:r w:rsidDel="00000000" w:rsidR="00000000" w:rsidRPr="00000000">
              <w:rPr>
                <w:rtl w:val="0"/>
              </w:rPr>
            </w:r>
          </w:p>
        </w:tc>
      </w:tr>
      <w:tr>
        <w:trPr>
          <w:cantSplit w:val="0"/>
          <w:tblHeader w:val="0"/>
        </w:trPr>
        <w:tc>
          <w:tcPr>
            <w:tcMar>
              <w:top w:w="44.0" w:type="dxa"/>
              <w:left w:w="84.0" w:type="dxa"/>
              <w:bottom w:w="44.0" w:type="dxa"/>
              <w:right w:w="84.0" w:type="dxa"/>
            </w:tcMar>
          </w:tcPr>
          <w:p w:rsidR="00000000" w:rsidDel="00000000" w:rsidP="00000000" w:rsidRDefault="00000000" w:rsidRPr="00000000" w14:paraId="00000020">
            <w:pPr>
              <w:rPr/>
            </w:pPr>
            <w:r w:rsidDel="00000000" w:rsidR="00000000" w:rsidRPr="00000000">
              <w:rPr>
                <w:b w:val="0"/>
                <w:bCs w:val="0"/>
                <w:color w:val="000000"/>
                <w:sz w:val="18"/>
                <w:szCs w:val="18"/>
                <w:rtl w:val="0"/>
              </w:rPr>
              <w:t xml:space="preserve">Confirm co-hosts in BOTH applications: unconfirmed partnerships earn no stacking</w:t>
            </w:r>
            <w:r w:rsidDel="00000000" w:rsidR="00000000" w:rsidRPr="00000000">
              <w:rPr>
                <w:rtl w:val="0"/>
              </w:rPr>
            </w:r>
          </w:p>
        </w:tc>
        <w:tc>
          <w:tcPr>
            <w:tcMar>
              <w:top w:w="44.0" w:type="dxa"/>
              <w:left w:w="84.0" w:type="dxa"/>
              <w:bottom w:w="44.0" w:type="dxa"/>
              <w:right w:w="84.0" w:type="dxa"/>
            </w:tcMar>
          </w:tcPr>
          <w:p w:rsidR="00000000" w:rsidDel="00000000" w:rsidP="00000000" w:rsidRDefault="00000000" w:rsidRPr="00000000" w14:paraId="00000021">
            <w:pPr>
              <w:rPr/>
            </w:pPr>
            <w:r w:rsidDel="00000000" w:rsidR="00000000" w:rsidRPr="00000000">
              <w:rPr>
                <w:b w:val="0"/>
                <w:bCs w:val="0"/>
                <w:color w:val="000000"/>
                <w:sz w:val="18"/>
                <w:szCs w:val="18"/>
                <w:rtl w:val="0"/>
              </w:rPr>
              <w:t xml:space="preserve">Ask HSG for your funding gap, not your full event cost, when sponsors or RSO cover part</w:t>
            </w:r>
            <w:r w:rsidDel="00000000" w:rsidR="00000000" w:rsidRPr="00000000">
              <w:rPr>
                <w:rtl w:val="0"/>
              </w:rPr>
            </w:r>
          </w:p>
        </w:tc>
      </w:tr>
    </w:tbl>
    <w:p w:rsidR="00000000" w:rsidDel="00000000" w:rsidP="00000000" w:rsidRDefault="00000000" w:rsidRPr="00000000" w14:paraId="00000022">
      <w:pPr>
        <w:spacing w:after="50" w:before="120" w:lineRule="auto"/>
        <w:rPr/>
      </w:pPr>
      <w:r w:rsidDel="00000000" w:rsidR="00000000" w:rsidRPr="00000000">
        <w:rPr>
          <w:b w:val="1"/>
          <w:bCs w:val="1"/>
          <w:color w:val="800000"/>
          <w:sz w:val="23"/>
          <w:szCs w:val="23"/>
          <w:rtl w:val="0"/>
        </w:rPr>
        <w:t xml:space="preserve">Your rights and what to do now</w:t>
      </w:r>
      <w:r w:rsidDel="00000000" w:rsidR="00000000" w:rsidRPr="00000000">
        <w:rPr>
          <w:rtl w:val="0"/>
        </w:rPr>
      </w:r>
    </w:p>
    <w:p w:rsidR="00000000" w:rsidDel="00000000" w:rsidP="00000000" w:rsidRDefault="00000000" w:rsidRPr="00000000" w14:paraId="00000023">
      <w:pPr>
        <w:spacing w:after="90" w:lineRule="auto"/>
        <w:rPr/>
      </w:pPr>
      <w:r w:rsidDel="00000000" w:rsidR="00000000" w:rsidRPr="00000000">
        <w:rPr>
          <w:sz w:val="20"/>
          <w:szCs w:val="20"/>
          <w:rtl w:val="0"/>
        </w:rPr>
        <w:t>Within 72 hours of receiving your event classifications you may: contest any classification (decided by committee vote, resolution recorded either way); correct attendance figures; confirm co-hosts; and update your rollover. Then classifications lock, scoring proceeds, and allocations publish with every override justified in writing. Late? File within the same 72-hour window and you are honored in full, identical rules (current balance required); after it, next cycle. There is no reserve this quarter: the full $20,000 is distributed to HSOs. Full methodology and the allocation workbook are available to any HSO on request.</w:t>
      </w:r>
      <w:r w:rsidDel="00000000" w:rsidR="00000000" w:rsidRPr="00000000">
        <w:rPr>
          <w:rtl w:val="0"/>
        </w:rPr>
      </w:r>
    </w:p>
    <w:p w:rsidR="00000000" w:rsidDel="00000000" w:rsidP="00000000" w:rsidRDefault="00000000" w:rsidRPr="00000000" w14:paraId="00000024">
      <w:pPr>
        <w:spacing w:before="40" w:lineRule="auto"/>
        <w:rPr/>
      </w:pPr>
      <w:r w:rsidDel="00000000" w:rsidR="00000000" w:rsidRPr="00000000">
        <w:rPr>
          <w:i w:val="1"/>
          <w:iCs w:val="1"/>
          <w:color w:val="595959"/>
          <w:sz w:val="18"/>
          <w:szCs w:val="18"/>
          <w:rtl w:val="0"/>
        </w:rPr>
        <w:t xml:space="preserve">Key dates: classifications sent [date] · contest window closes [date+72h] · allocations published [date] · Questions: Finance Committee Chair</w:t>
      </w:r>
      <w:r w:rsidDel="00000000" w:rsidR="00000000" w:rsidRPr="00000000">
        <w:rPr>
          <w:rtl w:val="0"/>
        </w:rPr>
      </w:r>
    </w:p>
    <w:sectPr>
      <w:pgSz w:h="15840" w:w="12240" w:orient="portrait"/>
      <w:pgMar w:bottom="760" w:top="76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