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Which</w:t>
      </w:r>
      <w:r>
        <w:t xml:space="preserve"> </w:t>
      </w:r>
      <w:r>
        <w:t xml:space="preserve">groups</w:t>
      </w:r>
      <w:r>
        <w:t xml:space="preserve"> </w:t>
      </w:r>
      <w:r>
        <w:t xml:space="preserve">are</w:t>
      </w:r>
      <w:r>
        <w:t xml:space="preserve"> </w:t>
      </w:r>
      <w:r>
        <w:t xml:space="preserve">at</w:t>
      </w:r>
      <w:r>
        <w:t xml:space="preserve"> </w:t>
      </w:r>
      <w:r>
        <w:t xml:space="preserve">highest</w:t>
      </w:r>
      <w:r>
        <w:t xml:space="preserve"> </w:t>
      </w:r>
      <w:r>
        <w:t xml:space="preserve">risk</w:t>
      </w:r>
      <w:r>
        <w:t xml:space="preserve"> </w:t>
      </w:r>
      <w:r>
        <w:t xml:space="preserve">for</w:t>
      </w:r>
      <w:r>
        <w:t xml:space="preserve"> </w:t>
      </w:r>
      <w:r>
        <w:t xml:space="preserve">low</w:t>
      </w:r>
      <w:r>
        <w:t xml:space="preserve"> </w:t>
      </w:r>
      <w:r>
        <w:t xml:space="preserve">uptake</w:t>
      </w:r>
      <w:r>
        <w:t xml:space="preserve"> </w:t>
      </w:r>
      <w:r>
        <w:t xml:space="preserve">of</w:t>
      </w:r>
      <w:r>
        <w:t xml:space="preserve"> </w:t>
      </w:r>
      <w:r>
        <w:t xml:space="preserve">flu</w:t>
      </w:r>
      <w:r>
        <w:t xml:space="preserve"> </w:t>
      </w:r>
      <w:r>
        <w:t xml:space="preserve">vaccine?</w:t>
      </w:r>
    </w:p>
    <w:p>
      <w:pPr>
        <w:pStyle w:val="Author"/>
      </w:pPr>
      <w:r>
        <w:t xml:space="preserve">Chris</w:t>
      </w:r>
      <w:r>
        <w:t xml:space="preserve"> </w:t>
      </w:r>
      <w:r>
        <w:t xml:space="preserve">Okitondo</w:t>
      </w:r>
      <w:r>
        <w:t xml:space="preserve"> </w:t>
      </w:r>
      <w:r>
        <w:t xml:space="preserve">and</w:t>
      </w:r>
      <w:r>
        <w:t xml:space="preserve"> </w:t>
      </w:r>
      <w:r>
        <w:t xml:space="preserve">Irene</w:t>
      </w:r>
      <w:r>
        <w:t xml:space="preserve"> </w:t>
      </w:r>
      <w:r>
        <w:t xml:space="preserve">Cavros</w:t>
      </w:r>
    </w:p>
    <w:p>
      <w:pPr>
        <w:pStyle w:val="Date"/>
      </w:pPr>
      <w:r>
        <w:t xml:space="preserve">4/15/23</w:t>
      </w:r>
    </w:p>
    <w:bookmarkStart w:id="20" w:name="summaryabstract"/>
    <w:p>
      <w:pPr>
        <w:pStyle w:val="Heading1"/>
      </w:pPr>
      <w:r>
        <w:t xml:space="preserve">1. Summary/Abstract</w:t>
      </w:r>
    </w:p>
    <w:p>
      <w:pPr>
        <w:pStyle w:val="FirstParagraph"/>
      </w:pPr>
      <w:r>
        <w:t xml:space="preserve">Influenza, or flu, is an extremely contagious respiratory illness caused by a virus. It can cause a range of symptoms, including fever, cough, sore throat, body aches, headache, chills, and fatigue (</w:t>
      </w:r>
      <w:r>
        <w:t xml:space="preserve">CDC (2022c)</w:t>
      </w:r>
      <w:r>
        <w:t xml:space="preserve">.) It can be particularly dangerous for certain groups, such as older adults, young children, and individuals with underlying health issues, often resulting in severe illness or even death. Although influenza vaccinations are widely accessible, many people in the United States do not receive them as recommended. This study examines influenza vaccination uptake among US adults from 2012-2021. Using a subset of the National Health Interview Survey (NHIS) data set, researchers provide important insights into which groups are at highest risk for under-coverage of flu vaccine in order to better inform targeted public health interventions for improving uptake.</w:t>
      </w:r>
    </w:p>
    <w:bookmarkEnd w:id="20"/>
    <w:bookmarkStart w:id="21" w:name="introduction"/>
    <w:p>
      <w:pPr>
        <w:pStyle w:val="Heading1"/>
      </w:pPr>
      <w:r>
        <w:t xml:space="preserve">2. Introduction</w:t>
      </w:r>
    </w:p>
    <w:p>
      <w:pPr>
        <w:pStyle w:val="FirstParagraph"/>
      </w:pPr>
      <w:r>
        <w:t xml:space="preserve">Influenza, commonly known as the flu, is a contagious respiratory illness which comes from influenza viruses. It can cause mild to severe illness, and in some cases, it can lead to hospitalization or even death. Symptoms of the flu include fever, cough, sore throat, body</w:t>
      </w:r>
      <w:r>
        <w:t xml:space="preserve"> </w:t>
      </w:r>
      <w:r>
        <w:t xml:space="preserve">aches, headache, chills, and fatigue (</w:t>
      </w:r>
      <w:r>
        <w:t xml:space="preserve">CDC (2022a)</w:t>
      </w:r>
      <w:r>
        <w:t xml:space="preserve">.) It can spread easily from person to person through droplets that are released infected individuals cough, sneeze, or talk.</w:t>
      </w:r>
    </w:p>
    <w:p>
      <w:pPr>
        <w:pStyle w:val="BodyText"/>
      </w:pPr>
      <w:r>
        <w:t xml:space="preserve">Vaccines are a crucial tool in preventing the spread of infectious diseases, including the flu. On an individual level, the best way to protect against the flu is by getting vaccinated each year. At the population level, high vaccine coverage is a powerful strategy for reducing spread of the virus (</w:t>
      </w:r>
      <w:r>
        <w:t xml:space="preserve">CDC (2022c)</w:t>
      </w:r>
      <w:r>
        <w:t xml:space="preserve">.)</w:t>
      </w:r>
    </w:p>
    <w:p>
      <w:pPr>
        <w:pStyle w:val="BodyText"/>
      </w:pPr>
      <w:r>
        <w:t xml:space="preserve">The U.S. Centers for Disease Control and Prevention (CDC) recommends that everyone six months of age and older receive a flu vaccine each year, with rare exceptions (</w:t>
      </w:r>
      <w:r>
        <w:t xml:space="preserve">CDC (2022c)</w:t>
      </w:r>
      <w:r>
        <w:t xml:space="preserve">.) Influenza is a constantly evolving virus that mutates rapidly, and uncontrolled spread gives rise to many different strains, so new vaccines are developed each year to protect against the most common strains of the virus that are expected to circulate during the upcoming flu season. It is especially important for individuals who are at higher risk of severe illness or complications from the flu, such as young children, older adults, pregnant women, and individuals with underlying medical conditions.</w:t>
      </w:r>
    </w:p>
    <w:p>
      <w:pPr>
        <w:pStyle w:val="BodyText"/>
      </w:pPr>
      <w:r>
        <w:t xml:space="preserve">In terms of the availability and cost, there have been significant changes for flu vaccines over the past 50 years (</w:t>
      </w:r>
      <w:r>
        <w:rPr>
          <w:iCs/>
          <w:i/>
        </w:rPr>
        <w:t xml:space="preserve">Influenza</w:t>
      </w:r>
      <w:r>
        <w:rPr>
          <w:iCs/>
          <w:i/>
        </w:rPr>
        <w:t xml:space="preserve"> </w:t>
      </w:r>
      <w:r>
        <w:rPr>
          <w:iCs/>
          <w:i/>
        </w:rPr>
        <w:t xml:space="preserve">Historic Timeline</w:t>
      </w:r>
      <w:r>
        <w:rPr>
          <w:iCs/>
          <w:i/>
        </w:rPr>
        <w:t xml:space="preserve"> </w:t>
      </w:r>
      <w:r>
        <w:rPr>
          <w:iCs/>
          <w:i/>
        </w:rPr>
        <w:t xml:space="preserve">|</w:t>
      </w:r>
      <w:r>
        <w:rPr>
          <w:iCs/>
          <w:i/>
        </w:rPr>
        <w:t xml:space="preserve"> </w:t>
      </w:r>
      <w:r>
        <w:rPr>
          <w:iCs/>
          <w:i/>
        </w:rPr>
        <w:t xml:space="preserve">Pandemic Influenza</w:t>
      </w:r>
      <w:r>
        <w:rPr>
          <w:iCs/>
          <w:i/>
        </w:rPr>
        <w:t xml:space="preserve"> </w:t>
      </w:r>
      <w:r>
        <w:rPr>
          <w:iCs/>
          <w:i/>
        </w:rPr>
        <w:t xml:space="preserve">(</w:t>
      </w:r>
      <w:r>
        <w:rPr>
          <w:iCs/>
          <w:i/>
        </w:rPr>
        <w:t xml:space="preserve">Flu</w:t>
      </w:r>
      <w:r>
        <w:rPr>
          <w:iCs/>
          <w:i/>
        </w:rPr>
        <w:t xml:space="preserve">) |</w:t>
      </w:r>
      <w:r>
        <w:rPr>
          <w:iCs/>
          <w:i/>
        </w:rPr>
        <w:t xml:space="preserve"> </w:t>
      </w:r>
      <w:r>
        <w:rPr>
          <w:iCs/>
          <w:i/>
        </w:rPr>
        <w:t xml:space="preserve">CDC</w:t>
      </w:r>
      <w:r>
        <w:t xml:space="preserve"> </w:t>
      </w:r>
      <w:r>
        <w:t xml:space="preserve">(2022)</w:t>
      </w:r>
      <w:r>
        <w:t xml:space="preserve">.) In the 1960s, flu vaccines were not widely available and were primarily given to people considered to be at high risk for complications. The cost of the vaccine was relatively high and was not covered by most insurance plans. In the 1970s and 1980s, flu vaccines became more widely available and were recommended for more people, including children and healthy adults. The cost of the vaccine began to decrease as more people received it, and insurance coverage for the vaccine became more common. In the 1990s and 2000s, the availability of flu vaccines continued to increase, and the cost of the vaccine became more affordable for a larger proportion of the U.S. population.</w:t>
      </w:r>
    </w:p>
    <w:p>
      <w:pPr>
        <w:pStyle w:val="BodyText"/>
      </w:pPr>
      <w:r>
        <w:t xml:space="preserve">Today, flu vaccines are frequently available in doctor’s offices, pharmacies, community clinics, workplace clinics, school-based clinics, and local health departments, among others. They are often covered by insurance plans, which has increased their accessibility. Many public health clinics and community organizations also offer flu vaccines at low or no cost, in order to better target historically unreached populations.</w:t>
      </w:r>
    </w:p>
    <w:p>
      <w:pPr>
        <w:pStyle w:val="BodyText"/>
      </w:pPr>
      <w:r>
        <w:t xml:space="preserve">Despite the availability and recommendation of influenza vaccines, many people in the United States still do not receive them as recommended. In fact, the CDC reported that only 49.2% of adults aged 18 years and older received a flu vaccine during the 2020-2021 flu season (</w:t>
      </w:r>
      <w:r>
        <w:t xml:space="preserve">CDC (2022b)</w:t>
      </w:r>
      <w:r>
        <w:t xml:space="preserve">.) This low uptake of influenza vaccine highlights the need for understanding the factors that contribute to under-coverage of the vaccine in certain populations.</w:t>
      </w:r>
    </w:p>
    <w:p>
      <w:pPr>
        <w:pStyle w:val="BodyText"/>
      </w:pPr>
      <w:r>
        <w:t xml:space="preserve">Racial/ethnic minorities have a long history of reduced vaccination rates relative to white Americans (</w:t>
      </w:r>
      <w:r>
        <w:t xml:space="preserve">Khan, Hall, Tanner, &amp; Marlow (2018)</w:t>
      </w:r>
      <w:r>
        <w:t xml:space="preserve">.) Since 2010, flu vaccination coverage has been consistently lower among Black, Hispanic, and AI/AN adults. During the 2021–2022 season, flu vaccination coverage was 54% among White adults, 42% among Black adults, 38% among Hispanic adults, and 41% among AI/AN adults (</w:t>
      </w:r>
      <w:r>
        <w:t xml:space="preserve">CDC (2022b)</w:t>
      </w:r>
      <w:r>
        <w:t xml:space="preserve">.) There are many reasons for these inequities, including lack of access to health care and insurance, missed opportunities to vaccinate, and misinformation and distrust.</w:t>
      </w:r>
    </w:p>
    <w:p>
      <w:pPr>
        <w:pStyle w:val="BodyText"/>
      </w:pPr>
      <w:r>
        <w:t xml:space="preserve">In prior studies, lower income levels were associated with decreased odds of influenza vaccine receipt (</w:t>
      </w:r>
      <w:r>
        <w:t xml:space="preserve">Gaskin, Woods, Ghosh, Watson, &amp; Huber (2023)</w:t>
      </w:r>
      <w:r>
        <w:t xml:space="preserve">;</w:t>
      </w:r>
      <w:r>
        <w:t xml:space="preserve"> </w:t>
      </w:r>
      <w:r>
        <w:t xml:space="preserve">Vashist, Choi, &amp; Patel (2022)</w:t>
      </w:r>
      <w:r>
        <w:t xml:space="preserve">), and having health insurance coverage has also been shown to be associated with increased influenza vaccine coverage (</w:t>
      </w:r>
      <w:r>
        <w:t xml:space="preserve">Cambou, Copeland, Nielsen-Saines, &amp; Macinko (2021)</w:t>
      </w:r>
      <w:r>
        <w:t xml:space="preserve">;</w:t>
      </w:r>
      <w:r>
        <w:t xml:space="preserve"> </w:t>
      </w:r>
      <w:r>
        <w:t xml:space="preserve">Vashist et al. (2022)</w:t>
      </w:r>
      <w:r>
        <w:t xml:space="preserve">). Influenza vaccination rates were also found to be lower in rural than in urban areas among adults of all age groups and both genders (</w:t>
      </w:r>
      <w:r>
        <w:t xml:space="preserve">Jain et al. (2022)</w:t>
      </w:r>
      <w:r>
        <w:t xml:space="preserve">). However, there are still many variables of interest from the NHIS dataset that have yet to be evaluated in detail. Additionally, the periods of study from all prior research all end prior to the onset of the COVID-19 pandemic, which could have altered or heightened disparities even more.</w:t>
      </w:r>
    </w:p>
    <w:bookmarkEnd w:id="21"/>
    <w:bookmarkStart w:id="25" w:name="methods"/>
    <w:p>
      <w:pPr>
        <w:pStyle w:val="Heading1"/>
      </w:pPr>
      <w:r>
        <w:t xml:space="preserve">3. Methods</w:t>
      </w:r>
    </w:p>
    <w:bookmarkStart w:id="23" w:name="description-of-data-and-data-source"/>
    <w:p>
      <w:pPr>
        <w:pStyle w:val="Heading3"/>
      </w:pPr>
      <w:r>
        <w:t xml:space="preserve">3.0.1 Description of data and data source</w:t>
      </w:r>
    </w:p>
    <w:p>
      <w:pPr>
        <w:pStyle w:val="FirstParagraph"/>
      </w:pPr>
      <w:r>
        <w:t xml:space="preserve">The data source used for this project is the National Health Interview Survey (NHIS). It is a harmonized set of data beginning in 1963 with information on general health status, acute and chronic illness, functional limitations, access to care, insurance coverage, and health behaviors for the U.S. population. On average, the survey covers 100,000 persons in 45,000 households each year. It is conducted in-person and by telephone, and its sample is designed to be representative of the civilian United States population (</w:t>
      </w:r>
      <w:r>
        <w:t xml:space="preserve">(</w:t>
      </w:r>
      <w:r>
        <w:rPr>
          <w:bCs/>
          <w:b/>
        </w:rPr>
        <w:t xml:space="preserve">IPUMSNHIS?</w:t>
      </w:r>
      <w:r>
        <w:t xml:space="preserve">)</w:t>
      </w:r>
      <w:r>
        <w:t xml:space="preserve">.)</w:t>
      </w:r>
    </w:p>
    <w:bookmarkStart w:id="22" w:name="study-population"/>
    <w:p>
      <w:pPr>
        <w:pStyle w:val="Heading4"/>
      </w:pPr>
      <w:r>
        <w:t xml:space="preserve">3.0.1.1 Study population</w:t>
      </w:r>
    </w:p>
    <w:p>
      <w:pPr>
        <w:pStyle w:val="FirstParagraph"/>
      </w:pPr>
      <w:r>
        <w:t xml:space="preserve">Individuals were eligible for the study if they were interviewed as part of the NHIS household survey between the years of 2012 and 2021. Table 1 below provides a summary of demographic characteristics of our study population.</w:t>
      </w:r>
    </w:p>
    <w:bookmarkEnd w:id="22"/>
    <w:bookmarkEnd w:id="23"/>
    <w:bookmarkStart w:id="24" w:name="statistical-analysis"/>
    <w:p>
      <w:pPr>
        <w:pStyle w:val="Heading3"/>
      </w:pPr>
      <w:r>
        <w:t xml:space="preserve">3.0.2 Statistical analysis</w:t>
      </w:r>
    </w:p>
    <w:p>
      <w:pPr>
        <w:pStyle w:val="FirstParagraph"/>
      </w:pPr>
      <w:r>
        <w:t xml:space="preserve">The raw data for the period of interest directly extracted from the NHIS</w:t>
      </w:r>
      <w:r>
        <w:t xml:space="preserve"> </w:t>
      </w:r>
      <w:r>
        <w:t xml:space="preserve">IPUMS survey initially had 792,916 observations. NHIS Researchers then</w:t>
      </w:r>
      <w:r>
        <w:t xml:space="preserve"> </w:t>
      </w:r>
      <w:r>
        <w:t xml:space="preserve">selected their predictors of interest to model the association between</w:t>
      </w:r>
      <w:r>
        <w:t xml:space="preserve"> </w:t>
      </w:r>
      <w:r>
        <w:t xml:space="preserve">the outcome and variables. Variables assessed are as follows:</w:t>
      </w:r>
    </w:p>
    <w:p>
      <w:pPr>
        <w:pStyle w:val="BodyText"/>
      </w:pPr>
      <w:r>
        <w:t xml:space="preserve">1. Demographics: age, sex, race, ethnicity, veteran status</w:t>
      </w:r>
    </w:p>
    <w:p>
      <w:pPr>
        <w:pStyle w:val="BodyText"/>
      </w:pPr>
      <w:r>
        <w:t xml:space="preserve">2. Socioeconomic status: education level, total combined family income,</w:t>
      </w:r>
      <w:r>
        <w:t xml:space="preserve"> </w:t>
      </w:r>
      <w:r>
        <w:t xml:space="preserve">employment status, paid sick leave as part of job benefits</w:t>
      </w:r>
    </w:p>
    <w:p>
      <w:pPr>
        <w:pStyle w:val="BodyText"/>
      </w:pPr>
      <w:r>
        <w:t xml:space="preserve">3. General health: perceived health status, categorical BMI</w:t>
      </w:r>
    </w:p>
    <w:p>
      <w:pPr>
        <w:pStyle w:val="BodyText"/>
      </w:pPr>
      <w:r>
        <w:t xml:space="preserve">4. Conditions: ever told had asthma, ever told had cancer, ever told</w:t>
      </w:r>
      <w:r>
        <w:t xml:space="preserve"> </w:t>
      </w:r>
      <w:r>
        <w:t xml:space="preserve">had coronary heart disease</w:t>
      </w:r>
    </w:p>
    <w:p>
      <w:pPr>
        <w:pStyle w:val="BodyText"/>
      </w:pPr>
      <w:r>
        <w:t xml:space="preserve">5. Health behaviors: alcohol drinking status, cigarette smoking status</w:t>
      </w:r>
    </w:p>
    <w:p>
      <w:pPr>
        <w:pStyle w:val="BodyText"/>
      </w:pPr>
      <w:r>
        <w:t xml:space="preserve">6. Access to care: has usual place for medical care, medical care</w:t>
      </w:r>
      <w:r>
        <w:t xml:space="preserve"> </w:t>
      </w:r>
      <w:r>
        <w:t xml:space="preserve">delayed due to cost (past 12 months)</w:t>
      </w:r>
    </w:p>
    <w:p>
      <w:pPr>
        <w:pStyle w:val="BodyText"/>
      </w:pPr>
      <w:r>
        <w:t xml:space="preserve">7. Health insurance: health insurance coverage status</w:t>
      </w:r>
    </w:p>
    <w:p>
      <w:pPr>
        <w:pStyle w:val="BodyText"/>
      </w:pPr>
      <w:r>
        <w:t xml:space="preserve">8. Mental health: anxiety level, depression level.</w:t>
      </w:r>
    </w:p>
    <w:p>
      <w:pPr>
        <w:pStyle w:val="BodyText"/>
      </w:pPr>
      <w:r>
        <w:br/>
      </w:r>
      <w:r>
        <w:t xml:space="preserve">After processing the raw data and removing all observations with missing</w:t>
      </w:r>
      <w:r>
        <w:t xml:space="preserve"> </w:t>
      </w:r>
      <w:r>
        <w:t xml:space="preserve">data for any of the predictors of interest, the remaining 106,980</w:t>
      </w:r>
      <w:r>
        <w:t xml:space="preserve"> </w:t>
      </w:r>
      <w:r>
        <w:t xml:space="preserve">individuals were included in the analysis. Because of the binary</w:t>
      </w:r>
      <w:r>
        <w:t xml:space="preserve"> </w:t>
      </w:r>
      <w:r>
        <w:t xml:space="preserve">outcome, logistic regression was utilized to model the association</w:t>
      </w:r>
      <w:r>
        <w:t xml:space="preserve"> </w:t>
      </w:r>
      <w:r>
        <w:t xml:space="preserve">between the outcome and variables of interest. Researchers utilized</w:t>
      </w:r>
      <w:r>
        <w:t xml:space="preserve"> </w:t>
      </w:r>
      <w:r>
        <w:t xml:space="preserve">machine learning to split data and create a workflow. Data was split</w:t>
      </w:r>
      <w:r>
        <w:t xml:space="preserve"> </w:t>
      </w:r>
      <w:r>
        <w:t xml:space="preserve">randomly where 75% of included participants made up the training dataset</w:t>
      </w:r>
      <w:r>
        <w:t xml:space="preserve"> </w:t>
      </w:r>
      <w:r>
        <w:t xml:space="preserve">and 25% made up the testing dataset.</w:t>
      </w:r>
    </w:p>
    <w:bookmarkEnd w:id="24"/>
    <w:bookmarkEnd w:id="25"/>
    <w:bookmarkStart w:id="43" w:name="results"/>
    <w:p>
      <w:pPr>
        <w:pStyle w:val="Heading1"/>
      </w:pPr>
      <w:r>
        <w:t xml:space="preserve">4. Results</w:t>
      </w:r>
    </w:p>
    <w:bookmarkStart w:id="29" w:name="exploratorydescriptive-analysis"/>
    <w:p>
      <w:pPr>
        <w:pStyle w:val="Heading3"/>
      </w:pPr>
      <w:r>
        <w:t xml:space="preserve">4.0.1 Exploratory/Descriptive analysis</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7" name="Picture"/>
                  <a:graphic>
                    <a:graphicData uri="http://schemas.openxmlformats.org/drawingml/2006/picture">
                      <pic:pic>
                        <pic:nvPicPr>
                          <pic:cNvPr descr="../../results/age%20&amp;%20flu%20uptake%20distribution.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 Table 1: Demographic characteristics of the study population **</w:t>
      </w:r>
    </w:p>
    <w:bookmarkEnd w:id="29"/>
    <w:bookmarkStart w:id="30" w:name="Xd50c0b9538c59162f08ee6050bccc2b7efa8558"/>
    <w:p>
      <w:pPr>
        <w:pStyle w:val="Heading3"/>
      </w:pPr>
      <w:r>
        <w:t xml:space="preserve">4.0.2 Loading Table 1 from the Exploratory Analysis</w:t>
      </w:r>
    </w:p>
    <w:p>
      <w:pPr>
        <w:pStyle w:val="SourceCode"/>
      </w:pPr>
      <w:r>
        <w:rPr>
          <w:rStyle w:val="NormalTok"/>
        </w:rPr>
        <w:t xml:space="preserve">result_table1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"table1_demographics.rds"</w:t>
      </w:r>
      <w:r>
        <w:rPr>
          <w:rStyle w:val="NormalTok"/>
        </w:rPr>
        <w:t xml:space="preserve">))</w:t>
      </w:r>
      <w:r>
        <w:br/>
      </w:r>
      <w:r>
        <w:rPr>
          <w:rStyle w:val="NormalTok"/>
        </w:rPr>
        <w:t xml:space="preserve">result_table1</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 </w:t>
            </w:r>
          </w:p>
        </w:tc>
        <w:tc>
          <w:tcPr/>
          <w:p>
            <w:pPr>
              <w:pStyle w:val="Compact"/>
              <w:jc w:val="left"/>
            </w:pPr>
            <w:r>
              <w:t xml:space="preserve">no</w:t>
            </w:r>
          </w:p>
        </w:tc>
        <w:tc>
          <w:tcPr/>
          <w:p>
            <w:pPr>
              <w:pStyle w:val="Compact"/>
              <w:jc w:val="left"/>
            </w:pPr>
            <w:r>
              <w:t xml:space="preserve">yes</w:t>
            </w:r>
          </w:p>
        </w:tc>
        <w:tc>
          <w:tcPr/>
          <w:p>
            <w:pPr>
              <w:pStyle w:val="Compact"/>
              <w:jc w:val="left"/>
            </w:pPr>
            <w:r>
              <w:t xml:space="preserve">Overall</w:t>
            </w:r>
          </w:p>
        </w:tc>
      </w:tr>
      <w:tr>
        <w:tc>
          <w:tcPr/>
          <w:p>
            <w:pPr>
              <w:pStyle w:val="Compact"/>
            </w:pPr>
          </w:p>
        </w:tc>
        <w:tc>
          <w:tcPr/>
          <w:p>
            <w:pPr>
              <w:pStyle w:val="Compact"/>
              <w:jc w:val="left"/>
            </w:pPr>
            <w:r>
              <w:t xml:space="preserve">(N=58425)</w:t>
            </w:r>
          </w:p>
        </w:tc>
        <w:tc>
          <w:tcPr/>
          <w:p>
            <w:pPr>
              <w:pStyle w:val="Compact"/>
              <w:jc w:val="left"/>
            </w:pPr>
            <w:r>
              <w:t xml:space="preserve">(N=48555)</w:t>
            </w:r>
          </w:p>
        </w:tc>
        <w:tc>
          <w:tcPr/>
          <w:p>
            <w:pPr>
              <w:pStyle w:val="Compact"/>
              <w:jc w:val="left"/>
            </w:pPr>
            <w:r>
              <w:t xml:space="preserve">(N=106980)</w:t>
            </w:r>
          </w:p>
        </w:tc>
      </w:tr>
      <w:tr>
        <w:tc>
          <w:tcPr>
            <w:gridSpan w:val="4"/>
          </w:tcPr>
          <w:p>
            <w:pPr>
              <w:pStyle w:val="Compact"/>
              <w:jc w:val="left"/>
            </w:pPr>
            <w:r>
              <w:rPr>
                <w:bCs/>
                <w:b/>
              </w:rPr>
              <w:t xml:space="preserve">factor(sex)</w:t>
            </w:r>
          </w:p>
        </w:tc>
      </w:tr>
      <w:tr>
        <w:tc>
          <w:tcPr/>
          <w:p>
            <w:pPr>
              <w:pStyle w:val="Compact"/>
              <w:jc w:val="left"/>
            </w:pPr>
            <w:r>
              <w:t xml:space="preserve">male</w:t>
            </w:r>
          </w:p>
        </w:tc>
        <w:tc>
          <w:tcPr/>
          <w:p>
            <w:pPr>
              <w:pStyle w:val="Compact"/>
              <w:jc w:val="left"/>
            </w:pPr>
            <w:r>
              <w:t xml:space="preserve">29881 (51.1%)</w:t>
            </w:r>
          </w:p>
        </w:tc>
        <w:tc>
          <w:tcPr/>
          <w:p>
            <w:pPr>
              <w:pStyle w:val="Compact"/>
              <w:jc w:val="left"/>
            </w:pPr>
            <w:r>
              <w:t xml:space="preserve">20902 (43.0%)</w:t>
            </w:r>
          </w:p>
        </w:tc>
        <w:tc>
          <w:tcPr/>
          <w:p>
            <w:pPr>
              <w:pStyle w:val="Compact"/>
              <w:jc w:val="left"/>
            </w:pPr>
            <w:r>
              <w:t xml:space="preserve">50783 (47.5%)</w:t>
            </w:r>
          </w:p>
        </w:tc>
      </w:tr>
      <w:tr>
        <w:tc>
          <w:tcPr/>
          <w:p>
            <w:pPr>
              <w:pStyle w:val="Compact"/>
              <w:jc w:val="left"/>
            </w:pPr>
            <w:r>
              <w:t xml:space="preserve">female</w:t>
            </w:r>
          </w:p>
        </w:tc>
        <w:tc>
          <w:tcPr/>
          <w:p>
            <w:pPr>
              <w:pStyle w:val="Compact"/>
              <w:jc w:val="left"/>
            </w:pPr>
            <w:r>
              <w:t xml:space="preserve">28544 (48.9%)</w:t>
            </w:r>
          </w:p>
        </w:tc>
        <w:tc>
          <w:tcPr/>
          <w:p>
            <w:pPr>
              <w:pStyle w:val="Compact"/>
              <w:jc w:val="left"/>
            </w:pPr>
            <w:r>
              <w:t xml:space="preserve">27653 (57.0%)</w:t>
            </w:r>
          </w:p>
        </w:tc>
        <w:tc>
          <w:tcPr/>
          <w:p>
            <w:pPr>
              <w:pStyle w:val="Compact"/>
              <w:jc w:val="left"/>
            </w:pPr>
            <w:r>
              <w:t xml:space="preserve">56197 (52.5%)</w:t>
            </w:r>
          </w:p>
        </w:tc>
      </w:tr>
      <w:tr>
        <w:tc>
          <w:tcPr>
            <w:gridSpan w:val="4"/>
          </w:tcPr>
          <w:p>
            <w:pPr>
              <w:pStyle w:val="Compact"/>
              <w:jc w:val="left"/>
            </w:pPr>
            <w:r>
              <w:rPr>
                <w:bCs/>
                <w:b/>
              </w:rPr>
              <w:t xml:space="preserve">Age</w:t>
            </w:r>
          </w:p>
        </w:tc>
      </w:tr>
      <w:tr>
        <w:tc>
          <w:tcPr/>
          <w:p>
            <w:pPr>
              <w:pStyle w:val="Compact"/>
              <w:jc w:val="left"/>
            </w:pPr>
            <w:r>
              <w:t xml:space="preserve">Mean (SD)</w:t>
            </w:r>
          </w:p>
        </w:tc>
        <w:tc>
          <w:tcPr/>
          <w:p>
            <w:pPr>
              <w:pStyle w:val="Compact"/>
              <w:jc w:val="left"/>
            </w:pPr>
            <w:r>
              <w:t xml:space="preserve">45.0 (16.1)</w:t>
            </w:r>
          </w:p>
        </w:tc>
        <w:tc>
          <w:tcPr/>
          <w:p>
            <w:pPr>
              <w:pStyle w:val="Compact"/>
              <w:jc w:val="left"/>
            </w:pPr>
            <w:r>
              <w:t xml:space="preserve">54.6 (17.8)</w:t>
            </w:r>
          </w:p>
        </w:tc>
        <w:tc>
          <w:tcPr/>
          <w:p>
            <w:pPr>
              <w:pStyle w:val="Compact"/>
              <w:jc w:val="left"/>
            </w:pPr>
            <w:r>
              <w:t xml:space="preserve">49.3 (17.6)</w:t>
            </w:r>
          </w:p>
        </w:tc>
      </w:tr>
      <w:tr>
        <w:tc>
          <w:tcPr/>
          <w:p>
            <w:pPr>
              <w:pStyle w:val="Compact"/>
              <w:jc w:val="left"/>
            </w:pPr>
            <w:r>
              <w:t xml:space="preserve">Median [Min, Max]</w:t>
            </w:r>
          </w:p>
        </w:tc>
        <w:tc>
          <w:tcPr/>
          <w:p>
            <w:pPr>
              <w:pStyle w:val="Compact"/>
              <w:jc w:val="left"/>
            </w:pPr>
            <w:r>
              <w:t xml:space="preserve">44.0 [18.0, 85.0]</w:t>
            </w:r>
          </w:p>
        </w:tc>
        <w:tc>
          <w:tcPr/>
          <w:p>
            <w:pPr>
              <w:pStyle w:val="Compact"/>
              <w:jc w:val="left"/>
            </w:pPr>
            <w:r>
              <w:t xml:space="preserve">57.0 [18.0, 85.0]</w:t>
            </w:r>
          </w:p>
        </w:tc>
        <w:tc>
          <w:tcPr/>
          <w:p>
            <w:pPr>
              <w:pStyle w:val="Compact"/>
              <w:jc w:val="left"/>
            </w:pPr>
            <w:r>
              <w:t xml:space="preserve">49.0 [18.0, 85.0]</w:t>
            </w:r>
          </w:p>
        </w:tc>
      </w:tr>
      <w:tr>
        <w:tc>
          <w:tcPr>
            <w:gridSpan w:val="4"/>
          </w:tcPr>
          <w:p>
            <w:pPr>
              <w:pStyle w:val="Compact"/>
              <w:jc w:val="left"/>
            </w:pPr>
            <w:r>
              <w:rPr>
                <w:bCs/>
                <w:b/>
              </w:rPr>
              <w:t xml:space="preserve">factor(race)</w:t>
            </w:r>
          </w:p>
        </w:tc>
      </w:tr>
      <w:tr>
        <w:tc>
          <w:tcPr/>
          <w:p>
            <w:pPr>
              <w:pStyle w:val="Compact"/>
              <w:jc w:val="left"/>
            </w:pPr>
            <w:r>
              <w:t xml:space="preserve">white</w:t>
            </w:r>
          </w:p>
        </w:tc>
        <w:tc>
          <w:tcPr/>
          <w:p>
            <w:pPr>
              <w:pStyle w:val="Compact"/>
              <w:jc w:val="left"/>
            </w:pPr>
            <w:r>
              <w:t xml:space="preserve">46388 (79.4%)</w:t>
            </w:r>
          </w:p>
        </w:tc>
        <w:tc>
          <w:tcPr/>
          <w:p>
            <w:pPr>
              <w:pStyle w:val="Compact"/>
              <w:jc w:val="left"/>
            </w:pPr>
            <w:r>
              <w:t xml:space="preserve">40081 (82.5%)</w:t>
            </w:r>
          </w:p>
        </w:tc>
        <w:tc>
          <w:tcPr/>
          <w:p>
            <w:pPr>
              <w:pStyle w:val="Compact"/>
              <w:jc w:val="left"/>
            </w:pPr>
            <w:r>
              <w:t xml:space="preserve">86469 (80.8%)</w:t>
            </w:r>
          </w:p>
        </w:tc>
      </w:tr>
      <w:tr>
        <w:tc>
          <w:tcPr/>
          <w:p>
            <w:pPr>
              <w:pStyle w:val="Compact"/>
              <w:jc w:val="left"/>
            </w:pPr>
            <w:r>
              <w:t xml:space="preserve">black</w:t>
            </w:r>
          </w:p>
        </w:tc>
        <w:tc>
          <w:tcPr/>
          <w:p>
            <w:pPr>
              <w:pStyle w:val="Compact"/>
              <w:jc w:val="left"/>
            </w:pPr>
            <w:r>
              <w:t xml:space="preserve">8356 (14.3%)</w:t>
            </w:r>
          </w:p>
        </w:tc>
        <w:tc>
          <w:tcPr/>
          <w:p>
            <w:pPr>
              <w:pStyle w:val="Compact"/>
              <w:jc w:val="left"/>
            </w:pPr>
            <w:r>
              <w:t xml:space="preserve">5090 (10.5%)</w:t>
            </w:r>
          </w:p>
        </w:tc>
        <w:tc>
          <w:tcPr/>
          <w:p>
            <w:pPr>
              <w:pStyle w:val="Compact"/>
              <w:jc w:val="left"/>
            </w:pPr>
            <w:r>
              <w:t xml:space="preserve">13446 (12.6%)</w:t>
            </w:r>
          </w:p>
        </w:tc>
      </w:tr>
      <w:tr>
        <w:tc>
          <w:tcPr/>
          <w:p>
            <w:pPr>
              <w:pStyle w:val="Compact"/>
              <w:jc w:val="left"/>
            </w:pPr>
            <w:r>
              <w:t xml:space="preserve">native american</w:t>
            </w:r>
          </w:p>
        </w:tc>
        <w:tc>
          <w:tcPr/>
          <w:p>
            <w:pPr>
              <w:pStyle w:val="Compact"/>
              <w:jc w:val="left"/>
            </w:pPr>
            <w:r>
              <w:t xml:space="preserve">643 (1.1%)</w:t>
            </w:r>
          </w:p>
        </w:tc>
        <w:tc>
          <w:tcPr/>
          <w:p>
            <w:pPr>
              <w:pStyle w:val="Compact"/>
              <w:jc w:val="left"/>
            </w:pPr>
            <w:r>
              <w:t xml:space="preserve">496 (1.0%)</w:t>
            </w:r>
          </w:p>
        </w:tc>
        <w:tc>
          <w:tcPr/>
          <w:p>
            <w:pPr>
              <w:pStyle w:val="Compact"/>
              <w:jc w:val="left"/>
            </w:pPr>
            <w:r>
              <w:t xml:space="preserve">1139 (1.1%)</w:t>
            </w:r>
          </w:p>
        </w:tc>
      </w:tr>
      <w:tr>
        <w:tc>
          <w:tcPr/>
          <w:p>
            <w:pPr>
              <w:pStyle w:val="Compact"/>
              <w:jc w:val="left"/>
            </w:pPr>
            <w:r>
              <w:t xml:space="preserve">asian</w:t>
            </w:r>
          </w:p>
        </w:tc>
        <w:tc>
          <w:tcPr/>
          <w:p>
            <w:pPr>
              <w:pStyle w:val="Compact"/>
              <w:jc w:val="left"/>
            </w:pPr>
            <w:r>
              <w:t xml:space="preserve">3038 (5.2%)</w:t>
            </w:r>
          </w:p>
        </w:tc>
        <w:tc>
          <w:tcPr/>
          <w:p>
            <w:pPr>
              <w:pStyle w:val="Compact"/>
              <w:jc w:val="left"/>
            </w:pPr>
            <w:r>
              <w:t xml:space="preserve">2888 (5.9%)</w:t>
            </w:r>
          </w:p>
        </w:tc>
        <w:tc>
          <w:tcPr/>
          <w:p>
            <w:pPr>
              <w:pStyle w:val="Compact"/>
              <w:jc w:val="left"/>
            </w:pPr>
            <w:r>
              <w:t xml:space="preserve">5926 (5.5%)</w:t>
            </w:r>
          </w:p>
        </w:tc>
      </w:tr>
      <w:tr>
        <w:tc>
          <w:tcPr>
            <w:gridSpan w:val="4"/>
          </w:tcPr>
          <w:p>
            <w:pPr>
              <w:pStyle w:val="Compact"/>
              <w:jc w:val="left"/>
            </w:pPr>
            <w:r>
              <w:rPr>
                <w:bCs/>
                <w:b/>
              </w:rPr>
              <w:t xml:space="preserve">factor(hispanic)</w:t>
            </w:r>
          </w:p>
        </w:tc>
      </w:tr>
      <w:tr>
        <w:tc>
          <w:tcPr/>
          <w:p>
            <w:pPr>
              <w:pStyle w:val="Compact"/>
              <w:jc w:val="left"/>
            </w:pPr>
            <w:r>
              <w:t xml:space="preserve">non-hispanic</w:t>
            </w:r>
          </w:p>
        </w:tc>
        <w:tc>
          <w:tcPr/>
          <w:p>
            <w:pPr>
              <w:pStyle w:val="Compact"/>
              <w:jc w:val="left"/>
            </w:pPr>
            <w:r>
              <w:t xml:space="preserve">49333 (84.4%)</w:t>
            </w:r>
          </w:p>
        </w:tc>
        <w:tc>
          <w:tcPr/>
          <w:p>
            <w:pPr>
              <w:pStyle w:val="Compact"/>
              <w:jc w:val="left"/>
            </w:pPr>
            <w:r>
              <w:t xml:space="preserve">43787 (90.2%)</w:t>
            </w:r>
          </w:p>
        </w:tc>
        <w:tc>
          <w:tcPr/>
          <w:p>
            <w:pPr>
              <w:pStyle w:val="Compact"/>
              <w:jc w:val="left"/>
            </w:pPr>
            <w:r>
              <w:t xml:space="preserve">93120 (87.0%)</w:t>
            </w:r>
          </w:p>
        </w:tc>
      </w:tr>
      <w:tr>
        <w:tc>
          <w:tcPr/>
          <w:p>
            <w:pPr>
              <w:pStyle w:val="Compact"/>
              <w:jc w:val="left"/>
            </w:pPr>
            <w:r>
              <w:t xml:space="preserve">hispanic</w:t>
            </w:r>
          </w:p>
        </w:tc>
        <w:tc>
          <w:tcPr/>
          <w:p>
            <w:pPr>
              <w:pStyle w:val="Compact"/>
              <w:jc w:val="left"/>
            </w:pPr>
            <w:r>
              <w:t xml:space="preserve">9092 (15.6%)</w:t>
            </w:r>
          </w:p>
        </w:tc>
        <w:tc>
          <w:tcPr/>
          <w:p>
            <w:pPr>
              <w:pStyle w:val="Compact"/>
              <w:jc w:val="left"/>
            </w:pPr>
            <w:r>
              <w:t xml:space="preserve">4768 (9.8%)</w:t>
            </w:r>
          </w:p>
        </w:tc>
        <w:tc>
          <w:tcPr/>
          <w:p>
            <w:pPr>
              <w:pStyle w:val="Compact"/>
              <w:jc w:val="left"/>
            </w:pPr>
            <w:r>
              <w:t xml:space="preserve">13860 (13.0%)</w:t>
            </w:r>
          </w:p>
        </w:tc>
      </w:tr>
      <w:tr>
        <w:tc>
          <w:tcPr>
            <w:gridSpan w:val="4"/>
          </w:tcPr>
          <w:p>
            <w:pPr>
              <w:pStyle w:val="Compact"/>
              <w:jc w:val="left"/>
            </w:pPr>
            <w:r>
              <w:rPr>
                <w:bCs/>
                <w:b/>
              </w:rPr>
              <w:t xml:space="preserve">factor(education)</w:t>
            </w:r>
          </w:p>
        </w:tc>
      </w:tr>
      <w:tr>
        <w:tc>
          <w:tcPr/>
          <w:p>
            <w:pPr>
              <w:pStyle w:val="Compact"/>
              <w:jc w:val="left"/>
            </w:pPr>
            <w:r>
              <w:t xml:space="preserve">less_than_hs</w:t>
            </w:r>
          </w:p>
        </w:tc>
        <w:tc>
          <w:tcPr/>
          <w:p>
            <w:pPr>
              <w:pStyle w:val="Compact"/>
              <w:jc w:val="left"/>
            </w:pPr>
            <w:r>
              <w:t xml:space="preserve">6784 (11.6%)</w:t>
            </w:r>
          </w:p>
        </w:tc>
        <w:tc>
          <w:tcPr/>
          <w:p>
            <w:pPr>
              <w:pStyle w:val="Compact"/>
              <w:jc w:val="left"/>
            </w:pPr>
            <w:r>
              <w:t xml:space="preserve">4528 (9.3%)</w:t>
            </w:r>
          </w:p>
        </w:tc>
        <w:tc>
          <w:tcPr/>
          <w:p>
            <w:pPr>
              <w:pStyle w:val="Compact"/>
              <w:jc w:val="left"/>
            </w:pPr>
            <w:r>
              <w:t xml:space="preserve">11312 (10.6%)</w:t>
            </w:r>
          </w:p>
        </w:tc>
      </w:tr>
      <w:tr>
        <w:tc>
          <w:tcPr/>
          <w:p>
            <w:pPr>
              <w:pStyle w:val="Compact"/>
              <w:jc w:val="left"/>
            </w:pPr>
            <w:r>
              <w:t xml:space="preserve">high_school</w:t>
            </w:r>
          </w:p>
        </w:tc>
        <w:tc>
          <w:tcPr/>
          <w:p>
            <w:pPr>
              <w:pStyle w:val="Compact"/>
              <w:jc w:val="left"/>
            </w:pPr>
            <w:r>
              <w:t xml:space="preserve">15161 (25.9%)</w:t>
            </w:r>
          </w:p>
        </w:tc>
        <w:tc>
          <w:tcPr/>
          <w:p>
            <w:pPr>
              <w:pStyle w:val="Compact"/>
              <w:jc w:val="left"/>
            </w:pPr>
            <w:r>
              <w:t xml:space="preserve">10228 (21.1%)</w:t>
            </w:r>
          </w:p>
        </w:tc>
        <w:tc>
          <w:tcPr/>
          <w:p>
            <w:pPr>
              <w:pStyle w:val="Compact"/>
              <w:jc w:val="left"/>
            </w:pPr>
            <w:r>
              <w:t xml:space="preserve">25389 (23.7%)</w:t>
            </w:r>
          </w:p>
        </w:tc>
      </w:tr>
      <w:tr>
        <w:tc>
          <w:tcPr/>
          <w:p>
            <w:pPr>
              <w:pStyle w:val="Compact"/>
              <w:jc w:val="left"/>
            </w:pPr>
            <w:r>
              <w:t xml:space="preserve">some_college</w:t>
            </w:r>
          </w:p>
        </w:tc>
        <w:tc>
          <w:tcPr/>
          <w:p>
            <w:pPr>
              <w:pStyle w:val="Compact"/>
              <w:jc w:val="left"/>
            </w:pPr>
            <w:r>
              <w:t xml:space="preserve">19099 (32.7%)</w:t>
            </w:r>
          </w:p>
        </w:tc>
        <w:tc>
          <w:tcPr/>
          <w:p>
            <w:pPr>
              <w:pStyle w:val="Compact"/>
              <w:jc w:val="left"/>
            </w:pPr>
            <w:r>
              <w:t xml:space="preserve">14086 (29.0%)</w:t>
            </w:r>
          </w:p>
        </w:tc>
        <w:tc>
          <w:tcPr/>
          <w:p>
            <w:pPr>
              <w:pStyle w:val="Compact"/>
              <w:jc w:val="left"/>
            </w:pPr>
            <w:r>
              <w:t xml:space="preserve">33185 (31.0%)</w:t>
            </w:r>
          </w:p>
        </w:tc>
      </w:tr>
      <w:tr>
        <w:tc>
          <w:tcPr/>
          <w:p>
            <w:pPr>
              <w:pStyle w:val="Compact"/>
              <w:jc w:val="left"/>
            </w:pPr>
            <w:r>
              <w:t xml:space="preserve">bachelor</w:t>
            </w:r>
          </w:p>
        </w:tc>
        <w:tc>
          <w:tcPr/>
          <w:p>
            <w:pPr>
              <w:pStyle w:val="Compact"/>
              <w:jc w:val="left"/>
            </w:pPr>
            <w:r>
              <w:t xml:space="preserve">11690 (20.0%)</w:t>
            </w:r>
          </w:p>
        </w:tc>
        <w:tc>
          <w:tcPr/>
          <w:p>
            <w:pPr>
              <w:pStyle w:val="Compact"/>
              <w:jc w:val="left"/>
            </w:pPr>
            <w:r>
              <w:t xml:space="preserve">11268 (23.2%)</w:t>
            </w:r>
          </w:p>
        </w:tc>
        <w:tc>
          <w:tcPr/>
          <w:p>
            <w:pPr>
              <w:pStyle w:val="Compact"/>
              <w:jc w:val="left"/>
            </w:pPr>
            <w:r>
              <w:t xml:space="preserve">22958 (21.5%)</w:t>
            </w:r>
          </w:p>
        </w:tc>
      </w:tr>
      <w:tr>
        <w:tc>
          <w:tcPr/>
          <w:p>
            <w:pPr>
              <w:pStyle w:val="Compact"/>
              <w:jc w:val="left"/>
            </w:pPr>
            <w:r>
              <w:t xml:space="preserve">graduate</w:t>
            </w:r>
          </w:p>
        </w:tc>
        <w:tc>
          <w:tcPr/>
          <w:p>
            <w:pPr>
              <w:pStyle w:val="Compact"/>
              <w:jc w:val="left"/>
            </w:pPr>
            <w:r>
              <w:t xml:space="preserve">5691 (9.7%)</w:t>
            </w:r>
          </w:p>
        </w:tc>
        <w:tc>
          <w:tcPr/>
          <w:p>
            <w:pPr>
              <w:pStyle w:val="Compact"/>
              <w:jc w:val="left"/>
            </w:pPr>
            <w:r>
              <w:t xml:space="preserve">8445 (17.4%)</w:t>
            </w:r>
          </w:p>
        </w:tc>
        <w:tc>
          <w:tcPr/>
          <w:p>
            <w:pPr>
              <w:pStyle w:val="Compact"/>
              <w:jc w:val="left"/>
            </w:pPr>
            <w:r>
              <w:t xml:space="preserve">14136 (13.2%)</w:t>
            </w:r>
          </w:p>
        </w:tc>
      </w:tr>
      <w:tr>
        <w:tc>
          <w:tcPr>
            <w:gridSpan w:val="4"/>
          </w:tcPr>
          <w:p>
            <w:pPr>
              <w:pStyle w:val="Compact"/>
              <w:jc w:val="left"/>
            </w:pPr>
            <w:r>
              <w:rPr>
                <w:bCs/>
                <w:b/>
              </w:rPr>
              <w:t xml:space="preserve">factor(fam_income)</w:t>
            </w:r>
          </w:p>
        </w:tc>
      </w:tr>
      <w:tr>
        <w:tc>
          <w:tcPr/>
          <w:p>
            <w:pPr>
              <w:pStyle w:val="Compact"/>
              <w:jc w:val="left"/>
            </w:pPr>
            <w:r>
              <w:t xml:space="preserve">&lt; $50,000</w:t>
            </w:r>
          </w:p>
        </w:tc>
        <w:tc>
          <w:tcPr/>
          <w:p>
            <w:pPr>
              <w:pStyle w:val="Compact"/>
              <w:jc w:val="left"/>
            </w:pPr>
            <w:r>
              <w:t xml:space="preserve">29164 (49.9%)</w:t>
            </w:r>
          </w:p>
        </w:tc>
        <w:tc>
          <w:tcPr/>
          <w:p>
            <w:pPr>
              <w:pStyle w:val="Compact"/>
              <w:jc w:val="left"/>
            </w:pPr>
            <w:r>
              <w:t xml:space="preserve">20515 (42.3%)</w:t>
            </w:r>
          </w:p>
        </w:tc>
        <w:tc>
          <w:tcPr/>
          <w:p>
            <w:pPr>
              <w:pStyle w:val="Compact"/>
              <w:jc w:val="left"/>
            </w:pPr>
            <w:r>
              <w:t xml:space="preserve">49679 (46.4%)</w:t>
            </w:r>
          </w:p>
        </w:tc>
      </w:tr>
      <w:tr>
        <w:tc>
          <w:tcPr/>
          <w:p>
            <w:pPr>
              <w:pStyle w:val="Compact"/>
              <w:jc w:val="left"/>
            </w:pPr>
            <w:r>
              <w:t xml:space="preserve">$50,000-$99,999</w:t>
            </w:r>
          </w:p>
        </w:tc>
        <w:tc>
          <w:tcPr/>
          <w:p>
            <w:pPr>
              <w:pStyle w:val="Compact"/>
              <w:jc w:val="left"/>
            </w:pPr>
            <w:r>
              <w:t xml:space="preserve">17097 (29.3%)</w:t>
            </w:r>
          </w:p>
        </w:tc>
        <w:tc>
          <w:tcPr/>
          <w:p>
            <w:pPr>
              <w:pStyle w:val="Compact"/>
              <w:jc w:val="left"/>
            </w:pPr>
            <w:r>
              <w:t xml:space="preserve">14222 (29.3%)</w:t>
            </w:r>
          </w:p>
        </w:tc>
        <w:tc>
          <w:tcPr/>
          <w:p>
            <w:pPr>
              <w:pStyle w:val="Compact"/>
              <w:jc w:val="left"/>
            </w:pPr>
            <w:r>
              <w:t xml:space="preserve">31319 (29.3%)</w:t>
            </w:r>
          </w:p>
        </w:tc>
      </w:tr>
      <w:tr>
        <w:tc>
          <w:tcPr/>
          <w:p>
            <w:pPr>
              <w:pStyle w:val="Compact"/>
              <w:jc w:val="left"/>
            </w:pPr>
            <w:r>
              <w:t xml:space="preserve">$100,000+</w:t>
            </w:r>
          </w:p>
        </w:tc>
        <w:tc>
          <w:tcPr/>
          <w:p>
            <w:pPr>
              <w:pStyle w:val="Compact"/>
              <w:jc w:val="left"/>
            </w:pPr>
            <w:r>
              <w:t xml:space="preserve">12164 (20.8%)</w:t>
            </w:r>
          </w:p>
        </w:tc>
        <w:tc>
          <w:tcPr/>
          <w:p>
            <w:pPr>
              <w:pStyle w:val="Compact"/>
              <w:jc w:val="left"/>
            </w:pPr>
            <w:r>
              <w:t xml:space="preserve">13818 (28.5%)</w:t>
            </w:r>
          </w:p>
        </w:tc>
        <w:tc>
          <w:tcPr/>
          <w:p>
            <w:pPr>
              <w:pStyle w:val="Compact"/>
              <w:jc w:val="left"/>
            </w:pPr>
            <w:r>
              <w:t xml:space="preserve">25982 (24.3%)</w:t>
            </w:r>
          </w:p>
        </w:tc>
      </w:tr>
      <w:tr>
        <w:tc>
          <w:tcPr>
            <w:gridSpan w:val="4"/>
          </w:tcPr>
          <w:p>
            <w:pPr>
              <w:pStyle w:val="Compact"/>
              <w:jc w:val="left"/>
            </w:pPr>
            <w:r>
              <w:rPr>
                <w:bCs/>
                <w:b/>
              </w:rPr>
              <w:t xml:space="preserve">factor(employ_status)</w:t>
            </w:r>
          </w:p>
        </w:tc>
      </w:tr>
      <w:tr>
        <w:tc>
          <w:tcPr/>
          <w:p>
            <w:pPr>
              <w:pStyle w:val="Compact"/>
              <w:jc w:val="left"/>
            </w:pPr>
            <w:r>
              <w:t xml:space="preserve">unemployed</w:t>
            </w:r>
          </w:p>
        </w:tc>
        <w:tc>
          <w:tcPr/>
          <w:p>
            <w:pPr>
              <w:pStyle w:val="Compact"/>
              <w:jc w:val="left"/>
            </w:pPr>
            <w:r>
              <w:t xml:space="preserve">2484 (4.3%)</w:t>
            </w:r>
          </w:p>
        </w:tc>
        <w:tc>
          <w:tcPr/>
          <w:p>
            <w:pPr>
              <w:pStyle w:val="Compact"/>
              <w:jc w:val="left"/>
            </w:pPr>
            <w:r>
              <w:t xml:space="preserve">931 (1.9%)</w:t>
            </w:r>
          </w:p>
        </w:tc>
        <w:tc>
          <w:tcPr/>
          <w:p>
            <w:pPr>
              <w:pStyle w:val="Compact"/>
              <w:jc w:val="left"/>
            </w:pPr>
            <w:r>
              <w:t xml:space="preserve">3415 (3.2%)</w:t>
            </w:r>
          </w:p>
        </w:tc>
      </w:tr>
      <w:tr>
        <w:tc>
          <w:tcPr/>
          <w:p>
            <w:pPr>
              <w:pStyle w:val="Compact"/>
              <w:jc w:val="left"/>
            </w:pPr>
            <w:r>
              <w:t xml:space="preserve">employed</w:t>
            </w:r>
          </w:p>
        </w:tc>
        <w:tc>
          <w:tcPr/>
          <w:p>
            <w:pPr>
              <w:pStyle w:val="Compact"/>
              <w:jc w:val="left"/>
            </w:pPr>
            <w:r>
              <w:t xml:space="preserve">42869 (73.4%)</w:t>
            </w:r>
          </w:p>
        </w:tc>
        <w:tc>
          <w:tcPr/>
          <w:p>
            <w:pPr>
              <w:pStyle w:val="Compact"/>
              <w:jc w:val="left"/>
            </w:pPr>
            <w:r>
              <w:t xml:space="preserve">29153 (60.0%)</w:t>
            </w:r>
          </w:p>
        </w:tc>
        <w:tc>
          <w:tcPr/>
          <w:p>
            <w:pPr>
              <w:pStyle w:val="Compact"/>
              <w:jc w:val="left"/>
            </w:pPr>
            <w:r>
              <w:t xml:space="preserve">72022 (67.3%)</w:t>
            </w:r>
          </w:p>
        </w:tc>
      </w:tr>
      <w:tr>
        <w:tc>
          <w:tcPr/>
          <w:p>
            <w:pPr>
              <w:pStyle w:val="Compact"/>
              <w:jc w:val="left"/>
            </w:pPr>
            <w:r>
              <w:t xml:space="preserve">retired</w:t>
            </w:r>
          </w:p>
        </w:tc>
        <w:tc>
          <w:tcPr/>
          <w:p>
            <w:pPr>
              <w:pStyle w:val="Compact"/>
              <w:jc w:val="left"/>
            </w:pPr>
            <w:r>
              <w:t xml:space="preserve">13072 (22.4%)</w:t>
            </w:r>
          </w:p>
        </w:tc>
        <w:tc>
          <w:tcPr/>
          <w:p>
            <w:pPr>
              <w:pStyle w:val="Compact"/>
              <w:jc w:val="left"/>
            </w:pPr>
            <w:r>
              <w:t xml:space="preserve">18471 (38.0%)</w:t>
            </w:r>
          </w:p>
        </w:tc>
        <w:tc>
          <w:tcPr/>
          <w:p>
            <w:pPr>
              <w:pStyle w:val="Compact"/>
              <w:jc w:val="left"/>
            </w:pPr>
            <w:r>
              <w:t xml:space="preserve">31543 (29.5%)</w:t>
            </w:r>
          </w:p>
        </w:tc>
      </w:tr>
      <w:tr>
        <w:tc>
          <w:tcPr>
            <w:gridSpan w:val="4"/>
          </w:tcPr>
          <w:p>
            <w:pPr>
              <w:pStyle w:val="Compact"/>
              <w:jc w:val="left"/>
            </w:pPr>
            <w:r>
              <w:rPr>
                <w:bCs/>
                <w:b/>
              </w:rPr>
              <w:t xml:space="preserve">factor(paid_sick)</w:t>
            </w:r>
          </w:p>
        </w:tc>
      </w:tr>
      <w:tr>
        <w:tc>
          <w:tcPr/>
          <w:p>
            <w:pPr>
              <w:pStyle w:val="Compact"/>
              <w:jc w:val="left"/>
            </w:pPr>
            <w:r>
              <w:t xml:space="preserve">no</w:t>
            </w:r>
          </w:p>
        </w:tc>
        <w:tc>
          <w:tcPr/>
          <w:p>
            <w:pPr>
              <w:pStyle w:val="Compact"/>
              <w:jc w:val="left"/>
            </w:pPr>
            <w:r>
              <w:t xml:space="preserve">27943 (47.8%)</w:t>
            </w:r>
          </w:p>
        </w:tc>
        <w:tc>
          <w:tcPr/>
          <w:p>
            <w:pPr>
              <w:pStyle w:val="Compact"/>
              <w:jc w:val="left"/>
            </w:pPr>
            <w:r>
              <w:t xml:space="preserve">16920 (34.8%)</w:t>
            </w:r>
          </w:p>
        </w:tc>
        <w:tc>
          <w:tcPr/>
          <w:p>
            <w:pPr>
              <w:pStyle w:val="Compact"/>
              <w:jc w:val="left"/>
            </w:pPr>
            <w:r>
              <w:t xml:space="preserve">44863 (41.9%)</w:t>
            </w:r>
          </w:p>
        </w:tc>
      </w:tr>
      <w:tr>
        <w:tc>
          <w:tcPr/>
          <w:p>
            <w:pPr>
              <w:pStyle w:val="Compact"/>
              <w:jc w:val="left"/>
            </w:pPr>
            <w:r>
              <w:t xml:space="preserve">yes</w:t>
            </w:r>
          </w:p>
        </w:tc>
        <w:tc>
          <w:tcPr/>
          <w:p>
            <w:pPr>
              <w:pStyle w:val="Compact"/>
              <w:jc w:val="left"/>
            </w:pPr>
            <w:r>
              <w:t xml:space="preserve">30482 (52.2%)</w:t>
            </w:r>
          </w:p>
        </w:tc>
        <w:tc>
          <w:tcPr/>
          <w:p>
            <w:pPr>
              <w:pStyle w:val="Compact"/>
              <w:jc w:val="left"/>
            </w:pPr>
            <w:r>
              <w:t xml:space="preserve">31635 (65.2%)</w:t>
            </w:r>
          </w:p>
        </w:tc>
        <w:tc>
          <w:tcPr/>
          <w:p>
            <w:pPr>
              <w:pStyle w:val="Compact"/>
              <w:jc w:val="left"/>
            </w:pPr>
            <w:r>
              <w:t xml:space="preserve">62117 (58.1%)</w:t>
            </w:r>
          </w:p>
        </w:tc>
      </w:tr>
      <w:tr>
        <w:tc>
          <w:tcPr>
            <w:gridSpan w:val="4"/>
          </w:tcPr>
          <w:p>
            <w:pPr>
              <w:pStyle w:val="Compact"/>
              <w:jc w:val="left"/>
            </w:pPr>
            <w:r>
              <w:rPr>
                <w:bCs/>
                <w:b/>
              </w:rPr>
              <w:t xml:space="preserve">factor(health_ins_status)</w:t>
            </w:r>
          </w:p>
        </w:tc>
      </w:tr>
      <w:tr>
        <w:tc>
          <w:tcPr/>
          <w:p>
            <w:pPr>
              <w:pStyle w:val="Compact"/>
              <w:jc w:val="left"/>
            </w:pPr>
            <w:r>
              <w:t xml:space="preserve">no</w:t>
            </w:r>
          </w:p>
        </w:tc>
        <w:tc>
          <w:tcPr/>
          <w:p>
            <w:pPr>
              <w:pStyle w:val="Compact"/>
              <w:jc w:val="left"/>
            </w:pPr>
            <w:r>
              <w:t xml:space="preserve">9935 (17.0%)</w:t>
            </w:r>
          </w:p>
        </w:tc>
        <w:tc>
          <w:tcPr/>
          <w:p>
            <w:pPr>
              <w:pStyle w:val="Compact"/>
              <w:jc w:val="left"/>
            </w:pPr>
            <w:r>
              <w:t xml:space="preserve">1869 (3.8%)</w:t>
            </w:r>
          </w:p>
        </w:tc>
        <w:tc>
          <w:tcPr/>
          <w:p>
            <w:pPr>
              <w:pStyle w:val="Compact"/>
              <w:jc w:val="left"/>
            </w:pPr>
            <w:r>
              <w:t xml:space="preserve">11804 (11.0%)</w:t>
            </w:r>
          </w:p>
        </w:tc>
      </w:tr>
      <w:tr>
        <w:tc>
          <w:tcPr/>
          <w:p>
            <w:pPr>
              <w:pStyle w:val="Compact"/>
              <w:jc w:val="left"/>
            </w:pPr>
            <w:r>
              <w:t xml:space="preserve">yes</w:t>
            </w:r>
          </w:p>
        </w:tc>
        <w:tc>
          <w:tcPr/>
          <w:p>
            <w:pPr>
              <w:pStyle w:val="Compact"/>
              <w:jc w:val="left"/>
            </w:pPr>
            <w:r>
              <w:t xml:space="preserve">48490 (83.0%)</w:t>
            </w:r>
          </w:p>
        </w:tc>
        <w:tc>
          <w:tcPr/>
          <w:p>
            <w:pPr>
              <w:pStyle w:val="Compact"/>
              <w:jc w:val="left"/>
            </w:pPr>
            <w:r>
              <w:t xml:space="preserve">46686 (96.2%)</w:t>
            </w:r>
          </w:p>
        </w:tc>
        <w:tc>
          <w:tcPr/>
          <w:p>
            <w:pPr>
              <w:pStyle w:val="Compact"/>
              <w:jc w:val="left"/>
            </w:pPr>
            <w:r>
              <w:t xml:space="preserve">95176 (89.0%)</w:t>
            </w:r>
          </w:p>
        </w:tc>
      </w:tr>
      <w:tr>
        <w:tc>
          <w:tcPr>
            <w:gridSpan w:val="4"/>
          </w:tcPr>
          <w:p>
            <w:pPr>
              <w:pStyle w:val="Compact"/>
              <w:jc w:val="left"/>
            </w:pPr>
            <w:r>
              <w:rPr>
                <w:bCs/>
                <w:b/>
              </w:rPr>
              <w:t xml:space="preserve">factor(med_access)</w:t>
            </w:r>
          </w:p>
        </w:tc>
      </w:tr>
      <w:tr>
        <w:tc>
          <w:tcPr/>
          <w:p>
            <w:pPr>
              <w:pStyle w:val="Compact"/>
              <w:jc w:val="left"/>
            </w:pPr>
            <w:r>
              <w:t xml:space="preserve">no</w:t>
            </w:r>
          </w:p>
        </w:tc>
        <w:tc>
          <w:tcPr/>
          <w:p>
            <w:pPr>
              <w:pStyle w:val="Compact"/>
              <w:jc w:val="left"/>
            </w:pPr>
            <w:r>
              <w:t xml:space="preserve">11046 (18.9%)</w:t>
            </w:r>
          </w:p>
        </w:tc>
        <w:tc>
          <w:tcPr/>
          <w:p>
            <w:pPr>
              <w:pStyle w:val="Compact"/>
              <w:jc w:val="left"/>
            </w:pPr>
            <w:r>
              <w:t xml:space="preserve">2547 (5.2%)</w:t>
            </w:r>
          </w:p>
        </w:tc>
        <w:tc>
          <w:tcPr/>
          <w:p>
            <w:pPr>
              <w:pStyle w:val="Compact"/>
              <w:jc w:val="left"/>
            </w:pPr>
            <w:r>
              <w:t xml:space="preserve">13593 (12.7%)</w:t>
            </w:r>
          </w:p>
        </w:tc>
      </w:tr>
      <w:tr>
        <w:tc>
          <w:tcPr/>
          <w:p>
            <w:pPr>
              <w:pStyle w:val="Compact"/>
              <w:jc w:val="left"/>
            </w:pPr>
            <w:r>
              <w:t xml:space="preserve">yes</w:t>
            </w:r>
          </w:p>
        </w:tc>
        <w:tc>
          <w:tcPr/>
          <w:p>
            <w:pPr>
              <w:pStyle w:val="Compact"/>
              <w:jc w:val="left"/>
            </w:pPr>
            <w:r>
              <w:t xml:space="preserve">47379 (81.1%)</w:t>
            </w:r>
          </w:p>
        </w:tc>
        <w:tc>
          <w:tcPr/>
          <w:p>
            <w:pPr>
              <w:pStyle w:val="Compact"/>
              <w:jc w:val="left"/>
            </w:pPr>
            <w:r>
              <w:t xml:space="preserve">46008 (94.8%)</w:t>
            </w:r>
          </w:p>
        </w:tc>
        <w:tc>
          <w:tcPr/>
          <w:p>
            <w:pPr>
              <w:pStyle w:val="Compact"/>
              <w:jc w:val="left"/>
            </w:pPr>
            <w:r>
              <w:t xml:space="preserve">93387 (87.3%)</w:t>
            </w:r>
          </w:p>
        </w:tc>
      </w:tr>
      <w:tr>
        <w:tc>
          <w:tcPr>
            <w:gridSpan w:val="4"/>
          </w:tcPr>
          <w:p>
            <w:pPr>
              <w:pStyle w:val="Compact"/>
              <w:jc w:val="left"/>
            </w:pPr>
            <w:r>
              <w:rPr>
                <w:bCs/>
                <w:b/>
              </w:rPr>
              <w:t xml:space="preserve">factor(med_care_delayed_cost)</w:t>
            </w:r>
          </w:p>
        </w:tc>
      </w:tr>
      <w:tr>
        <w:tc>
          <w:tcPr/>
          <w:p>
            <w:pPr>
              <w:pStyle w:val="Compact"/>
              <w:jc w:val="left"/>
            </w:pPr>
            <w:r>
              <w:t xml:space="preserve">no</w:t>
            </w:r>
          </w:p>
        </w:tc>
        <w:tc>
          <w:tcPr/>
          <w:p>
            <w:pPr>
              <w:pStyle w:val="Compact"/>
              <w:jc w:val="left"/>
            </w:pPr>
            <w:r>
              <w:t xml:space="preserve">51052 (87.4%)</w:t>
            </w:r>
          </w:p>
        </w:tc>
        <w:tc>
          <w:tcPr/>
          <w:p>
            <w:pPr>
              <w:pStyle w:val="Compact"/>
              <w:jc w:val="left"/>
            </w:pPr>
            <w:r>
              <w:t xml:space="preserve">45059 (92.8%)</w:t>
            </w:r>
          </w:p>
        </w:tc>
        <w:tc>
          <w:tcPr/>
          <w:p>
            <w:pPr>
              <w:pStyle w:val="Compact"/>
              <w:jc w:val="left"/>
            </w:pPr>
            <w:r>
              <w:t xml:space="preserve">96111 (89.8%)</w:t>
            </w:r>
          </w:p>
        </w:tc>
      </w:tr>
      <w:tr>
        <w:tc>
          <w:tcPr/>
          <w:p>
            <w:pPr>
              <w:pStyle w:val="Compact"/>
              <w:jc w:val="left"/>
            </w:pPr>
            <w:r>
              <w:t xml:space="preserve">yes</w:t>
            </w:r>
          </w:p>
        </w:tc>
        <w:tc>
          <w:tcPr/>
          <w:p>
            <w:pPr>
              <w:pStyle w:val="Compact"/>
              <w:jc w:val="left"/>
            </w:pPr>
            <w:r>
              <w:t xml:space="preserve">7373 (12.6%)</w:t>
            </w:r>
          </w:p>
        </w:tc>
        <w:tc>
          <w:tcPr/>
          <w:p>
            <w:pPr>
              <w:pStyle w:val="Compact"/>
              <w:jc w:val="left"/>
            </w:pPr>
            <w:r>
              <w:t xml:space="preserve">3496 (7.2%)</w:t>
            </w:r>
          </w:p>
        </w:tc>
        <w:tc>
          <w:tcPr/>
          <w:p>
            <w:pPr>
              <w:pStyle w:val="Compact"/>
              <w:jc w:val="left"/>
            </w:pPr>
            <w:r>
              <w:t xml:space="preserve">10869 (10.2%)</w:t>
            </w:r>
          </w:p>
        </w:tc>
      </w:tr>
      <w:tr>
        <w:tc>
          <w:tcPr>
            <w:gridSpan w:val="4"/>
          </w:tcPr>
          <w:p>
            <w:pPr>
              <w:pStyle w:val="Compact"/>
              <w:jc w:val="left"/>
            </w:pPr>
            <w:r>
              <w:rPr>
                <w:bCs/>
                <w:b/>
              </w:rPr>
              <w:t xml:space="preserve">factor(health_status)</w:t>
            </w:r>
          </w:p>
        </w:tc>
      </w:tr>
      <w:tr>
        <w:tc>
          <w:tcPr/>
          <w:p>
            <w:pPr>
              <w:pStyle w:val="Compact"/>
              <w:jc w:val="left"/>
            </w:pPr>
            <w:r>
              <w:t xml:space="preserve">excellent</w:t>
            </w:r>
          </w:p>
        </w:tc>
        <w:tc>
          <w:tcPr/>
          <w:p>
            <w:pPr>
              <w:pStyle w:val="Compact"/>
              <w:jc w:val="left"/>
            </w:pPr>
            <w:r>
              <w:t xml:space="preserve">16670 (28.5%)</w:t>
            </w:r>
          </w:p>
        </w:tc>
        <w:tc>
          <w:tcPr/>
          <w:p>
            <w:pPr>
              <w:pStyle w:val="Compact"/>
              <w:jc w:val="left"/>
            </w:pPr>
            <w:r>
              <w:t xml:space="preserve">11618 (23.9%)</w:t>
            </w:r>
          </w:p>
        </w:tc>
        <w:tc>
          <w:tcPr/>
          <w:p>
            <w:pPr>
              <w:pStyle w:val="Compact"/>
              <w:jc w:val="left"/>
            </w:pPr>
            <w:r>
              <w:t xml:space="preserve">28288 (26.4%)</w:t>
            </w:r>
          </w:p>
        </w:tc>
      </w:tr>
      <w:tr>
        <w:tc>
          <w:tcPr/>
          <w:p>
            <w:pPr>
              <w:pStyle w:val="Compact"/>
              <w:jc w:val="left"/>
            </w:pPr>
            <w:r>
              <w:t xml:space="preserve">very_good</w:t>
            </w:r>
          </w:p>
        </w:tc>
        <w:tc>
          <w:tcPr/>
          <w:p>
            <w:pPr>
              <w:pStyle w:val="Compact"/>
              <w:jc w:val="left"/>
            </w:pPr>
            <w:r>
              <w:t xml:space="preserve">20113 (34.4%)</w:t>
            </w:r>
          </w:p>
        </w:tc>
        <w:tc>
          <w:tcPr/>
          <w:p>
            <w:pPr>
              <w:pStyle w:val="Compact"/>
              <w:jc w:val="left"/>
            </w:pPr>
            <w:r>
              <w:t xml:space="preserve">16656 (34.3%)</w:t>
            </w:r>
          </w:p>
        </w:tc>
        <w:tc>
          <w:tcPr/>
          <w:p>
            <w:pPr>
              <w:pStyle w:val="Compact"/>
              <w:jc w:val="left"/>
            </w:pPr>
            <w:r>
              <w:t xml:space="preserve">36769 (34.4%)</w:t>
            </w:r>
          </w:p>
        </w:tc>
      </w:tr>
      <w:tr>
        <w:tc>
          <w:tcPr/>
          <w:p>
            <w:pPr>
              <w:pStyle w:val="Compact"/>
              <w:jc w:val="left"/>
            </w:pPr>
            <w:r>
              <w:t xml:space="preserve">good</w:t>
            </w:r>
          </w:p>
        </w:tc>
        <w:tc>
          <w:tcPr/>
          <w:p>
            <w:pPr>
              <w:pStyle w:val="Compact"/>
              <w:jc w:val="left"/>
            </w:pPr>
            <w:r>
              <w:t xml:space="preserve">15133 (25.9%)</w:t>
            </w:r>
          </w:p>
        </w:tc>
        <w:tc>
          <w:tcPr/>
          <w:p>
            <w:pPr>
              <w:pStyle w:val="Compact"/>
              <w:jc w:val="left"/>
            </w:pPr>
            <w:r>
              <w:t xml:space="preserve">13376 (27.5%)</w:t>
            </w:r>
          </w:p>
        </w:tc>
        <w:tc>
          <w:tcPr/>
          <w:p>
            <w:pPr>
              <w:pStyle w:val="Compact"/>
              <w:jc w:val="left"/>
            </w:pPr>
            <w:r>
              <w:t xml:space="preserve">28509 (26.6%)</w:t>
            </w:r>
          </w:p>
        </w:tc>
      </w:tr>
      <w:tr>
        <w:tc>
          <w:tcPr/>
          <w:p>
            <w:pPr>
              <w:pStyle w:val="Compact"/>
              <w:jc w:val="left"/>
            </w:pPr>
            <w:r>
              <w:t xml:space="preserve">fair</w:t>
            </w:r>
          </w:p>
        </w:tc>
        <w:tc>
          <w:tcPr/>
          <w:p>
            <w:pPr>
              <w:pStyle w:val="Compact"/>
              <w:jc w:val="left"/>
            </w:pPr>
            <w:r>
              <w:t xml:space="preserve">5199 (8.9%)</w:t>
            </w:r>
          </w:p>
        </w:tc>
        <w:tc>
          <w:tcPr/>
          <w:p>
            <w:pPr>
              <w:pStyle w:val="Compact"/>
              <w:jc w:val="left"/>
            </w:pPr>
            <w:r>
              <w:t xml:space="preserve">5261 (10.8%)</w:t>
            </w:r>
          </w:p>
        </w:tc>
        <w:tc>
          <w:tcPr/>
          <w:p>
            <w:pPr>
              <w:pStyle w:val="Compact"/>
              <w:jc w:val="left"/>
            </w:pPr>
            <w:r>
              <w:t xml:space="preserve">10460 (9.8%)</w:t>
            </w:r>
          </w:p>
        </w:tc>
      </w:tr>
      <w:tr>
        <w:tc>
          <w:tcPr/>
          <w:p>
            <w:pPr>
              <w:pStyle w:val="Compact"/>
              <w:jc w:val="left"/>
            </w:pPr>
            <w:r>
              <w:t xml:space="preserve">poor</w:t>
            </w:r>
          </w:p>
        </w:tc>
        <w:tc>
          <w:tcPr/>
          <w:p>
            <w:pPr>
              <w:pStyle w:val="Compact"/>
              <w:jc w:val="left"/>
            </w:pPr>
            <w:r>
              <w:t xml:space="preserve">1310 (2.2%)</w:t>
            </w:r>
          </w:p>
        </w:tc>
        <w:tc>
          <w:tcPr/>
          <w:p>
            <w:pPr>
              <w:pStyle w:val="Compact"/>
              <w:jc w:val="left"/>
            </w:pPr>
            <w:r>
              <w:t xml:space="preserve">1644 (3.4%)</w:t>
            </w:r>
          </w:p>
        </w:tc>
        <w:tc>
          <w:tcPr/>
          <w:p>
            <w:pPr>
              <w:pStyle w:val="Compact"/>
              <w:jc w:val="left"/>
            </w:pPr>
            <w:r>
              <w:t xml:space="preserve">2954 (2.8%)</w:t>
            </w:r>
          </w:p>
        </w:tc>
      </w:tr>
      <w:tr>
        <w:tc>
          <w:tcPr>
            <w:gridSpan w:val="4"/>
          </w:tcPr>
          <w:p>
            <w:pPr>
              <w:pStyle w:val="Compact"/>
              <w:jc w:val="left"/>
            </w:pPr>
            <w:r>
              <w:rPr>
                <w:bCs/>
                <w:b/>
              </w:rPr>
              <w:t xml:space="preserve">factor(bmi)</w:t>
            </w:r>
          </w:p>
        </w:tc>
      </w:tr>
      <w:tr>
        <w:tc>
          <w:tcPr/>
          <w:p>
            <w:pPr>
              <w:pStyle w:val="Compact"/>
              <w:jc w:val="left"/>
            </w:pPr>
            <w:r>
              <w:t xml:space="preserve">underweight</w:t>
            </w:r>
          </w:p>
        </w:tc>
        <w:tc>
          <w:tcPr/>
          <w:p>
            <w:pPr>
              <w:pStyle w:val="Compact"/>
              <w:jc w:val="left"/>
            </w:pPr>
            <w:r>
              <w:t xml:space="preserve">964 (1.7%)</w:t>
            </w:r>
          </w:p>
        </w:tc>
        <w:tc>
          <w:tcPr/>
          <w:p>
            <w:pPr>
              <w:pStyle w:val="Compact"/>
              <w:jc w:val="left"/>
            </w:pPr>
            <w:r>
              <w:t xml:space="preserve">633 (1.3%)</w:t>
            </w:r>
          </w:p>
        </w:tc>
        <w:tc>
          <w:tcPr/>
          <w:p>
            <w:pPr>
              <w:pStyle w:val="Compact"/>
              <w:jc w:val="left"/>
            </w:pPr>
            <w:r>
              <w:t xml:space="preserve">1597 (1.5%)</w:t>
            </w:r>
          </w:p>
        </w:tc>
      </w:tr>
      <w:tr>
        <w:tc>
          <w:tcPr/>
          <w:p>
            <w:pPr>
              <w:pStyle w:val="Compact"/>
              <w:jc w:val="left"/>
            </w:pPr>
            <w:r>
              <w:t xml:space="preserve">average</w:t>
            </w:r>
          </w:p>
        </w:tc>
        <w:tc>
          <w:tcPr/>
          <w:p>
            <w:pPr>
              <w:pStyle w:val="Compact"/>
              <w:jc w:val="left"/>
            </w:pPr>
            <w:r>
              <w:t xml:space="preserve">19469 (33.3%)</w:t>
            </w:r>
          </w:p>
        </w:tc>
        <w:tc>
          <w:tcPr/>
          <w:p>
            <w:pPr>
              <w:pStyle w:val="Compact"/>
              <w:jc w:val="left"/>
            </w:pPr>
            <w:r>
              <w:t xml:space="preserve">15396 (31.7%)</w:t>
            </w:r>
          </w:p>
        </w:tc>
        <w:tc>
          <w:tcPr/>
          <w:p>
            <w:pPr>
              <w:pStyle w:val="Compact"/>
              <w:jc w:val="left"/>
            </w:pPr>
            <w:r>
              <w:t xml:space="preserve">34865 (32.6%)</w:t>
            </w:r>
          </w:p>
        </w:tc>
      </w:tr>
      <w:tr>
        <w:tc>
          <w:tcPr/>
          <w:p>
            <w:pPr>
              <w:pStyle w:val="Compact"/>
              <w:jc w:val="left"/>
            </w:pPr>
            <w:r>
              <w:t xml:space="preserve">overweight</w:t>
            </w:r>
          </w:p>
        </w:tc>
        <w:tc>
          <w:tcPr/>
          <w:p>
            <w:pPr>
              <w:pStyle w:val="Compact"/>
              <w:jc w:val="left"/>
            </w:pPr>
            <w:r>
              <w:t xml:space="preserve">20276 (34.7%)</w:t>
            </w:r>
          </w:p>
        </w:tc>
        <w:tc>
          <w:tcPr/>
          <w:p>
            <w:pPr>
              <w:pStyle w:val="Compact"/>
              <w:jc w:val="left"/>
            </w:pPr>
            <w:r>
              <w:t xml:space="preserve">17002 (35.0%)</w:t>
            </w:r>
          </w:p>
        </w:tc>
        <w:tc>
          <w:tcPr/>
          <w:p>
            <w:pPr>
              <w:pStyle w:val="Compact"/>
              <w:jc w:val="left"/>
            </w:pPr>
            <w:r>
              <w:t xml:space="preserve">37278 (34.8%)</w:t>
            </w:r>
          </w:p>
        </w:tc>
      </w:tr>
      <w:tr>
        <w:tc>
          <w:tcPr/>
          <w:p>
            <w:pPr>
              <w:pStyle w:val="Compact"/>
              <w:jc w:val="left"/>
            </w:pPr>
            <w:r>
              <w:t xml:space="preserve">obese</w:t>
            </w:r>
          </w:p>
        </w:tc>
        <w:tc>
          <w:tcPr/>
          <w:p>
            <w:pPr>
              <w:pStyle w:val="Compact"/>
              <w:jc w:val="left"/>
            </w:pPr>
            <w:r>
              <w:t xml:space="preserve">17716 (30.3%)</w:t>
            </w:r>
          </w:p>
        </w:tc>
        <w:tc>
          <w:tcPr/>
          <w:p>
            <w:pPr>
              <w:pStyle w:val="Compact"/>
              <w:jc w:val="left"/>
            </w:pPr>
            <w:r>
              <w:t xml:space="preserve">15524 (32.0%)</w:t>
            </w:r>
          </w:p>
        </w:tc>
        <w:tc>
          <w:tcPr/>
          <w:p>
            <w:pPr>
              <w:pStyle w:val="Compact"/>
              <w:jc w:val="left"/>
            </w:pPr>
            <w:r>
              <w:t xml:space="preserve">33240 (31.1%)</w:t>
            </w:r>
          </w:p>
        </w:tc>
      </w:tr>
      <w:tr>
        <w:tc>
          <w:tcPr>
            <w:gridSpan w:val="4"/>
          </w:tcPr>
          <w:p>
            <w:pPr>
              <w:pStyle w:val="Compact"/>
              <w:jc w:val="left"/>
            </w:pPr>
            <w:r>
              <w:rPr>
                <w:bCs/>
                <w:b/>
              </w:rPr>
              <w:t xml:space="preserve">factor(asthma)</w:t>
            </w:r>
          </w:p>
        </w:tc>
      </w:tr>
      <w:tr>
        <w:tc>
          <w:tcPr/>
          <w:p>
            <w:pPr>
              <w:pStyle w:val="Compact"/>
              <w:jc w:val="left"/>
            </w:pPr>
            <w:r>
              <w:t xml:space="preserve">no</w:t>
            </w:r>
          </w:p>
        </w:tc>
        <w:tc>
          <w:tcPr/>
          <w:p>
            <w:pPr>
              <w:pStyle w:val="Compact"/>
              <w:jc w:val="left"/>
            </w:pPr>
            <w:r>
              <w:t xml:space="preserve">51449 (88.1%)</w:t>
            </w:r>
          </w:p>
        </w:tc>
        <w:tc>
          <w:tcPr/>
          <w:p>
            <w:pPr>
              <w:pStyle w:val="Compact"/>
              <w:jc w:val="left"/>
            </w:pPr>
            <w:r>
              <w:t xml:space="preserve">41304 (85.1%)</w:t>
            </w:r>
          </w:p>
        </w:tc>
        <w:tc>
          <w:tcPr/>
          <w:p>
            <w:pPr>
              <w:pStyle w:val="Compact"/>
              <w:jc w:val="left"/>
            </w:pPr>
            <w:r>
              <w:t xml:space="preserve">92753 (86.7%)</w:t>
            </w:r>
          </w:p>
        </w:tc>
      </w:tr>
      <w:tr>
        <w:tc>
          <w:tcPr/>
          <w:p>
            <w:pPr>
              <w:pStyle w:val="Compact"/>
              <w:jc w:val="left"/>
            </w:pPr>
            <w:r>
              <w:t xml:space="preserve">yes</w:t>
            </w:r>
          </w:p>
        </w:tc>
        <w:tc>
          <w:tcPr/>
          <w:p>
            <w:pPr>
              <w:pStyle w:val="Compact"/>
              <w:jc w:val="left"/>
            </w:pPr>
            <w:r>
              <w:t xml:space="preserve">6976 (11.9%)</w:t>
            </w:r>
          </w:p>
        </w:tc>
        <w:tc>
          <w:tcPr/>
          <w:p>
            <w:pPr>
              <w:pStyle w:val="Compact"/>
              <w:jc w:val="left"/>
            </w:pPr>
            <w:r>
              <w:t xml:space="preserve">7251 (14.9%)</w:t>
            </w:r>
          </w:p>
        </w:tc>
        <w:tc>
          <w:tcPr/>
          <w:p>
            <w:pPr>
              <w:pStyle w:val="Compact"/>
              <w:jc w:val="left"/>
            </w:pPr>
            <w:r>
              <w:t xml:space="preserve">14227 (13.3%)</w:t>
            </w:r>
          </w:p>
        </w:tc>
      </w:tr>
      <w:tr>
        <w:tc>
          <w:tcPr>
            <w:gridSpan w:val="4"/>
          </w:tcPr>
          <w:p>
            <w:pPr>
              <w:pStyle w:val="Compact"/>
              <w:jc w:val="left"/>
            </w:pPr>
            <w:r>
              <w:rPr>
                <w:bCs/>
                <w:b/>
              </w:rPr>
              <w:t xml:space="preserve">factor(cancer)</w:t>
            </w:r>
          </w:p>
        </w:tc>
      </w:tr>
      <w:tr>
        <w:tc>
          <w:tcPr/>
          <w:p>
            <w:pPr>
              <w:pStyle w:val="Compact"/>
              <w:jc w:val="left"/>
            </w:pPr>
            <w:r>
              <w:t xml:space="preserve">no</w:t>
            </w:r>
          </w:p>
        </w:tc>
        <w:tc>
          <w:tcPr/>
          <w:p>
            <w:pPr>
              <w:pStyle w:val="Compact"/>
              <w:jc w:val="left"/>
            </w:pPr>
            <w:r>
              <w:t xml:space="preserve">54623 (93.5%)</w:t>
            </w:r>
          </w:p>
        </w:tc>
        <w:tc>
          <w:tcPr/>
          <w:p>
            <w:pPr>
              <w:pStyle w:val="Compact"/>
              <w:jc w:val="left"/>
            </w:pPr>
            <w:r>
              <w:t xml:space="preserve">41766 (86.0%)</w:t>
            </w:r>
          </w:p>
        </w:tc>
        <w:tc>
          <w:tcPr/>
          <w:p>
            <w:pPr>
              <w:pStyle w:val="Compact"/>
              <w:jc w:val="left"/>
            </w:pPr>
            <w:r>
              <w:t xml:space="preserve">96389 (90.1%)</w:t>
            </w:r>
          </w:p>
        </w:tc>
      </w:tr>
      <w:tr>
        <w:tc>
          <w:tcPr/>
          <w:p>
            <w:pPr>
              <w:pStyle w:val="Compact"/>
              <w:jc w:val="left"/>
            </w:pPr>
            <w:r>
              <w:t xml:space="preserve">yes</w:t>
            </w:r>
          </w:p>
        </w:tc>
        <w:tc>
          <w:tcPr/>
          <w:p>
            <w:pPr>
              <w:pStyle w:val="Compact"/>
              <w:jc w:val="left"/>
            </w:pPr>
            <w:r>
              <w:t xml:space="preserve">3802 (6.5%)</w:t>
            </w:r>
          </w:p>
        </w:tc>
        <w:tc>
          <w:tcPr/>
          <w:p>
            <w:pPr>
              <w:pStyle w:val="Compact"/>
              <w:jc w:val="left"/>
            </w:pPr>
            <w:r>
              <w:t xml:space="preserve">6789 (14.0%)</w:t>
            </w:r>
          </w:p>
        </w:tc>
        <w:tc>
          <w:tcPr/>
          <w:p>
            <w:pPr>
              <w:pStyle w:val="Compact"/>
              <w:jc w:val="left"/>
            </w:pPr>
            <w:r>
              <w:t xml:space="preserve">10591 (9.9%)</w:t>
            </w:r>
          </w:p>
        </w:tc>
      </w:tr>
      <w:tr>
        <w:tc>
          <w:tcPr>
            <w:gridSpan w:val="4"/>
          </w:tcPr>
          <w:p>
            <w:pPr>
              <w:pStyle w:val="Compact"/>
              <w:jc w:val="left"/>
            </w:pPr>
            <w:r>
              <w:rPr>
                <w:bCs/>
                <w:b/>
              </w:rPr>
              <w:t xml:space="preserve">factor(chd)</w:t>
            </w:r>
          </w:p>
        </w:tc>
      </w:tr>
      <w:tr>
        <w:tc>
          <w:tcPr/>
          <w:p>
            <w:pPr>
              <w:pStyle w:val="Compact"/>
              <w:jc w:val="left"/>
            </w:pPr>
            <w:r>
              <w:t xml:space="preserve">no</w:t>
            </w:r>
          </w:p>
        </w:tc>
        <w:tc>
          <w:tcPr/>
          <w:p>
            <w:pPr>
              <w:pStyle w:val="Compact"/>
              <w:jc w:val="left"/>
            </w:pPr>
            <w:r>
              <w:t xml:space="preserve">56727 (97.1%)</w:t>
            </w:r>
          </w:p>
        </w:tc>
        <w:tc>
          <w:tcPr/>
          <w:p>
            <w:pPr>
              <w:pStyle w:val="Compact"/>
              <w:jc w:val="left"/>
            </w:pPr>
            <w:r>
              <w:t xml:space="preserve">45045 (92.8%)</w:t>
            </w:r>
          </w:p>
        </w:tc>
        <w:tc>
          <w:tcPr/>
          <w:p>
            <w:pPr>
              <w:pStyle w:val="Compact"/>
              <w:jc w:val="left"/>
            </w:pPr>
            <w:r>
              <w:t xml:space="preserve">101772 (95.1%)</w:t>
            </w:r>
          </w:p>
        </w:tc>
      </w:tr>
      <w:tr>
        <w:tc>
          <w:tcPr/>
          <w:p>
            <w:pPr>
              <w:pStyle w:val="Compact"/>
              <w:jc w:val="left"/>
            </w:pPr>
            <w:r>
              <w:t xml:space="preserve">yes</w:t>
            </w:r>
          </w:p>
        </w:tc>
        <w:tc>
          <w:tcPr/>
          <w:p>
            <w:pPr>
              <w:pStyle w:val="Compact"/>
              <w:jc w:val="left"/>
            </w:pPr>
            <w:r>
              <w:t xml:space="preserve">1698 (2.9%)</w:t>
            </w:r>
          </w:p>
        </w:tc>
        <w:tc>
          <w:tcPr/>
          <w:p>
            <w:pPr>
              <w:pStyle w:val="Compact"/>
              <w:jc w:val="left"/>
            </w:pPr>
            <w:r>
              <w:t xml:space="preserve">3510 (7.2%)</w:t>
            </w:r>
          </w:p>
        </w:tc>
        <w:tc>
          <w:tcPr/>
          <w:p>
            <w:pPr>
              <w:pStyle w:val="Compact"/>
              <w:jc w:val="left"/>
            </w:pPr>
            <w:r>
              <w:t xml:space="preserve">5208 (4.9%)</w:t>
            </w:r>
          </w:p>
        </w:tc>
      </w:tr>
      <w:tr>
        <w:tc>
          <w:tcPr>
            <w:gridSpan w:val="4"/>
          </w:tcPr>
          <w:p>
            <w:pPr>
              <w:pStyle w:val="Compact"/>
              <w:jc w:val="left"/>
            </w:pPr>
            <w:r>
              <w:rPr>
                <w:bCs/>
                <w:b/>
              </w:rPr>
              <w:t xml:space="preserve">factor(alcohol_status)</w:t>
            </w:r>
          </w:p>
        </w:tc>
      </w:tr>
      <w:tr>
        <w:tc>
          <w:tcPr/>
          <w:p>
            <w:pPr>
              <w:pStyle w:val="Compact"/>
              <w:jc w:val="left"/>
            </w:pPr>
            <w:r>
              <w:t xml:space="preserve">nondrinker</w:t>
            </w:r>
          </w:p>
        </w:tc>
        <w:tc>
          <w:tcPr/>
          <w:p>
            <w:pPr>
              <w:pStyle w:val="Compact"/>
              <w:jc w:val="left"/>
            </w:pPr>
            <w:r>
              <w:t xml:space="preserve">9219 (15.8%)</w:t>
            </w:r>
          </w:p>
        </w:tc>
        <w:tc>
          <w:tcPr/>
          <w:p>
            <w:pPr>
              <w:pStyle w:val="Compact"/>
              <w:jc w:val="left"/>
            </w:pPr>
            <w:r>
              <w:t xml:space="preserve">7708 (15.9%)</w:t>
            </w:r>
          </w:p>
        </w:tc>
        <w:tc>
          <w:tcPr/>
          <w:p>
            <w:pPr>
              <w:pStyle w:val="Compact"/>
              <w:jc w:val="left"/>
            </w:pPr>
            <w:r>
              <w:t xml:space="preserve">16927 (15.8%)</w:t>
            </w:r>
          </w:p>
        </w:tc>
      </w:tr>
      <w:tr>
        <w:tc>
          <w:tcPr/>
          <w:p>
            <w:pPr>
              <w:pStyle w:val="Compact"/>
              <w:jc w:val="left"/>
            </w:pPr>
            <w:r>
              <w:t xml:space="preserve">former_drinker</w:t>
            </w:r>
          </w:p>
        </w:tc>
        <w:tc>
          <w:tcPr/>
          <w:p>
            <w:pPr>
              <w:pStyle w:val="Compact"/>
              <w:jc w:val="left"/>
            </w:pPr>
            <w:r>
              <w:t xml:space="preserve">7791 (13.3%)</w:t>
            </w:r>
          </w:p>
        </w:tc>
        <w:tc>
          <w:tcPr/>
          <w:p>
            <w:pPr>
              <w:pStyle w:val="Compact"/>
              <w:jc w:val="left"/>
            </w:pPr>
            <w:r>
              <w:t xml:space="preserve">8159 (16.8%)</w:t>
            </w:r>
          </w:p>
        </w:tc>
        <w:tc>
          <w:tcPr/>
          <w:p>
            <w:pPr>
              <w:pStyle w:val="Compact"/>
              <w:jc w:val="left"/>
            </w:pPr>
            <w:r>
              <w:t xml:space="preserve">15950 (14.9%)</w:t>
            </w:r>
          </w:p>
        </w:tc>
      </w:tr>
      <w:tr>
        <w:tc>
          <w:tcPr/>
          <w:p>
            <w:pPr>
              <w:pStyle w:val="Compact"/>
              <w:jc w:val="left"/>
            </w:pPr>
            <w:r>
              <w:t xml:space="preserve">drinker</w:t>
            </w:r>
          </w:p>
        </w:tc>
        <w:tc>
          <w:tcPr/>
          <w:p>
            <w:pPr>
              <w:pStyle w:val="Compact"/>
              <w:jc w:val="left"/>
            </w:pPr>
            <w:r>
              <w:t xml:space="preserve">41415 (70.9%)</w:t>
            </w:r>
          </w:p>
        </w:tc>
        <w:tc>
          <w:tcPr/>
          <w:p>
            <w:pPr>
              <w:pStyle w:val="Compact"/>
              <w:jc w:val="left"/>
            </w:pPr>
            <w:r>
              <w:t xml:space="preserve">32688 (67.3%)</w:t>
            </w:r>
          </w:p>
        </w:tc>
        <w:tc>
          <w:tcPr/>
          <w:p>
            <w:pPr>
              <w:pStyle w:val="Compact"/>
              <w:jc w:val="left"/>
            </w:pPr>
            <w:r>
              <w:t xml:space="preserve">74103 (69.3%)</w:t>
            </w:r>
          </w:p>
        </w:tc>
      </w:tr>
      <w:tr>
        <w:tc>
          <w:tcPr>
            <w:gridSpan w:val="4"/>
          </w:tcPr>
          <w:p>
            <w:pPr>
              <w:pStyle w:val="Compact"/>
              <w:jc w:val="left"/>
            </w:pPr>
            <w:r>
              <w:rPr>
                <w:bCs/>
                <w:b/>
              </w:rPr>
              <w:t xml:space="preserve">factor(smoking_status)</w:t>
            </w:r>
          </w:p>
        </w:tc>
      </w:tr>
      <w:tr>
        <w:tc>
          <w:tcPr/>
          <w:p>
            <w:pPr>
              <w:pStyle w:val="Compact"/>
              <w:jc w:val="left"/>
            </w:pPr>
            <w:r>
              <w:t xml:space="preserve">nonsmoker</w:t>
            </w:r>
          </w:p>
        </w:tc>
        <w:tc>
          <w:tcPr/>
          <w:p>
            <w:pPr>
              <w:pStyle w:val="Compact"/>
              <w:jc w:val="left"/>
            </w:pPr>
            <w:r>
              <w:t xml:space="preserve">34750 (59.5%)</w:t>
            </w:r>
          </w:p>
        </w:tc>
        <w:tc>
          <w:tcPr/>
          <w:p>
            <w:pPr>
              <w:pStyle w:val="Compact"/>
              <w:jc w:val="left"/>
            </w:pPr>
            <w:r>
              <w:t xml:space="preserve">29338 (60.4%)</w:t>
            </w:r>
          </w:p>
        </w:tc>
        <w:tc>
          <w:tcPr/>
          <w:p>
            <w:pPr>
              <w:pStyle w:val="Compact"/>
              <w:jc w:val="left"/>
            </w:pPr>
            <w:r>
              <w:t xml:space="preserve">64088 (59.9%)</w:t>
            </w:r>
          </w:p>
        </w:tc>
      </w:tr>
      <w:tr>
        <w:tc>
          <w:tcPr/>
          <w:p>
            <w:pPr>
              <w:pStyle w:val="Compact"/>
              <w:jc w:val="left"/>
            </w:pPr>
            <w:r>
              <w:t xml:space="preserve">former_smoker</w:t>
            </w:r>
          </w:p>
        </w:tc>
        <w:tc>
          <w:tcPr/>
          <w:p>
            <w:pPr>
              <w:pStyle w:val="Compact"/>
              <w:jc w:val="left"/>
            </w:pPr>
            <w:r>
              <w:t xml:space="preserve">12027 (20.6%)</w:t>
            </w:r>
          </w:p>
        </w:tc>
        <w:tc>
          <w:tcPr/>
          <w:p>
            <w:pPr>
              <w:pStyle w:val="Compact"/>
              <w:jc w:val="left"/>
            </w:pPr>
            <w:r>
              <w:t xml:space="preserve">13685 (28.2%)</w:t>
            </w:r>
          </w:p>
        </w:tc>
        <w:tc>
          <w:tcPr/>
          <w:p>
            <w:pPr>
              <w:pStyle w:val="Compact"/>
              <w:jc w:val="left"/>
            </w:pPr>
            <w:r>
              <w:t xml:space="preserve">25712 (24.0%)</w:t>
            </w:r>
          </w:p>
        </w:tc>
      </w:tr>
      <w:tr>
        <w:tc>
          <w:tcPr/>
          <w:p>
            <w:pPr>
              <w:pStyle w:val="Compact"/>
              <w:jc w:val="left"/>
            </w:pPr>
            <w:r>
              <w:t xml:space="preserve">smoker</w:t>
            </w:r>
          </w:p>
        </w:tc>
        <w:tc>
          <w:tcPr/>
          <w:p>
            <w:pPr>
              <w:pStyle w:val="Compact"/>
              <w:jc w:val="left"/>
            </w:pPr>
            <w:r>
              <w:t xml:space="preserve">11648 (19.9%)</w:t>
            </w:r>
          </w:p>
        </w:tc>
        <w:tc>
          <w:tcPr/>
          <w:p>
            <w:pPr>
              <w:pStyle w:val="Compact"/>
              <w:jc w:val="left"/>
            </w:pPr>
            <w:r>
              <w:t xml:space="preserve">5532 (11.4%)</w:t>
            </w:r>
          </w:p>
        </w:tc>
        <w:tc>
          <w:tcPr/>
          <w:p>
            <w:pPr>
              <w:pStyle w:val="Compact"/>
              <w:jc w:val="left"/>
            </w:pPr>
            <w:r>
              <w:t xml:space="preserve">17180 (16.1%)</w:t>
            </w:r>
          </w:p>
        </w:tc>
      </w:tr>
    </w:tbl>
    <w:p>
      <w:pPr>
        <w:pStyle w:val="BodyText"/>
      </w:pPr>
      <w:r>
        <w:t xml:space="preserve">**</w:t>
      </w:r>
    </w:p>
    <w:bookmarkEnd w:id="30"/>
    <w:bookmarkStart w:id="32" w:name="full-analysis"/>
    <w:p>
      <w:pPr>
        <w:pStyle w:val="Heading3"/>
      </w:pPr>
      <w:r>
        <w:t xml:space="preserve">4.0.3 Full analysis</w:t>
      </w:r>
    </w:p>
    <w:bookmarkStart w:id="31" w:name="X1e2febcdaae1813110a0ff1645d285038a991a0"/>
    <w:p>
      <w:pPr>
        <w:pStyle w:val="Heading5"/>
      </w:pPr>
      <w:r>
        <w:t xml:space="preserve">4.0.3.0.1 Model 1: Focusing on only demogrphics characteristics using the flu vaccine uptake as our outcome</w:t>
      </w:r>
    </w:p>
    <w:p>
      <w:pPr>
        <w:pStyle w:val="SourceCode"/>
      </w:pPr>
      <w:r>
        <w:rPr>
          <w:rStyle w:val="VerbatimChar"/>
        </w:rPr>
        <w:t xml:space="preserve">                        term     estimate    std.error   statistic</w:t>
      </w:r>
      <w:r>
        <w:br/>
      </w:r>
      <w:r>
        <w:rPr>
          <w:rStyle w:val="VerbatimChar"/>
        </w:rPr>
        <w:t xml:space="preserve">1                (Intercept) -2.412331604 0.0334164527 -72.1899366</w:t>
      </w:r>
      <w:r>
        <w:br/>
      </w:r>
      <w:r>
        <w:rPr>
          <w:rStyle w:val="VerbatimChar"/>
        </w:rPr>
        <w:t xml:space="preserve">2                        age  0.034347387 0.0003974164  86.4266897</w:t>
      </w:r>
      <w:r>
        <w:br/>
      </w:r>
      <w:r>
        <w:rPr>
          <w:rStyle w:val="VerbatimChar"/>
        </w:rPr>
        <w:t xml:space="preserve">3                  sexfemale  0.355237904 0.0130976192  27.1223264</w:t>
      </w:r>
      <w:r>
        <w:br/>
      </w:r>
      <w:r>
        <w:rPr>
          <w:rStyle w:val="VerbatimChar"/>
        </w:rPr>
        <w:t xml:space="preserve">4                  raceblack -0.240890761 0.0204033476 -11.8064332</w:t>
      </w:r>
      <w:r>
        <w:br/>
      </w:r>
      <w:r>
        <w:rPr>
          <w:rStyle w:val="VerbatimChar"/>
        </w:rPr>
        <w:t xml:space="preserve">5        racenative american  0.231326583 0.0632861504   3.6552481</w:t>
      </w:r>
      <w:r>
        <w:br/>
      </w:r>
      <w:r>
        <w:rPr>
          <w:rStyle w:val="VerbatimChar"/>
        </w:rPr>
        <w:t xml:space="preserve">6                  raceasian  0.114989390 0.0284889803   4.0362761</w:t>
      </w:r>
      <w:r>
        <w:br/>
      </w:r>
      <w:r>
        <w:rPr>
          <w:rStyle w:val="VerbatimChar"/>
        </w:rPr>
        <w:t xml:space="preserve">7           hispanichispanic -0.177889489 0.0209758170  -8.4806942</w:t>
      </w:r>
      <w:r>
        <w:br/>
      </w:r>
      <w:r>
        <w:rPr>
          <w:rStyle w:val="VerbatimChar"/>
        </w:rPr>
        <w:t xml:space="preserve">8       educationhigh_school  0.004245455 0.0249208828   0.1703573</w:t>
      </w:r>
      <w:r>
        <w:br/>
      </w:r>
      <w:r>
        <w:rPr>
          <w:rStyle w:val="VerbatimChar"/>
        </w:rPr>
        <w:t xml:space="preserve">9      educationsome_college  0.185041675 0.0244858985   7.5570710</w:t>
      </w:r>
      <w:r>
        <w:br/>
      </w:r>
      <w:r>
        <w:rPr>
          <w:rStyle w:val="VerbatimChar"/>
        </w:rPr>
        <w:t xml:space="preserve">10         educationbachelor  0.424188493 0.0265939096  15.9505879</w:t>
      </w:r>
      <w:r>
        <w:br/>
      </w:r>
      <w:r>
        <w:rPr>
          <w:rStyle w:val="VerbatimChar"/>
        </w:rPr>
        <w:t xml:space="preserve">11         educationgraduate  0.701967529 0.0294263747  23.8550462</w:t>
      </w:r>
      <w:r>
        <w:br/>
      </w:r>
      <w:r>
        <w:rPr>
          <w:rStyle w:val="VerbatimChar"/>
        </w:rPr>
        <w:t xml:space="preserve">12 fam_income$50,000-$99,999  0.132219857 0.0159985840   8.2644724</w:t>
      </w:r>
      <w:r>
        <w:br/>
      </w:r>
      <w:r>
        <w:rPr>
          <w:rStyle w:val="VerbatimChar"/>
        </w:rPr>
        <w:t xml:space="preserve">13       fam_income$100,000+  0.353068166 0.0179804150  19.6362635</w:t>
      </w:r>
      <w:r>
        <w:br/>
      </w:r>
      <w:r>
        <w:rPr>
          <w:rStyle w:val="VerbatimChar"/>
        </w:rPr>
        <w:t xml:space="preserve">         p.value</w:t>
      </w:r>
      <w:r>
        <w:br/>
      </w:r>
      <w:r>
        <w:rPr>
          <w:rStyle w:val="VerbatimChar"/>
        </w:rPr>
        <w:t xml:space="preserve">1   0.000000e+00</w:t>
      </w:r>
      <w:r>
        <w:br/>
      </w:r>
      <w:r>
        <w:rPr>
          <w:rStyle w:val="VerbatimChar"/>
        </w:rPr>
        <w:t xml:space="preserve">2   0.000000e+00</w:t>
      </w:r>
      <w:r>
        <w:br/>
      </w:r>
      <w:r>
        <w:rPr>
          <w:rStyle w:val="VerbatimChar"/>
        </w:rPr>
        <w:t xml:space="preserve">3  5.370848e-162</w:t>
      </w:r>
      <w:r>
        <w:br/>
      </w:r>
      <w:r>
        <w:rPr>
          <w:rStyle w:val="VerbatimChar"/>
        </w:rPr>
        <w:t xml:space="preserve">4   3.615769e-32</w:t>
      </w:r>
      <w:r>
        <w:br/>
      </w:r>
      <w:r>
        <w:rPr>
          <w:rStyle w:val="VerbatimChar"/>
        </w:rPr>
        <w:t xml:space="preserve">5   2.569334e-04</w:t>
      </w:r>
      <w:r>
        <w:br/>
      </w:r>
      <w:r>
        <w:rPr>
          <w:rStyle w:val="VerbatimChar"/>
        </w:rPr>
        <w:t xml:space="preserve">6   5.430631e-05</w:t>
      </w:r>
      <w:r>
        <w:br/>
      </w:r>
      <w:r>
        <w:rPr>
          <w:rStyle w:val="VerbatimChar"/>
        </w:rPr>
        <w:t xml:space="preserve">7   2.238543e-17</w:t>
      </w:r>
      <w:r>
        <w:br/>
      </w:r>
      <w:r>
        <w:rPr>
          <w:rStyle w:val="VerbatimChar"/>
        </w:rPr>
        <w:t xml:space="preserve">8   8.647291e-01</w:t>
      </w:r>
      <w:r>
        <w:br/>
      </w:r>
      <w:r>
        <w:rPr>
          <w:rStyle w:val="VerbatimChar"/>
        </w:rPr>
        <w:t xml:space="preserve">9   4.122468e-14</w:t>
      </w:r>
      <w:r>
        <w:br/>
      </w:r>
      <w:r>
        <w:rPr>
          <w:rStyle w:val="VerbatimChar"/>
        </w:rPr>
        <w:t xml:space="preserve">10  2.822273e-57</w:t>
      </w:r>
      <w:r>
        <w:br/>
      </w:r>
      <w:r>
        <w:rPr>
          <w:rStyle w:val="VerbatimChar"/>
        </w:rPr>
        <w:t xml:space="preserve">11 8.976145e-126</w:t>
      </w:r>
      <w:r>
        <w:br/>
      </w:r>
      <w:r>
        <w:rPr>
          <w:rStyle w:val="VerbatimChar"/>
        </w:rPr>
        <w:t xml:space="preserve">12  1.403139e-16</w:t>
      </w:r>
      <w:r>
        <w:br/>
      </w:r>
      <w:r>
        <w:rPr>
          <w:rStyle w:val="VerbatimChar"/>
        </w:rPr>
        <w:t xml:space="preserve">13  7.577252e-86</w:t>
      </w:r>
    </w:p>
    <w:bookmarkEnd w:id="31"/>
    <w:bookmarkEnd w:id="32"/>
    <w:bookmarkStart w:id="33" w:name="X58dda91eddad786fd9acda320a70d48097081af"/>
    <w:p>
      <w:pPr>
        <w:pStyle w:val="Heading3"/>
      </w:pPr>
      <w:r>
        <w:t xml:space="preserve">4.0.4 Model 2: Using all our predictors of interest in the model with flu vaccine uptake as our outcome</w:t>
      </w:r>
    </w:p>
    <w:p>
      <w:pPr>
        <w:pStyle w:val="SourceCode"/>
      </w:pPr>
      <w:r>
        <w:rPr>
          <w:rStyle w:val="VerbatimChar"/>
        </w:rPr>
        <w:t xml:space="preserve">                           term     estimate    std.error  statistic</w:t>
      </w:r>
      <w:r>
        <w:br/>
      </w:r>
      <w:r>
        <w:rPr>
          <w:rStyle w:val="VerbatimChar"/>
        </w:rPr>
        <w:t xml:space="preserve">1                   (Intercept) -2.239921505 0.0379425281 -59.034588</w:t>
      </w:r>
      <w:r>
        <w:br/>
      </w:r>
      <w:r>
        <w:rPr>
          <w:rStyle w:val="VerbatimChar"/>
        </w:rPr>
        <w:t xml:space="preserve">2                           age  0.030696805 0.0004333642  70.833735</w:t>
      </w:r>
      <w:r>
        <w:br/>
      </w:r>
      <w:r>
        <w:rPr>
          <w:rStyle w:val="VerbatimChar"/>
        </w:rPr>
        <w:t xml:space="preserve">3                     sexfemale  0.347985133 0.0133861311  25.995945</w:t>
      </w:r>
      <w:r>
        <w:br/>
      </w:r>
      <w:r>
        <w:rPr>
          <w:rStyle w:val="VerbatimChar"/>
        </w:rPr>
        <w:t xml:space="preserve">4                     raceblack -0.236115703 0.0206769405 -11.419277</w:t>
      </w:r>
      <w:r>
        <w:br/>
      </w:r>
      <w:r>
        <w:rPr>
          <w:rStyle w:val="VerbatimChar"/>
        </w:rPr>
        <w:t xml:space="preserve">5           racenative american  0.250033086 0.0637233155   3.923730</w:t>
      </w:r>
      <w:r>
        <w:br/>
      </w:r>
      <w:r>
        <w:rPr>
          <w:rStyle w:val="VerbatimChar"/>
        </w:rPr>
        <w:t xml:space="preserve">6                     raceasian  0.132068451 0.0288590192   4.576332</w:t>
      </w:r>
      <w:r>
        <w:br/>
      </w:r>
      <w:r>
        <w:rPr>
          <w:rStyle w:val="VerbatimChar"/>
        </w:rPr>
        <w:t xml:space="preserve">7              hispanichispanic -0.192490023 0.0212801177  -9.045534</w:t>
      </w:r>
      <w:r>
        <w:br/>
      </w:r>
      <w:r>
        <w:rPr>
          <w:rStyle w:val="VerbatimChar"/>
        </w:rPr>
        <w:t xml:space="preserve">8          educationhigh_school  0.004827906 0.0252706377   0.191048</w:t>
      </w:r>
      <w:r>
        <w:br/>
      </w:r>
      <w:r>
        <w:rPr>
          <w:rStyle w:val="VerbatimChar"/>
        </w:rPr>
        <w:t xml:space="preserve">9         educationsome_college  0.158552543 0.0249416764   6.356932</w:t>
      </w:r>
      <w:r>
        <w:br/>
      </w:r>
      <w:r>
        <w:rPr>
          <w:rStyle w:val="VerbatimChar"/>
        </w:rPr>
        <w:t xml:space="preserve">10            educationbachelor  0.378764844 0.0272631661  13.892915</w:t>
      </w:r>
      <w:r>
        <w:br/>
      </w:r>
      <w:r>
        <w:rPr>
          <w:rStyle w:val="VerbatimChar"/>
        </w:rPr>
        <w:t xml:space="preserve">11            educationgraduate  0.647484649 0.0301351349  21.486038</w:t>
      </w:r>
      <w:r>
        <w:br/>
      </w:r>
      <w:r>
        <w:rPr>
          <w:rStyle w:val="VerbatimChar"/>
        </w:rPr>
        <w:t xml:space="preserve">12    fam_income$50,000-$99,999  0.130690475 0.0162269769   8.053902</w:t>
      </w:r>
      <w:r>
        <w:br/>
      </w:r>
      <w:r>
        <w:rPr>
          <w:rStyle w:val="VerbatimChar"/>
        </w:rPr>
        <w:t xml:space="preserve">13          fam_income$100,000+  0.348323226 0.0183432206  18.989208</w:t>
      </w:r>
      <w:r>
        <w:br/>
      </w:r>
      <w:r>
        <w:rPr>
          <w:rStyle w:val="VerbatimChar"/>
        </w:rPr>
        <w:t xml:space="preserve">14                    asthmayes  0.334923861 0.0193313991  17.325381</w:t>
      </w:r>
      <w:r>
        <w:br/>
      </w:r>
      <w:r>
        <w:rPr>
          <w:rStyle w:val="VerbatimChar"/>
        </w:rPr>
        <w:t xml:space="preserve">15                    canceryes  0.279409838 0.0230819284  12.105134</w:t>
      </w:r>
      <w:r>
        <w:br/>
      </w:r>
      <w:r>
        <w:rPr>
          <w:rStyle w:val="VerbatimChar"/>
        </w:rPr>
        <w:t xml:space="preserve">16                       chdyes  0.492680238 0.0324541351  15.180815</w:t>
      </w:r>
      <w:r>
        <w:br/>
      </w:r>
      <w:r>
        <w:rPr>
          <w:rStyle w:val="VerbatimChar"/>
        </w:rPr>
        <w:t xml:space="preserve">17  smoking_statusformer_smoker  0.056881954 0.0165999208   3.426640</w:t>
      </w:r>
      <w:r>
        <w:br/>
      </w:r>
      <w:r>
        <w:rPr>
          <w:rStyle w:val="VerbatimChar"/>
        </w:rPr>
        <w:t xml:space="preserve">18         smoking_statussmoker -0.401446680 0.0199201482 -20.152796</w:t>
      </w:r>
      <w:r>
        <w:br/>
      </w:r>
      <w:r>
        <w:rPr>
          <w:rStyle w:val="VerbatimChar"/>
        </w:rPr>
        <w:t xml:space="preserve">19 alcohol_statusformer_drinker  0.057943801 0.0243219525   2.382366</w:t>
      </w:r>
      <w:r>
        <w:br/>
      </w:r>
      <w:r>
        <w:rPr>
          <w:rStyle w:val="VerbatimChar"/>
        </w:rPr>
        <w:t xml:space="preserve">20        alcohol_statusdrinker -0.022146202 0.0195529294  -1.132628</w:t>
      </w:r>
      <w:r>
        <w:br/>
      </w:r>
      <w:r>
        <w:rPr>
          <w:rStyle w:val="VerbatimChar"/>
        </w:rPr>
        <w:t xml:space="preserve">         p.value</w:t>
      </w:r>
      <w:r>
        <w:br/>
      </w:r>
      <w:r>
        <w:rPr>
          <w:rStyle w:val="VerbatimChar"/>
        </w:rPr>
        <w:t xml:space="preserve">1   0.000000e+00</w:t>
      </w:r>
      <w:r>
        <w:br/>
      </w:r>
      <w:r>
        <w:rPr>
          <w:rStyle w:val="VerbatimChar"/>
        </w:rPr>
        <w:t xml:space="preserve">2   0.000000e+00</w:t>
      </w:r>
      <w:r>
        <w:br/>
      </w:r>
      <w:r>
        <w:rPr>
          <w:rStyle w:val="VerbatimChar"/>
        </w:rPr>
        <w:t xml:space="preserve">3  5.503490e-149</w:t>
      </w:r>
      <w:r>
        <w:br/>
      </w:r>
      <w:r>
        <w:rPr>
          <w:rStyle w:val="VerbatimChar"/>
        </w:rPr>
        <w:t xml:space="preserve">4   3.350107e-30</w:t>
      </w:r>
      <w:r>
        <w:br/>
      </w:r>
      <w:r>
        <w:rPr>
          <w:rStyle w:val="VerbatimChar"/>
        </w:rPr>
        <w:t xml:space="preserve">5   8.718844e-05</w:t>
      </w:r>
      <w:r>
        <w:br/>
      </w:r>
      <w:r>
        <w:rPr>
          <w:rStyle w:val="VerbatimChar"/>
        </w:rPr>
        <w:t xml:space="preserve">6   4.731995e-06</w:t>
      </w:r>
      <w:r>
        <w:br/>
      </w:r>
      <w:r>
        <w:rPr>
          <w:rStyle w:val="VerbatimChar"/>
        </w:rPr>
        <w:t xml:space="preserve">7   1.489357e-19</w:t>
      </w:r>
      <w:r>
        <w:br/>
      </w:r>
      <w:r>
        <w:rPr>
          <w:rStyle w:val="VerbatimChar"/>
        </w:rPr>
        <w:t xml:space="preserve">8   8.484880e-01</w:t>
      </w:r>
      <w:r>
        <w:br/>
      </w:r>
      <w:r>
        <w:rPr>
          <w:rStyle w:val="VerbatimChar"/>
        </w:rPr>
        <w:t xml:space="preserve">9   2.058229e-10</w:t>
      </w:r>
      <w:r>
        <w:br/>
      </w:r>
      <w:r>
        <w:rPr>
          <w:rStyle w:val="VerbatimChar"/>
        </w:rPr>
        <w:t xml:space="preserve">10  6.993054e-44</w:t>
      </w:r>
      <w:r>
        <w:br/>
      </w:r>
      <w:r>
        <w:rPr>
          <w:rStyle w:val="VerbatimChar"/>
        </w:rPr>
        <w:t xml:space="preserve">11 2.103115e-102</w:t>
      </w:r>
      <w:r>
        <w:br/>
      </w:r>
      <w:r>
        <w:rPr>
          <w:rStyle w:val="VerbatimChar"/>
        </w:rPr>
        <w:t xml:space="preserve">12  8.019570e-16</w:t>
      </w:r>
      <w:r>
        <w:br/>
      </w:r>
      <w:r>
        <w:rPr>
          <w:rStyle w:val="VerbatimChar"/>
        </w:rPr>
        <w:t xml:space="preserve">13  2.094648e-80</w:t>
      </w:r>
      <w:r>
        <w:br/>
      </w:r>
      <w:r>
        <w:rPr>
          <w:rStyle w:val="VerbatimChar"/>
        </w:rPr>
        <w:t xml:space="preserve">14  3.026826e-67</w:t>
      </w:r>
      <w:r>
        <w:br/>
      </w:r>
      <w:r>
        <w:rPr>
          <w:rStyle w:val="VerbatimChar"/>
        </w:rPr>
        <w:t xml:space="preserve">15  9.920715e-34</w:t>
      </w:r>
      <w:r>
        <w:br/>
      </w:r>
      <w:r>
        <w:rPr>
          <w:rStyle w:val="VerbatimChar"/>
        </w:rPr>
        <w:t xml:space="preserve">16  4.738537e-52</w:t>
      </w:r>
      <w:r>
        <w:br/>
      </w:r>
      <w:r>
        <w:rPr>
          <w:rStyle w:val="VerbatimChar"/>
        </w:rPr>
        <w:t xml:space="preserve">17  6.110985e-04</w:t>
      </w:r>
      <w:r>
        <w:br/>
      </w:r>
      <w:r>
        <w:rPr>
          <w:rStyle w:val="VerbatimChar"/>
        </w:rPr>
        <w:t xml:space="preserve">18  2.543362e-90</w:t>
      </w:r>
      <w:r>
        <w:br/>
      </w:r>
      <w:r>
        <w:rPr>
          <w:rStyle w:val="VerbatimChar"/>
        </w:rPr>
        <w:t xml:space="preserve">19  1.720178e-02</w:t>
      </w:r>
      <w:r>
        <w:br/>
      </w:r>
      <w:r>
        <w:rPr>
          <w:rStyle w:val="VerbatimChar"/>
        </w:rPr>
        <w:t xml:space="preserve">20  2.573704e-01</w:t>
      </w:r>
    </w:p>
    <w:bookmarkEnd w:id="33"/>
    <w:bookmarkStart w:id="42" w:name="model-evaluation"/>
    <w:p>
      <w:pPr>
        <w:pStyle w:val="Heading3"/>
      </w:pPr>
      <w:r>
        <w:t xml:space="preserve">4.0.5 Model Evaluation</w:t>
      </w:r>
    </w:p>
    <w:bookmarkStart w:id="37" w:name="roc-curve-from-the-full-model"/>
    <w:p>
      <w:pPr>
        <w:pStyle w:val="Heading4"/>
      </w:pPr>
      <w:r>
        <w:t xml:space="preserve">4.0.5.1 ROC curve from the full model</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5" name="Picture"/>
                  <a:graphic>
                    <a:graphicData uri="http://schemas.openxmlformats.org/drawingml/2006/picture">
                      <pic:pic>
                        <pic:nvPicPr>
                          <pic:cNvPr descr="../../results/AUC_full_model.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7"/>
    <w:bookmarkStart w:id="41" w:name="roc-curve-from-the-reduced-model"/>
    <w:p>
      <w:pPr>
        <w:pStyle w:val="Heading4"/>
      </w:pPr>
      <w:r>
        <w:t xml:space="preserve">4.0.5.2 ROC curve from the reduced model</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9" name="Picture"/>
                  <a:graphic>
                    <a:graphicData uri="http://schemas.openxmlformats.org/drawingml/2006/picture">
                      <pic:pic>
                        <pic:nvPicPr>
                          <pic:cNvPr descr="../../results/AUC_reduced_model.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41"/>
    <w:bookmarkEnd w:id="42"/>
    <w:bookmarkEnd w:id="43"/>
    <w:bookmarkStart w:id="47" w:name="discussion"/>
    <w:p>
      <w:pPr>
        <w:pStyle w:val="Heading1"/>
      </w:pPr>
      <w:r>
        <w:t xml:space="preserve">5. Discussion</w:t>
      </w:r>
    </w:p>
    <w:bookmarkStart w:id="44" w:name="summary-and-interpretation"/>
    <w:p>
      <w:pPr>
        <w:pStyle w:val="Heading3"/>
      </w:pPr>
      <w:r>
        <w:t xml:space="preserve">5.0.1 Summary and Interpretation</w:t>
      </w:r>
    </w:p>
    <w:p>
      <w:pPr>
        <w:pStyle w:val="FirstParagraph"/>
      </w:pPr>
      <w:r>
        <w:rPr>
          <w:iCs/>
          <w:i/>
        </w:rPr>
        <w:t xml:space="preserve">Summarize what you did, what you found and what it means.</w:t>
      </w:r>
    </w:p>
    <w:p>
      <w:pPr>
        <w:pStyle w:val="BodyText"/>
      </w:pPr>
      <w:r>
        <w:rPr>
          <w:u w:val="single"/>
        </w:rPr>
        <w:t xml:space="preserve">**To be completed (PART 5)</w:t>
      </w:r>
    </w:p>
    <w:bookmarkEnd w:id="44"/>
    <w:bookmarkStart w:id="45" w:name="strengths-and-limitations"/>
    <w:p>
      <w:pPr>
        <w:pStyle w:val="Heading3"/>
      </w:pPr>
      <w:r>
        <w:t xml:space="preserve">5.0.2 Strengths and Limitations</w:t>
      </w:r>
    </w:p>
    <w:p>
      <w:pPr>
        <w:pStyle w:val="FirstParagraph"/>
      </w:pPr>
      <w:r>
        <w:rPr>
          <w:iCs/>
          <w:i/>
        </w:rPr>
        <w:t xml:space="preserve">Discuss what you perceive as strengths and limitations of your</w:t>
      </w:r>
      <w:r>
        <w:rPr>
          <w:iCs/>
          <w:i/>
        </w:rPr>
        <w:t xml:space="preserve"> </w:t>
      </w:r>
      <w:r>
        <w:rPr>
          <w:iCs/>
          <w:i/>
        </w:rPr>
        <w:t xml:space="preserve">analysis.</w:t>
      </w:r>
    </w:p>
    <w:p>
      <w:pPr>
        <w:pStyle w:val="BodyText"/>
      </w:pPr>
      <w:r>
        <w:rPr>
          <w:u w:val="single"/>
        </w:rPr>
        <w:t xml:space="preserve">**To be completed (PART 5)</w:t>
      </w:r>
    </w:p>
    <w:bookmarkEnd w:id="45"/>
    <w:bookmarkStart w:id="46" w:name="conclusions"/>
    <w:p>
      <w:pPr>
        <w:pStyle w:val="Heading3"/>
      </w:pPr>
      <w:r>
        <w:t xml:space="preserve">5.0.3 Conclusions</w:t>
      </w:r>
    </w:p>
    <w:p>
      <w:pPr>
        <w:pStyle w:val="FirstParagraph"/>
      </w:pPr>
      <w:r>
        <w:rPr>
          <w:iCs/>
          <w:i/>
        </w:rPr>
        <w:t xml:space="preserve">What are the main take-home messages?</w:t>
      </w:r>
    </w:p>
    <w:p>
      <w:pPr>
        <w:pStyle w:val="BodyText"/>
      </w:pPr>
      <w:r>
        <w:rPr>
          <w:u w:val="single"/>
        </w:rPr>
        <w:t xml:space="preserve">**To be completed (PART 5)</w:t>
      </w:r>
    </w:p>
    <w:bookmarkEnd w:id="46"/>
    <w:bookmarkEnd w:id="47"/>
    <w:bookmarkStart w:id="63" w:name="references"/>
    <w:p>
      <w:pPr>
        <w:pStyle w:val="Heading1"/>
      </w:pPr>
      <w:r>
        <w:t xml:space="preserve">6. References</w:t>
      </w:r>
    </w:p>
    <w:p>
      <w:pPr>
        <w:pStyle w:val="FirstParagraph"/>
      </w:pPr>
      <w:r>
        <w:rPr>
          <w:iCs/>
          <w:i/>
        </w:rPr>
        <w:t xml:space="preserve">Include citations in your Rmd file using bibtex, the list of references</w:t>
      </w:r>
      <w:r>
        <w:rPr>
          <w:iCs/>
          <w:i/>
        </w:rPr>
        <w:t xml:space="preserve"> </w:t>
      </w:r>
      <w:r>
        <w:rPr>
          <w:iCs/>
          <w:i/>
        </w:rPr>
        <w:t xml:space="preserve">will automatically be placed at the end</w:t>
      </w:r>
    </w:p>
    <w:p>
      <w:pPr>
        <w:pStyle w:val="BodyText"/>
      </w:pPr>
      <w:r>
        <w:rPr>
          <w:u w:val="single"/>
        </w:rPr>
        <w:t xml:space="preserve">**To be completed (PART 5)</w:t>
      </w:r>
    </w:p>
    <w:bookmarkStart w:id="62" w:name="refs"/>
    <w:bookmarkStart w:id="49" w:name="ref-cambou_etal2021"/>
    <w:p>
      <w:pPr>
        <w:pStyle w:val="Bibliography"/>
      </w:pPr>
      <w:r>
        <w:t xml:space="preserve">Cambou, M. C., Copeland, T. P., Nielsen-Saines, K., &amp; Macinko, J. (2021). Insurance status predicts self-reported influenza vaccine coverage among pregnant women in the</w:t>
      </w:r>
      <w:r>
        <w:t xml:space="preserve"> </w:t>
      </w:r>
      <w:r>
        <w:t xml:space="preserve">United States</w:t>
      </w:r>
      <w:r>
        <w:t xml:space="preserve">:</w:t>
      </w:r>
      <w:r>
        <w:t xml:space="preserve"> </w:t>
      </w:r>
      <w:r>
        <w:t xml:space="preserve">A</w:t>
      </w:r>
      <w:r>
        <w:t xml:space="preserve"> </w:t>
      </w:r>
      <w:r>
        <w:t xml:space="preserve">cross-sectional analysis of the</w:t>
      </w:r>
      <w:r>
        <w:t xml:space="preserve"> </w:t>
      </w:r>
      <w:r>
        <w:t xml:space="preserve">National Health Interview Study Data</w:t>
      </w:r>
      <w:r>
        <w:t xml:space="preserve"> </w:t>
      </w:r>
      <w:r>
        <w:t xml:space="preserve">from 2012 to 2018.</w:t>
      </w:r>
      <w:r>
        <w:t xml:space="preserve"> </w:t>
      </w:r>
      <w:r>
        <w:rPr>
          <w:iCs/>
          <w:i/>
        </w:rPr>
        <w:t xml:space="preserve">Vaccine</w:t>
      </w:r>
      <w:r>
        <w:t xml:space="preserve">,</w:t>
      </w:r>
      <w:r>
        <w:t xml:space="preserve"> </w:t>
      </w:r>
      <w:r>
        <w:rPr>
          <w:iCs/>
          <w:i/>
        </w:rPr>
        <w:t xml:space="preserve">39</w:t>
      </w:r>
      <w:r>
        <w:t xml:space="preserve">(15), 2068–2073.</w:t>
      </w:r>
      <w:r>
        <w:t xml:space="preserve"> </w:t>
      </w:r>
      <w:hyperlink r:id="rId48">
        <w:r>
          <w:rPr>
            <w:rStyle w:val="Hyperlink"/>
          </w:rPr>
          <w:t xml:space="preserve">https://doi.org/10.1016/j.vaccine.2021.03.026</w:t>
        </w:r>
      </w:hyperlink>
    </w:p>
    <w:bookmarkEnd w:id="49"/>
    <w:bookmarkStart w:id="50" w:name="ref-cdc2022"/>
    <w:p>
      <w:pPr>
        <w:pStyle w:val="Bibliography"/>
      </w:pPr>
      <w:r>
        <w:t xml:space="preserve">CDC. (2022a). About</w:t>
      </w:r>
      <w:r>
        <w:t xml:space="preserve"> </w:t>
      </w:r>
      <w:r>
        <w:t xml:space="preserve">Flu</w:t>
      </w:r>
      <w:r>
        <w:t xml:space="preserve">. https://www.cdc.gov/flu/about/index.html.</w:t>
      </w:r>
    </w:p>
    <w:bookmarkEnd w:id="50"/>
    <w:bookmarkStart w:id="51" w:name="ref-cdc2022b"/>
    <w:p>
      <w:pPr>
        <w:pStyle w:val="Bibliography"/>
      </w:pPr>
      <w:r>
        <w:t xml:space="preserve">CDC. (2022b). Inequities in</w:t>
      </w:r>
      <w:r>
        <w:t xml:space="preserve"> </w:t>
      </w:r>
      <w:r>
        <w:t xml:space="preserve">Flu Vaccine Uptake</w:t>
      </w:r>
      <w:r>
        <w:t xml:space="preserve">. https://www.cdc.gov/vitalsigns/flu-inequities/index.html.</w:t>
      </w:r>
    </w:p>
    <w:bookmarkEnd w:id="51"/>
    <w:bookmarkStart w:id="52" w:name="ref-cdc2022c"/>
    <w:p>
      <w:pPr>
        <w:pStyle w:val="Bibliography"/>
      </w:pPr>
      <w:r>
        <w:t xml:space="preserve">CDC. (2022c). Key</w:t>
      </w:r>
      <w:r>
        <w:t xml:space="preserve"> </w:t>
      </w:r>
      <w:r>
        <w:t xml:space="preserve">Facts About Seasonal Flu Vaccine</w:t>
      </w:r>
      <w:r>
        <w:t xml:space="preserve">. https://t.cdc.gov/2S4F.</w:t>
      </w:r>
    </w:p>
    <w:bookmarkEnd w:id="52"/>
    <w:bookmarkStart w:id="54" w:name="ref-gaskinEffectIncomeDisparities2023"/>
    <w:p>
      <w:pPr>
        <w:pStyle w:val="Bibliography"/>
      </w:pPr>
      <w:r>
        <w:t xml:space="preserve">Gaskin, C. M., Woods, D. R., Ghosh, S., Watson, S., &amp; Huber, L. R. (2023). The</w:t>
      </w:r>
      <w:r>
        <w:t xml:space="preserve"> </w:t>
      </w:r>
      <w:r>
        <w:t xml:space="preserve">Effect</w:t>
      </w:r>
      <w:r>
        <w:t xml:space="preserve"> </w:t>
      </w:r>
      <w:r>
        <w:t xml:space="preserve">of</w:t>
      </w:r>
      <w:r>
        <w:t xml:space="preserve"> </w:t>
      </w:r>
      <w:r>
        <w:t xml:space="preserve">Income Disparities</w:t>
      </w:r>
      <w:r>
        <w:t xml:space="preserve"> </w:t>
      </w:r>
      <w:r>
        <w:t xml:space="preserve">on</w:t>
      </w:r>
      <w:r>
        <w:t xml:space="preserve"> </w:t>
      </w:r>
      <w:r>
        <w:t xml:space="preserve">Influenza Vaccination Coverage</w:t>
      </w:r>
      <w:r>
        <w:t xml:space="preserve"> </w:t>
      </w:r>
      <w:r>
        <w:t xml:space="preserve">in the</w:t>
      </w:r>
      <w:r>
        <w:t xml:space="preserve"> </w:t>
      </w:r>
      <w:r>
        <w:t xml:space="preserve">United States</w:t>
      </w:r>
      <w:r>
        <w:t xml:space="preserve">.</w:t>
      </w:r>
      <w:r>
        <w:t xml:space="preserve"> </w:t>
      </w:r>
      <w:r>
        <w:rPr>
          <w:iCs/>
          <w:i/>
        </w:rPr>
        <w:t xml:space="preserve">Public Health Rep</w:t>
      </w:r>
      <w:r>
        <w:t xml:space="preserve">,</w:t>
      </w:r>
      <w:r>
        <w:t xml:space="preserve"> </w:t>
      </w:r>
      <w:r>
        <w:rPr>
          <w:iCs/>
          <w:i/>
        </w:rPr>
        <w:t xml:space="preserve">138</w:t>
      </w:r>
      <w:r>
        <w:t xml:space="preserve">(1), 85–90.</w:t>
      </w:r>
      <w:r>
        <w:t xml:space="preserve"> </w:t>
      </w:r>
      <w:hyperlink r:id="rId53">
        <w:r>
          <w:rPr>
            <w:rStyle w:val="Hyperlink"/>
          </w:rPr>
          <w:t xml:space="preserve">https://doi.org/10.1177/00333549211069190</w:t>
        </w:r>
      </w:hyperlink>
    </w:p>
    <w:bookmarkEnd w:id="54"/>
    <w:bookmarkStart w:id="55" w:name="ref-InfluenzaHistoricTimeline2022"/>
    <w:p>
      <w:pPr>
        <w:pStyle w:val="Bibliography"/>
      </w:pPr>
      <w:r>
        <w:rPr>
          <w:iCs/>
          <w:i/>
        </w:rPr>
        <w:t xml:space="preserve">Influenza</w:t>
      </w:r>
      <w:r>
        <w:rPr>
          <w:iCs/>
          <w:i/>
        </w:rPr>
        <w:t xml:space="preserve"> </w:t>
      </w:r>
      <w:r>
        <w:rPr>
          <w:iCs/>
          <w:i/>
        </w:rPr>
        <w:t xml:space="preserve">Historic Timeline</w:t>
      </w:r>
      <w:r>
        <w:rPr>
          <w:iCs/>
          <w:i/>
        </w:rPr>
        <w:t xml:space="preserve"> </w:t>
      </w:r>
      <w:r>
        <w:rPr>
          <w:iCs/>
          <w:i/>
        </w:rPr>
        <w:t xml:space="preserve">|</w:t>
      </w:r>
      <w:r>
        <w:rPr>
          <w:iCs/>
          <w:i/>
        </w:rPr>
        <w:t xml:space="preserve"> </w:t>
      </w:r>
      <w:r>
        <w:rPr>
          <w:iCs/>
          <w:i/>
        </w:rPr>
        <w:t xml:space="preserve">Pandemic Influenza</w:t>
      </w:r>
      <w:r>
        <w:rPr>
          <w:iCs/>
          <w:i/>
        </w:rPr>
        <w:t xml:space="preserve"> </w:t>
      </w:r>
      <w:r>
        <w:rPr>
          <w:iCs/>
          <w:i/>
        </w:rPr>
        <w:t xml:space="preserve">(</w:t>
      </w:r>
      <w:r>
        <w:rPr>
          <w:iCs/>
          <w:i/>
        </w:rPr>
        <w:t xml:space="preserve">Flu</w:t>
      </w:r>
      <w:r>
        <w:rPr>
          <w:iCs/>
          <w:i/>
        </w:rPr>
        <w:t xml:space="preserve">) |</w:t>
      </w:r>
      <w:r>
        <w:rPr>
          <w:iCs/>
          <w:i/>
        </w:rPr>
        <w:t xml:space="preserve"> </w:t>
      </w:r>
      <w:r>
        <w:rPr>
          <w:iCs/>
          <w:i/>
        </w:rPr>
        <w:t xml:space="preserve">CDC</w:t>
      </w:r>
      <w:r>
        <w:t xml:space="preserve">. (2022). https://www.cdc.gov/flu/pandemic-resources/pandemic-timeline-1930-and-beyond.htm.</w:t>
      </w:r>
    </w:p>
    <w:bookmarkEnd w:id="55"/>
    <w:bookmarkStart w:id="57" w:name="ref-jain_etal2022"/>
    <w:p>
      <w:pPr>
        <w:pStyle w:val="Bibliography"/>
      </w:pPr>
      <w:r>
        <w:t xml:space="preserve">Jain, B., Paguio, J. A., Yao, J. S., Jain, U., Dee, E. C., Celi, L. A., &amp; Ojikutu, B. (2022). Rural</w:t>
      </w:r>
      <w:r>
        <w:t xml:space="preserve"> </w:t>
      </w:r>
      <w:r>
        <w:t xml:space="preserve">in</w:t>
      </w:r>
      <w:r>
        <w:t xml:space="preserve"> </w:t>
      </w:r>
      <w:r>
        <w:t xml:space="preserve">Influenza Vaccination Among Adults</w:t>
      </w:r>
      <w:r>
        <w:t xml:space="preserve"> </w:t>
      </w:r>
      <w:r>
        <w:t xml:space="preserve">in the</w:t>
      </w:r>
      <w:r>
        <w:t xml:space="preserve"> </w:t>
      </w:r>
      <w:r>
        <w:t xml:space="preserve">United States</w:t>
      </w:r>
      <w:r>
        <w:t xml:space="preserve">, 2018</w:t>
      </w:r>
      <w:r>
        <w:t xml:space="preserve">.</w:t>
      </w:r>
      <w:r>
        <w:t xml:space="preserve"> </w:t>
      </w:r>
      <w:r>
        <w:rPr>
          <w:iCs/>
          <w:i/>
        </w:rPr>
        <w:t xml:space="preserve">Am J Public Health</w:t>
      </w:r>
      <w:r>
        <w:t xml:space="preserve">,</w:t>
      </w:r>
      <w:r>
        <w:t xml:space="preserve"> </w:t>
      </w:r>
      <w:r>
        <w:rPr>
          <w:iCs/>
          <w:i/>
        </w:rPr>
        <w:t xml:space="preserve">112</w:t>
      </w:r>
      <w:r>
        <w:t xml:space="preserve">(2), 304–307.</w:t>
      </w:r>
      <w:r>
        <w:t xml:space="preserve"> </w:t>
      </w:r>
      <w:hyperlink r:id="rId56">
        <w:r>
          <w:rPr>
            <w:rStyle w:val="Hyperlink"/>
          </w:rPr>
          <w:t xml:space="preserve">https://doi.org/10.2105/AJPH.2021.306575</w:t>
        </w:r>
      </w:hyperlink>
    </w:p>
    <w:bookmarkEnd w:id="57"/>
    <w:bookmarkStart w:id="59" w:name="ref-khan_etal2018"/>
    <w:p>
      <w:pPr>
        <w:pStyle w:val="Bibliography"/>
      </w:pPr>
      <w:r>
        <w:t xml:space="preserve">Khan, S. R., Hall, A. G., Tanner, R. J., &amp; Marlow, N. M. (2018). Association between race/ethnicity and disability status and receipt of vaccines among older adults in</w:t>
      </w:r>
      <w:r>
        <w:t xml:space="preserve"> </w:t>
      </w:r>
      <w:r>
        <w:t xml:space="preserve">Florida</w:t>
      </w:r>
      <w:r>
        <w:t xml:space="preserve">.</w:t>
      </w:r>
      <w:r>
        <w:t xml:space="preserve"> </w:t>
      </w:r>
      <w:r>
        <w:rPr>
          <w:iCs/>
          <w:i/>
        </w:rPr>
        <w:t xml:space="preserve">Disabil Health J</w:t>
      </w:r>
      <w:r>
        <w:t xml:space="preserve">,</w:t>
      </w:r>
      <w:r>
        <w:t xml:space="preserve"> </w:t>
      </w:r>
      <w:r>
        <w:rPr>
          <w:iCs/>
          <w:i/>
        </w:rPr>
        <w:t xml:space="preserve">11</w:t>
      </w:r>
      <w:r>
        <w:t xml:space="preserve">(3), 339–344.</w:t>
      </w:r>
      <w:r>
        <w:t xml:space="preserve"> </w:t>
      </w:r>
      <w:hyperlink r:id="rId58">
        <w:r>
          <w:rPr>
            <w:rStyle w:val="Hyperlink"/>
          </w:rPr>
          <w:t xml:space="preserve">https://doi.org/10.1016/j.dhjo.2017.11.004</w:t>
        </w:r>
      </w:hyperlink>
    </w:p>
    <w:bookmarkEnd w:id="59"/>
    <w:bookmarkStart w:id="61" w:name="ref-vashist_etal2022"/>
    <w:p>
      <w:pPr>
        <w:pStyle w:val="Bibliography"/>
      </w:pPr>
      <w:r>
        <w:t xml:space="preserve">Vashist, K., Choi, D., &amp; Patel, S. A. (2022). Identification of groups at high risk for under-coverage of seasonal influenza vaccination:</w:t>
      </w:r>
      <w:r>
        <w:t xml:space="preserve"> </w:t>
      </w:r>
      <w:r>
        <w:t xml:space="preserve">A</w:t>
      </w:r>
      <w:r>
        <w:t xml:space="preserve"> </w:t>
      </w:r>
      <w:r>
        <w:t xml:space="preserve">national study to inform vaccination priorities during the</w:t>
      </w:r>
      <w:r>
        <w:t xml:space="preserve"> </w:t>
      </w:r>
      <w:r>
        <w:t xml:space="preserve">COVID-19</w:t>
      </w:r>
      <w:r>
        <w:t xml:space="preserve"> </w:t>
      </w:r>
      <w:r>
        <w:t xml:space="preserve">pandemic.</w:t>
      </w:r>
      <w:r>
        <w:t xml:space="preserve"> </w:t>
      </w:r>
      <w:r>
        <w:rPr>
          <w:iCs/>
          <w:i/>
        </w:rPr>
        <w:t xml:space="preserve">Annals of Epidemiology</w:t>
      </w:r>
      <w:r>
        <w:t xml:space="preserve">,</w:t>
      </w:r>
      <w:r>
        <w:t xml:space="preserve"> </w:t>
      </w:r>
      <w:r>
        <w:rPr>
          <w:iCs/>
          <w:i/>
        </w:rPr>
        <w:t xml:space="preserve">68</w:t>
      </w:r>
      <w:r>
        <w:t xml:space="preserve">, 16–23.</w:t>
      </w:r>
      <w:r>
        <w:t xml:space="preserve"> </w:t>
      </w:r>
      <w:hyperlink r:id="rId60">
        <w:r>
          <w:rPr>
            <w:rStyle w:val="Hyperlink"/>
          </w:rPr>
          <w:t xml:space="preserve">https://doi.org/10.1016/j.annepidem.2021.12.008</w:t>
        </w:r>
      </w:hyperlink>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hyperlink" Id="rId60" Target="https://doi.org/10.1016/j.annepidem.2021.12.008" TargetMode="External" /><Relationship Type="http://schemas.openxmlformats.org/officeDocument/2006/relationships/hyperlink" Id="rId58" Target="https://doi.org/10.1016/j.dhjo.2017.11.004" TargetMode="External" /><Relationship Type="http://schemas.openxmlformats.org/officeDocument/2006/relationships/hyperlink" Id="rId48" Target="https://doi.org/10.1016/j.vaccine.2021.03.026" TargetMode="External" /><Relationship Type="http://schemas.openxmlformats.org/officeDocument/2006/relationships/hyperlink" Id="rId53" Target="https://doi.org/10.1177/00333549211069190" TargetMode="External" /><Relationship Type="http://schemas.openxmlformats.org/officeDocument/2006/relationships/hyperlink" Id="rId56" Target="https://doi.org/10.2105/AJPH.2021.306575"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16/j.annepidem.2021.12.008" TargetMode="External" /><Relationship Type="http://schemas.openxmlformats.org/officeDocument/2006/relationships/hyperlink" Id="rId58" Target="https://doi.org/10.1016/j.dhjo.2017.11.004" TargetMode="External" /><Relationship Type="http://schemas.openxmlformats.org/officeDocument/2006/relationships/hyperlink" Id="rId48" Target="https://doi.org/10.1016/j.vaccine.2021.03.026" TargetMode="External" /><Relationship Type="http://schemas.openxmlformats.org/officeDocument/2006/relationships/hyperlink" Id="rId53" Target="https://doi.org/10.1177/00333549211069190" TargetMode="External" /><Relationship Type="http://schemas.openxmlformats.org/officeDocument/2006/relationships/hyperlink" Id="rId56" Target="https://doi.org/10.2105/AJPH.2021.3065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groups are at highest risk for low uptake of flu vaccine?</dc:title>
  <dc:creator>Chris Okitondo and Irene Cavros</dc:creator>
  <cp:keywords/>
  <dcterms:created xsi:type="dcterms:W3CDTF">2023-04-15T18:50:25Z</dcterms:created>
  <dcterms:modified xsi:type="dcterms:W3CDTF">2023-04-15T18:50:25Z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date">
    <vt:lpwstr>4/15/23</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