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8F59D" w14:textId="71B5DD65" w:rsidR="00E8284A" w:rsidRDefault="00E8284A" w:rsidP="00E8284A">
      <w:pPr>
        <w:pStyle w:val="Heading1"/>
        <w:rPr>
          <w:i/>
          <w:sz w:val="30"/>
        </w:rPr>
      </w:pPr>
      <w:r>
        <w:t xml:space="preserve">Wonderful Wednesdays </w:t>
      </w:r>
      <w:bookmarkStart w:id="0" w:name="_GoBack"/>
      <w:bookmarkEnd w:id="0"/>
    </w:p>
    <w:p w14:paraId="5A833178" w14:textId="77777777" w:rsidR="00E8284A" w:rsidRDefault="00E8284A" w:rsidP="00E8284A"/>
    <w:p w14:paraId="760DB397" w14:textId="77777777" w:rsidR="00E8284A" w:rsidRDefault="00E8284A" w:rsidP="00E8284A">
      <w:pPr>
        <w:pStyle w:val="Heading1"/>
      </w:pPr>
      <w:r>
        <w:t>Background: Haemoglobin in Anaemia</w:t>
      </w:r>
    </w:p>
    <w:p w14:paraId="06AF9062" w14:textId="77777777" w:rsidR="00E8284A" w:rsidRDefault="00E8284A" w:rsidP="00E8284A"/>
    <w:p w14:paraId="1842C211" w14:textId="6AF83219" w:rsidR="00E8284A" w:rsidRDefault="00E8284A" w:rsidP="00E8284A">
      <w:pPr>
        <w:rPr>
          <w:sz w:val="24"/>
          <w:szCs w:val="24"/>
        </w:rPr>
      </w:pPr>
      <w:r>
        <w:rPr>
          <w:sz w:val="24"/>
          <w:szCs w:val="24"/>
        </w:rPr>
        <w:t>The kidney has a role in regulating erythropoiesis (the production of red blood cells), and patients with Chronic Kidney Disease (CKD) often exhibit symptoms of anaemia. Treatments for anaemia in CKD therefore aim to stimulate erythropoiesis and elevate haemoglobin (Hgb) concentration in blood plasma.</w:t>
      </w:r>
      <w:r w:rsidR="00984FE8">
        <w:rPr>
          <w:sz w:val="24"/>
          <w:szCs w:val="24"/>
        </w:rPr>
        <w:t xml:space="preserve"> </w:t>
      </w:r>
      <w:r w:rsidR="00CA61E3">
        <w:rPr>
          <w:sz w:val="24"/>
          <w:szCs w:val="24"/>
        </w:rPr>
        <w:t>Anaemia</w:t>
      </w:r>
      <w:r w:rsidR="00984FE8">
        <w:rPr>
          <w:sz w:val="24"/>
          <w:szCs w:val="24"/>
        </w:rPr>
        <w:t xml:space="preserve"> patients typically have an Hgb concentration of 8</w:t>
      </w:r>
      <w:r w:rsidR="007C3E8F">
        <w:rPr>
          <w:sz w:val="24"/>
          <w:szCs w:val="24"/>
        </w:rPr>
        <w:t xml:space="preserve"> </w:t>
      </w:r>
      <w:r w:rsidR="00984FE8">
        <w:rPr>
          <w:sz w:val="24"/>
          <w:szCs w:val="24"/>
        </w:rPr>
        <w:t>-</w:t>
      </w:r>
      <w:r w:rsidR="007C3E8F">
        <w:rPr>
          <w:sz w:val="24"/>
          <w:szCs w:val="24"/>
        </w:rPr>
        <w:t xml:space="preserve"> </w:t>
      </w:r>
      <w:r w:rsidR="00984FE8">
        <w:rPr>
          <w:sz w:val="24"/>
          <w:szCs w:val="24"/>
        </w:rPr>
        <w:t xml:space="preserve">10 g/dL, and the aim </w:t>
      </w:r>
      <w:r w:rsidR="007C3E8F">
        <w:rPr>
          <w:sz w:val="24"/>
          <w:szCs w:val="24"/>
        </w:rPr>
        <w:t xml:space="preserve">for any therapeutic intervention </w:t>
      </w:r>
      <w:r w:rsidR="00984FE8">
        <w:rPr>
          <w:sz w:val="24"/>
          <w:szCs w:val="24"/>
        </w:rPr>
        <w:t xml:space="preserve">is to restore Hgb to </w:t>
      </w:r>
      <w:r w:rsidR="001E7136">
        <w:rPr>
          <w:sz w:val="24"/>
          <w:szCs w:val="24"/>
        </w:rPr>
        <w:t xml:space="preserve">within a </w:t>
      </w:r>
      <w:r w:rsidR="00984FE8">
        <w:rPr>
          <w:sz w:val="24"/>
          <w:szCs w:val="24"/>
        </w:rPr>
        <w:t>target range.</w:t>
      </w:r>
    </w:p>
    <w:p w14:paraId="541BBE12" w14:textId="58952FA8" w:rsidR="007C3E8F" w:rsidRDefault="007C3E8F" w:rsidP="00E8284A">
      <w:pPr>
        <w:rPr>
          <w:sz w:val="24"/>
          <w:szCs w:val="24"/>
        </w:rPr>
      </w:pPr>
      <w:r>
        <w:rPr>
          <w:sz w:val="24"/>
          <w:szCs w:val="24"/>
        </w:rPr>
        <w:t xml:space="preserve">The data provided are from a simulated trial of 300 CKD patients comparing a new experimental treatment (E) to a control group receiving current standard of care (C). The primary objective of the trial is to demonstrate efficacy, in terms of achieving a mean Hgb within the target range </w:t>
      </w:r>
      <w:r w:rsidR="000456E8">
        <w:rPr>
          <w:sz w:val="24"/>
          <w:szCs w:val="24"/>
        </w:rPr>
        <w:t xml:space="preserve">of 10 – 11.5 g/dL </w:t>
      </w:r>
      <w:r>
        <w:rPr>
          <w:sz w:val="24"/>
          <w:szCs w:val="24"/>
        </w:rPr>
        <w:t xml:space="preserve">at week 24. However a successful treatment should also show benefit in terms of </w:t>
      </w:r>
      <w:r w:rsidR="001E7136">
        <w:rPr>
          <w:sz w:val="24"/>
          <w:szCs w:val="24"/>
        </w:rPr>
        <w:t xml:space="preserve">reducing </w:t>
      </w:r>
      <w:r>
        <w:rPr>
          <w:sz w:val="24"/>
          <w:szCs w:val="24"/>
        </w:rPr>
        <w:t xml:space="preserve">Hgb </w:t>
      </w:r>
      <w:r w:rsidR="001E7136">
        <w:rPr>
          <w:sz w:val="24"/>
          <w:szCs w:val="24"/>
        </w:rPr>
        <w:t>variability</w:t>
      </w:r>
      <w:r>
        <w:rPr>
          <w:sz w:val="24"/>
          <w:szCs w:val="24"/>
        </w:rPr>
        <w:t xml:space="preserve">, </w:t>
      </w:r>
      <w:r w:rsidR="00077D7F">
        <w:rPr>
          <w:sz w:val="24"/>
          <w:szCs w:val="24"/>
        </w:rPr>
        <w:t xml:space="preserve">and </w:t>
      </w:r>
      <w:r w:rsidR="001E7136">
        <w:rPr>
          <w:sz w:val="24"/>
          <w:szCs w:val="24"/>
        </w:rPr>
        <w:t>an ideal treatment would produce a smooth increase in Hgb to the target range, and subsequent stability</w:t>
      </w:r>
      <w:r w:rsidR="00077D7F">
        <w:rPr>
          <w:sz w:val="24"/>
          <w:szCs w:val="24"/>
        </w:rPr>
        <w:t xml:space="preserve"> of Hgb</w:t>
      </w:r>
      <w:r w:rsidR="001E7136">
        <w:rPr>
          <w:sz w:val="24"/>
          <w:szCs w:val="24"/>
        </w:rPr>
        <w:t xml:space="preserve"> levels</w:t>
      </w:r>
      <w:r w:rsidR="00077D7F">
        <w:rPr>
          <w:sz w:val="24"/>
          <w:szCs w:val="24"/>
        </w:rPr>
        <w:t xml:space="preserve">. In particular, </w:t>
      </w:r>
      <w:r>
        <w:rPr>
          <w:sz w:val="24"/>
          <w:szCs w:val="24"/>
        </w:rPr>
        <w:t xml:space="preserve">within-subject changes in Hgb should not </w:t>
      </w:r>
      <w:r w:rsidR="00077D7F">
        <w:rPr>
          <w:sz w:val="24"/>
          <w:szCs w:val="24"/>
        </w:rPr>
        <w:t>be excessive as rapid changes in Hgb can lead to cardiovascular risk.</w:t>
      </w:r>
      <w:r w:rsidR="00552B0B">
        <w:rPr>
          <w:sz w:val="24"/>
          <w:szCs w:val="24"/>
        </w:rPr>
        <w:t xml:space="preserve"> In general, an increase of Hgb of less than 1 g/dL </w:t>
      </w:r>
      <w:r w:rsidR="001E7136">
        <w:rPr>
          <w:sz w:val="24"/>
          <w:szCs w:val="24"/>
        </w:rPr>
        <w:t xml:space="preserve">during each </w:t>
      </w:r>
      <w:r w:rsidR="00552B0B">
        <w:rPr>
          <w:sz w:val="24"/>
          <w:szCs w:val="24"/>
        </w:rPr>
        <w:t>4-week period is considered optimal, with a change of more than 2 g/dL being a potential safety concern.</w:t>
      </w:r>
    </w:p>
    <w:p w14:paraId="4757A5B6" w14:textId="206CAA30" w:rsidR="00077D7F" w:rsidRDefault="001E7136" w:rsidP="00E8284A">
      <w:pPr>
        <w:rPr>
          <w:sz w:val="24"/>
          <w:szCs w:val="24"/>
        </w:rPr>
      </w:pPr>
      <w:r>
        <w:rPr>
          <w:sz w:val="24"/>
          <w:szCs w:val="24"/>
        </w:rPr>
        <w:t>Use of appropriate d</w:t>
      </w:r>
      <w:r w:rsidR="00077D7F">
        <w:rPr>
          <w:sz w:val="24"/>
          <w:szCs w:val="24"/>
        </w:rPr>
        <w:t>ata visualisation</w:t>
      </w:r>
      <w:r>
        <w:rPr>
          <w:sz w:val="24"/>
          <w:szCs w:val="24"/>
        </w:rPr>
        <w:t xml:space="preserve">s can </w:t>
      </w:r>
      <w:r w:rsidR="00077D7F">
        <w:rPr>
          <w:sz w:val="24"/>
          <w:szCs w:val="24"/>
        </w:rPr>
        <w:t xml:space="preserve">demonstrate </w:t>
      </w:r>
      <w:r>
        <w:rPr>
          <w:sz w:val="24"/>
          <w:szCs w:val="24"/>
        </w:rPr>
        <w:t xml:space="preserve">any </w:t>
      </w:r>
      <w:r w:rsidR="00077D7F">
        <w:rPr>
          <w:sz w:val="24"/>
          <w:szCs w:val="24"/>
        </w:rPr>
        <w:t xml:space="preserve">potential benefit of </w:t>
      </w:r>
      <w:r>
        <w:rPr>
          <w:sz w:val="24"/>
          <w:szCs w:val="24"/>
        </w:rPr>
        <w:t xml:space="preserve">the experimental treatment compared </w:t>
      </w:r>
      <w:r w:rsidR="00077D7F">
        <w:rPr>
          <w:sz w:val="24"/>
          <w:szCs w:val="24"/>
        </w:rPr>
        <w:t xml:space="preserve">to the control group, in terms of Hgb </w:t>
      </w:r>
      <w:r>
        <w:rPr>
          <w:sz w:val="24"/>
          <w:szCs w:val="24"/>
        </w:rPr>
        <w:t xml:space="preserve">variability, </w:t>
      </w:r>
      <w:r w:rsidR="00077D7F">
        <w:rPr>
          <w:sz w:val="24"/>
          <w:szCs w:val="24"/>
        </w:rPr>
        <w:t>stability and control.</w:t>
      </w:r>
      <w:r w:rsidR="00775DD9">
        <w:rPr>
          <w:sz w:val="24"/>
          <w:szCs w:val="24"/>
        </w:rPr>
        <w:t xml:space="preserve"> </w:t>
      </w:r>
    </w:p>
    <w:p w14:paraId="087D038C" w14:textId="77777777" w:rsidR="00077D7F" w:rsidRDefault="00077D7F" w:rsidP="00077D7F">
      <w:pPr>
        <w:pStyle w:val="Heading1"/>
      </w:pPr>
      <w:r>
        <w:t>Data Description</w:t>
      </w:r>
    </w:p>
    <w:p w14:paraId="3EFDCFD3" w14:textId="77777777" w:rsidR="00077D7F" w:rsidRDefault="00077D7F" w:rsidP="00077D7F"/>
    <w:p w14:paraId="2A1AB3CF" w14:textId="77777777" w:rsidR="00077D7F" w:rsidRDefault="00077D7F" w:rsidP="00077D7F">
      <w:r>
        <w:t>The data provided contains the following variables:</w:t>
      </w:r>
    </w:p>
    <w:tbl>
      <w:tblPr>
        <w:tblStyle w:val="TableGrid"/>
        <w:tblW w:w="0" w:type="auto"/>
        <w:tblLook w:val="04A0" w:firstRow="1" w:lastRow="0" w:firstColumn="1" w:lastColumn="0" w:noHBand="0" w:noVBand="1"/>
      </w:tblPr>
      <w:tblGrid>
        <w:gridCol w:w="1555"/>
        <w:gridCol w:w="5953"/>
      </w:tblGrid>
      <w:tr w:rsidR="00077D7F" w14:paraId="19976487" w14:textId="77777777" w:rsidTr="001E7136">
        <w:tc>
          <w:tcPr>
            <w:tcW w:w="1555" w:type="dxa"/>
          </w:tcPr>
          <w:p w14:paraId="4EEB22AB" w14:textId="77777777" w:rsidR="00077D7F" w:rsidRPr="001E7136" w:rsidRDefault="00077D7F" w:rsidP="00077D7F">
            <w:pPr>
              <w:rPr>
                <w:rFonts w:ascii="Courier New" w:hAnsi="Courier New" w:cs="Courier New"/>
                <w:sz w:val="24"/>
                <w:szCs w:val="24"/>
              </w:rPr>
            </w:pPr>
            <w:r w:rsidRPr="001E7136">
              <w:rPr>
                <w:rFonts w:ascii="Courier New" w:hAnsi="Courier New" w:cs="Courier New"/>
                <w:sz w:val="24"/>
                <w:szCs w:val="24"/>
              </w:rPr>
              <w:t>USUBJID</w:t>
            </w:r>
          </w:p>
        </w:tc>
        <w:tc>
          <w:tcPr>
            <w:tcW w:w="5953" w:type="dxa"/>
          </w:tcPr>
          <w:p w14:paraId="2D9DCB92" w14:textId="77777777" w:rsidR="00077D7F" w:rsidRPr="001E7136" w:rsidRDefault="00064E56" w:rsidP="00077D7F">
            <w:pPr>
              <w:rPr>
                <w:rFonts w:ascii="Courier New" w:hAnsi="Courier New" w:cs="Courier New"/>
                <w:sz w:val="24"/>
                <w:szCs w:val="24"/>
              </w:rPr>
            </w:pPr>
            <w:r w:rsidRPr="001E7136">
              <w:rPr>
                <w:rFonts w:ascii="Courier New" w:hAnsi="Courier New" w:cs="Courier New"/>
                <w:sz w:val="24"/>
                <w:szCs w:val="24"/>
              </w:rPr>
              <w:t xml:space="preserve">Subject unique identifier </w:t>
            </w:r>
          </w:p>
        </w:tc>
      </w:tr>
      <w:tr w:rsidR="00077D7F" w14:paraId="01D81B36" w14:textId="77777777" w:rsidTr="001E7136">
        <w:tc>
          <w:tcPr>
            <w:tcW w:w="1555" w:type="dxa"/>
          </w:tcPr>
          <w:p w14:paraId="5FF84344" w14:textId="77777777" w:rsidR="00077D7F" w:rsidRPr="001E7136" w:rsidRDefault="00064E56" w:rsidP="00077D7F">
            <w:pPr>
              <w:rPr>
                <w:rFonts w:ascii="Courier New" w:hAnsi="Courier New" w:cs="Courier New"/>
                <w:sz w:val="24"/>
                <w:szCs w:val="24"/>
              </w:rPr>
            </w:pPr>
            <w:r w:rsidRPr="001E7136">
              <w:rPr>
                <w:rFonts w:ascii="Courier New" w:hAnsi="Courier New" w:cs="Courier New"/>
                <w:sz w:val="24"/>
                <w:szCs w:val="24"/>
              </w:rPr>
              <w:t>TRT01PN</w:t>
            </w:r>
          </w:p>
        </w:tc>
        <w:tc>
          <w:tcPr>
            <w:tcW w:w="5953" w:type="dxa"/>
          </w:tcPr>
          <w:p w14:paraId="523978B2" w14:textId="77777777" w:rsidR="00077D7F" w:rsidRPr="001E7136" w:rsidRDefault="00064E56" w:rsidP="00077D7F">
            <w:pPr>
              <w:rPr>
                <w:rFonts w:ascii="Courier New" w:hAnsi="Courier New" w:cs="Courier New"/>
                <w:sz w:val="24"/>
                <w:szCs w:val="24"/>
              </w:rPr>
            </w:pPr>
            <w:r w:rsidRPr="001E7136">
              <w:rPr>
                <w:rFonts w:ascii="Courier New" w:hAnsi="Courier New" w:cs="Courier New"/>
                <w:sz w:val="24"/>
                <w:szCs w:val="24"/>
              </w:rPr>
              <w:t>Treatment group (numeric)</w:t>
            </w:r>
          </w:p>
        </w:tc>
      </w:tr>
      <w:tr w:rsidR="00077D7F" w14:paraId="566FEA33" w14:textId="77777777" w:rsidTr="001E7136">
        <w:tc>
          <w:tcPr>
            <w:tcW w:w="1555" w:type="dxa"/>
          </w:tcPr>
          <w:p w14:paraId="5A989239" w14:textId="77777777" w:rsidR="00077D7F" w:rsidRPr="001E7136" w:rsidRDefault="00064E56" w:rsidP="00077D7F">
            <w:pPr>
              <w:rPr>
                <w:rFonts w:ascii="Courier New" w:hAnsi="Courier New" w:cs="Courier New"/>
                <w:sz w:val="24"/>
                <w:szCs w:val="24"/>
              </w:rPr>
            </w:pPr>
            <w:r w:rsidRPr="001E7136">
              <w:rPr>
                <w:rFonts w:ascii="Courier New" w:hAnsi="Courier New" w:cs="Courier New"/>
                <w:sz w:val="24"/>
                <w:szCs w:val="24"/>
              </w:rPr>
              <w:t>TRT01P</w:t>
            </w:r>
          </w:p>
        </w:tc>
        <w:tc>
          <w:tcPr>
            <w:tcW w:w="5953" w:type="dxa"/>
          </w:tcPr>
          <w:p w14:paraId="2A2E89F9" w14:textId="77777777" w:rsidR="00077D7F" w:rsidRPr="001E7136" w:rsidRDefault="00064E56" w:rsidP="00077D7F">
            <w:pPr>
              <w:rPr>
                <w:rFonts w:ascii="Courier New" w:hAnsi="Courier New" w:cs="Courier New"/>
                <w:sz w:val="24"/>
                <w:szCs w:val="24"/>
              </w:rPr>
            </w:pPr>
            <w:r w:rsidRPr="001E7136">
              <w:rPr>
                <w:rFonts w:ascii="Courier New" w:hAnsi="Courier New" w:cs="Courier New"/>
                <w:sz w:val="24"/>
                <w:szCs w:val="24"/>
              </w:rPr>
              <w:t>Treatment group</w:t>
            </w:r>
          </w:p>
        </w:tc>
      </w:tr>
      <w:tr w:rsidR="00064E56" w14:paraId="64AEFA4B" w14:textId="77777777" w:rsidTr="001E7136">
        <w:tc>
          <w:tcPr>
            <w:tcW w:w="1555" w:type="dxa"/>
          </w:tcPr>
          <w:p w14:paraId="1E789114" w14:textId="77777777" w:rsidR="00064E56" w:rsidRPr="001E7136" w:rsidRDefault="00064E56" w:rsidP="00077D7F">
            <w:pPr>
              <w:rPr>
                <w:rFonts w:ascii="Courier New" w:hAnsi="Courier New" w:cs="Courier New"/>
                <w:sz w:val="24"/>
                <w:szCs w:val="24"/>
              </w:rPr>
            </w:pPr>
            <w:r w:rsidRPr="001E7136">
              <w:rPr>
                <w:rFonts w:ascii="Courier New" w:hAnsi="Courier New" w:cs="Courier New"/>
                <w:sz w:val="24"/>
                <w:szCs w:val="24"/>
              </w:rPr>
              <w:t>AVISITN</w:t>
            </w:r>
          </w:p>
        </w:tc>
        <w:tc>
          <w:tcPr>
            <w:tcW w:w="5953" w:type="dxa"/>
          </w:tcPr>
          <w:p w14:paraId="12626AFC" w14:textId="77777777" w:rsidR="00064E56" w:rsidRPr="001E7136" w:rsidRDefault="00064E56" w:rsidP="00077D7F">
            <w:pPr>
              <w:rPr>
                <w:rFonts w:ascii="Courier New" w:hAnsi="Courier New" w:cs="Courier New"/>
                <w:sz w:val="24"/>
                <w:szCs w:val="24"/>
              </w:rPr>
            </w:pPr>
            <w:r w:rsidRPr="001E7136">
              <w:rPr>
                <w:rFonts w:ascii="Courier New" w:hAnsi="Courier New" w:cs="Courier New"/>
                <w:sz w:val="24"/>
                <w:szCs w:val="24"/>
              </w:rPr>
              <w:t>Visit identifier (numeric)</w:t>
            </w:r>
          </w:p>
        </w:tc>
      </w:tr>
      <w:tr w:rsidR="00064E56" w14:paraId="40281C2A" w14:textId="77777777" w:rsidTr="001E7136">
        <w:tc>
          <w:tcPr>
            <w:tcW w:w="1555" w:type="dxa"/>
          </w:tcPr>
          <w:p w14:paraId="27C50AA8" w14:textId="77777777" w:rsidR="00064E56" w:rsidRPr="001E7136" w:rsidRDefault="00064E56" w:rsidP="00077D7F">
            <w:pPr>
              <w:rPr>
                <w:rFonts w:ascii="Courier New" w:hAnsi="Courier New" w:cs="Courier New"/>
                <w:sz w:val="24"/>
                <w:szCs w:val="24"/>
              </w:rPr>
            </w:pPr>
            <w:r w:rsidRPr="001E7136">
              <w:rPr>
                <w:rFonts w:ascii="Courier New" w:hAnsi="Courier New" w:cs="Courier New"/>
                <w:sz w:val="24"/>
                <w:szCs w:val="24"/>
              </w:rPr>
              <w:t>AVISIT</w:t>
            </w:r>
          </w:p>
        </w:tc>
        <w:tc>
          <w:tcPr>
            <w:tcW w:w="5953" w:type="dxa"/>
          </w:tcPr>
          <w:p w14:paraId="4D3688BA" w14:textId="77777777" w:rsidR="00064E56" w:rsidRPr="001E7136" w:rsidRDefault="0012317B" w:rsidP="00077D7F">
            <w:pPr>
              <w:rPr>
                <w:rFonts w:ascii="Courier New" w:hAnsi="Courier New" w:cs="Courier New"/>
                <w:sz w:val="24"/>
                <w:szCs w:val="24"/>
              </w:rPr>
            </w:pPr>
            <w:r w:rsidRPr="001E7136">
              <w:rPr>
                <w:rFonts w:ascii="Courier New" w:hAnsi="Courier New" w:cs="Courier New"/>
                <w:sz w:val="24"/>
                <w:szCs w:val="24"/>
              </w:rPr>
              <w:t>Visit identifier</w:t>
            </w:r>
          </w:p>
        </w:tc>
      </w:tr>
      <w:tr w:rsidR="00064E56" w14:paraId="7FBCFC74" w14:textId="77777777" w:rsidTr="001E7136">
        <w:tc>
          <w:tcPr>
            <w:tcW w:w="1555" w:type="dxa"/>
          </w:tcPr>
          <w:p w14:paraId="5DCD53DE" w14:textId="77777777" w:rsidR="00064E56" w:rsidRPr="001E7136" w:rsidRDefault="00064E56" w:rsidP="00077D7F">
            <w:pPr>
              <w:rPr>
                <w:rFonts w:ascii="Courier New" w:hAnsi="Courier New" w:cs="Courier New"/>
                <w:sz w:val="24"/>
                <w:szCs w:val="24"/>
              </w:rPr>
            </w:pPr>
            <w:r w:rsidRPr="001E7136">
              <w:rPr>
                <w:rFonts w:ascii="Courier New" w:hAnsi="Courier New" w:cs="Courier New"/>
                <w:sz w:val="24"/>
                <w:szCs w:val="24"/>
              </w:rPr>
              <w:t>AVAL</w:t>
            </w:r>
          </w:p>
        </w:tc>
        <w:tc>
          <w:tcPr>
            <w:tcW w:w="5953" w:type="dxa"/>
          </w:tcPr>
          <w:p w14:paraId="291758F8" w14:textId="77777777" w:rsidR="00064E56" w:rsidRPr="001E7136" w:rsidRDefault="00064E56" w:rsidP="00077D7F">
            <w:pPr>
              <w:rPr>
                <w:rFonts w:ascii="Courier New" w:hAnsi="Courier New" w:cs="Courier New"/>
                <w:sz w:val="24"/>
                <w:szCs w:val="24"/>
              </w:rPr>
            </w:pPr>
            <w:r w:rsidRPr="001E7136">
              <w:rPr>
                <w:rFonts w:ascii="Courier New" w:hAnsi="Courier New" w:cs="Courier New"/>
                <w:sz w:val="24"/>
                <w:szCs w:val="24"/>
              </w:rPr>
              <w:t>Hgb concentration (g/dL)</w:t>
            </w:r>
          </w:p>
        </w:tc>
      </w:tr>
    </w:tbl>
    <w:p w14:paraId="102DF098" w14:textId="77777777" w:rsidR="00077D7F" w:rsidRPr="00077D7F" w:rsidRDefault="00077D7F" w:rsidP="00077D7F"/>
    <w:sectPr w:rsidR="00077D7F" w:rsidRPr="00077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4A"/>
    <w:rsid w:val="000456E8"/>
    <w:rsid w:val="00064E56"/>
    <w:rsid w:val="00077D7F"/>
    <w:rsid w:val="0012317B"/>
    <w:rsid w:val="001E7136"/>
    <w:rsid w:val="00552B0B"/>
    <w:rsid w:val="00775DD9"/>
    <w:rsid w:val="007C3E8F"/>
    <w:rsid w:val="00984FE8"/>
    <w:rsid w:val="00CA61E3"/>
    <w:rsid w:val="00D3671B"/>
    <w:rsid w:val="00E82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7274"/>
  <w15:chartTrackingRefBased/>
  <w15:docId w15:val="{CBFA55EE-935F-430B-8672-E1868076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4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77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0703F99AC3BC40B56718747C28CC51" ma:contentTypeVersion="13" ma:contentTypeDescription="Create a new document." ma:contentTypeScope="" ma:versionID="5fe34416bee8391610c5e8e9658cd61b">
  <xsd:schema xmlns:xsd="http://www.w3.org/2001/XMLSchema" xmlns:xs="http://www.w3.org/2001/XMLSchema" xmlns:p="http://schemas.microsoft.com/office/2006/metadata/properties" xmlns:ns3="2739cbfd-e7ab-41ea-a12c-6707bcf83e13" xmlns:ns4="dc7f2ce7-0fde-4db0-a9c7-97882c4ca2a1" targetNamespace="http://schemas.microsoft.com/office/2006/metadata/properties" ma:root="true" ma:fieldsID="091bdb8dec8a679b83dba909c0165f32" ns3:_="" ns4:_="">
    <xsd:import namespace="2739cbfd-e7ab-41ea-a12c-6707bcf83e13"/>
    <xsd:import namespace="dc7f2ce7-0fde-4db0-a9c7-97882c4ca2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9cbfd-e7ab-41ea-a12c-6707bcf83e1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f2ce7-0fde-4db0-a9c7-97882c4ca2a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7BCE81-0234-4294-84B6-DF175FE4C233}">
  <ds:schemaRefs>
    <ds:schemaRef ds:uri="http://schemas.microsoft.com/sharepoint/v3/contenttype/forms"/>
  </ds:schemaRefs>
</ds:datastoreItem>
</file>

<file path=customXml/itemProps2.xml><?xml version="1.0" encoding="utf-8"?>
<ds:datastoreItem xmlns:ds="http://schemas.openxmlformats.org/officeDocument/2006/customXml" ds:itemID="{AAF5F815-288A-4F95-A720-CC5EAD3E43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9cbfd-e7ab-41ea-a12c-6707bcf83e13"/>
    <ds:schemaRef ds:uri="dc7f2ce7-0fde-4db0-a9c7-97882c4ca2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9575F8-0C2C-4A43-A2E9-F569FFC9F8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Mallett</dc:creator>
  <cp:keywords/>
  <dc:description/>
  <cp:lastModifiedBy>Steve Mallett</cp:lastModifiedBy>
  <cp:revision>4</cp:revision>
  <dcterms:created xsi:type="dcterms:W3CDTF">2020-05-26T09:45:00Z</dcterms:created>
  <dcterms:modified xsi:type="dcterms:W3CDTF">2020-06-03T16:56:00Z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0x010100120703F99AC3BC40B56718747C28CC51</vt:lpwstr>
  </property>
</Properties>
</file>