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E3FC" w14:textId="77777777" w:rsidR="00896781" w:rsidRPr="0033257C" w:rsidRDefault="00000000">
      <w:pPr>
        <w:spacing w:after="22"/>
        <w:rPr>
          <w:sz w:val="20"/>
          <w:szCs w:val="20"/>
        </w:rPr>
      </w:pPr>
      <w:r w:rsidRPr="0033257C">
        <w:rPr>
          <w:b/>
          <w:bCs/>
          <w:color w:val="0F6E5F"/>
          <w:spacing w:val="34"/>
          <w:sz w:val="16"/>
          <w:szCs w:val="16"/>
        </w:rPr>
        <w:t>AI IN MEDICINE  ·  SEMESTER 5  ·  COURSE PROJECT PROPOSAL</w:t>
      </w:r>
    </w:p>
    <w:p w14:paraId="698B2192" w14:textId="2B812319" w:rsidR="00896781" w:rsidRPr="0033257C" w:rsidRDefault="00000000">
      <w:pPr>
        <w:spacing w:after="18"/>
        <w:rPr>
          <w:sz w:val="20"/>
          <w:szCs w:val="20"/>
        </w:rPr>
      </w:pPr>
      <w:r w:rsidRPr="0033257C">
        <w:rPr>
          <w:b/>
          <w:bCs/>
          <w:color w:val="1B2A4A"/>
          <w:sz w:val="32"/>
          <w:szCs w:val="32"/>
        </w:rPr>
        <w:t xml:space="preserve">What Should Adaptive Cancer Therapy </w:t>
      </w:r>
      <w:r w:rsidR="0033257C" w:rsidRPr="0033257C">
        <w:rPr>
          <w:b/>
          <w:bCs/>
          <w:color w:val="1B2A4A"/>
          <w:sz w:val="32"/>
          <w:szCs w:val="32"/>
        </w:rPr>
        <w:t>Optimise</w:t>
      </w:r>
      <w:r w:rsidRPr="0033257C">
        <w:rPr>
          <w:b/>
          <w:bCs/>
          <w:color w:val="1B2A4A"/>
          <w:sz w:val="32"/>
          <w:szCs w:val="32"/>
        </w:rPr>
        <w:t>?</w:t>
      </w:r>
    </w:p>
    <w:p w14:paraId="1993D4F4" w14:textId="77777777" w:rsidR="00896781" w:rsidRPr="0033257C" w:rsidRDefault="00000000">
      <w:pPr>
        <w:spacing w:after="30"/>
        <w:rPr>
          <w:sz w:val="20"/>
          <w:szCs w:val="20"/>
        </w:rPr>
      </w:pPr>
      <w:r w:rsidRPr="0033257C">
        <w:rPr>
          <w:color w:val="5A5A5A"/>
          <w:sz w:val="21"/>
          <w:szCs w:val="21"/>
        </w:rPr>
        <w:t>A controlled cross-evaluation of reinforcement-learning reward objectives</w:t>
      </w:r>
    </w:p>
    <w:p w14:paraId="575D523B" w14:textId="77777777" w:rsidR="00896781" w:rsidRPr="0033257C" w:rsidRDefault="00000000">
      <w:pPr>
        <w:pBdr>
          <w:bottom w:val="single" w:sz="8" w:space="6" w:color="0F6E5F"/>
        </w:pBdr>
        <w:spacing w:after="88"/>
        <w:rPr>
          <w:sz w:val="20"/>
          <w:szCs w:val="20"/>
        </w:rPr>
      </w:pPr>
      <w:r w:rsidRPr="0033257C">
        <w:rPr>
          <w:b/>
          <w:bCs/>
          <w:sz w:val="20"/>
          <w:szCs w:val="20"/>
        </w:rPr>
        <w:t>Arnav Kumar</w:t>
      </w:r>
      <w:r w:rsidRPr="0033257C">
        <w:rPr>
          <w:color w:val="5A5A5A"/>
          <w:sz w:val="20"/>
          <w:szCs w:val="20"/>
        </w:rPr>
        <w:t xml:space="preserve"> MD24B003   ·   </w:t>
      </w:r>
      <w:r w:rsidRPr="0033257C">
        <w:rPr>
          <w:b/>
          <w:bCs/>
          <w:sz w:val="20"/>
          <w:szCs w:val="20"/>
        </w:rPr>
        <w:t xml:space="preserve">Rohit Satish </w:t>
      </w:r>
      <w:proofErr w:type="spellStart"/>
      <w:r w:rsidRPr="0033257C">
        <w:rPr>
          <w:b/>
          <w:bCs/>
          <w:sz w:val="20"/>
          <w:szCs w:val="20"/>
        </w:rPr>
        <w:t>Chipde</w:t>
      </w:r>
      <w:proofErr w:type="spellEnd"/>
      <w:r w:rsidRPr="0033257C">
        <w:rPr>
          <w:color w:val="5A5A5A"/>
          <w:sz w:val="20"/>
          <w:szCs w:val="20"/>
        </w:rPr>
        <w:t xml:space="preserve"> MD24B026   ·   Dept. of Medical Sciences &amp; Technology, IIT Madras</w:t>
      </w:r>
    </w:p>
    <w:p w14:paraId="3228871D" w14:textId="0F2BAAD7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1. </w:t>
      </w:r>
      <w:r w:rsidRPr="0033257C">
        <w:rPr>
          <w:b/>
          <w:bCs/>
          <w:color w:val="1B2A4A"/>
          <w:sz w:val="20"/>
          <w:szCs w:val="20"/>
        </w:rPr>
        <w:t xml:space="preserve">Clinical problem.  </w:t>
      </w:r>
      <w:r w:rsidRPr="0033257C">
        <w:rPr>
          <w:sz w:val="20"/>
          <w:szCs w:val="20"/>
        </w:rPr>
        <w:t xml:space="preserve">Continuous maximum-tolerated-dose therapy kills drug-sensitive cells quickly and, in clearing them, releases a pre-existing resistant clone from competition </w:t>
      </w:r>
      <w:r w:rsidR="0033257C">
        <w:rPr>
          <w:sz w:val="20"/>
          <w:szCs w:val="20"/>
        </w:rPr>
        <w:t>-</w:t>
      </w:r>
      <w:r w:rsidRPr="0033257C">
        <w:rPr>
          <w:sz w:val="20"/>
          <w:szCs w:val="20"/>
        </w:rPr>
        <w:t xml:space="preserve"> competitive release, the dominant failure mode of systemic therapy. Adaptive therapy instead withdraws </w:t>
      </w:r>
      <w:r w:rsidR="0033257C" w:rsidRPr="0033257C">
        <w:rPr>
          <w:sz w:val="20"/>
          <w:szCs w:val="20"/>
        </w:rPr>
        <w:t xml:space="preserve">the drug once the </w:t>
      </w:r>
      <w:r w:rsidRPr="0033257C">
        <w:rPr>
          <w:sz w:val="20"/>
          <w:szCs w:val="20"/>
        </w:rPr>
        <w:t xml:space="preserve">burden falls, retaining sensitive cells to competitively suppress resistance, containing the tumour rather than racing to eradicate it. A prospective pilot in metastatic castrate-resistant prostate cancer achieved substantially longer time to progression on roughly half the cumulative abiraterone dose (Zhang 2017; </w:t>
      </w:r>
      <w:proofErr w:type="spellStart"/>
      <w:r w:rsidRPr="0033257C">
        <w:rPr>
          <w:sz w:val="20"/>
          <w:szCs w:val="20"/>
        </w:rPr>
        <w:t>eLife</w:t>
      </w:r>
      <w:proofErr w:type="spellEnd"/>
      <w:r w:rsidRPr="0033257C">
        <w:rPr>
          <w:sz w:val="20"/>
          <w:szCs w:val="20"/>
        </w:rPr>
        <w:t xml:space="preserve"> 2022).</w:t>
      </w:r>
    </w:p>
    <w:p w14:paraId="57D429AB" w14:textId="637AC803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2. </w:t>
      </w:r>
      <w:r w:rsidRPr="0033257C">
        <w:rPr>
          <w:b/>
          <w:bCs/>
          <w:color w:val="1B2A4A"/>
          <w:sz w:val="20"/>
          <w:szCs w:val="20"/>
        </w:rPr>
        <w:t xml:space="preserve">Research problem.  </w:t>
      </w:r>
      <w:r w:rsidRPr="0033257C">
        <w:rPr>
          <w:sz w:val="20"/>
          <w:szCs w:val="20"/>
        </w:rPr>
        <w:t xml:space="preserve">Six published studies each optimise a different reward objective </w:t>
      </w:r>
      <w:r w:rsidR="0033257C" w:rsidRPr="0033257C">
        <w:rPr>
          <w:sz w:val="20"/>
          <w:szCs w:val="20"/>
        </w:rPr>
        <w:t>-</w:t>
      </w:r>
      <w:r w:rsidRPr="0033257C">
        <w:rPr>
          <w:sz w:val="20"/>
          <w:szCs w:val="20"/>
        </w:rPr>
        <w:t xml:space="preserve"> survival with drug holidays, dose and duration, coexistence, durability, inverse fitness </w:t>
      </w:r>
      <w:r w:rsidR="0033257C" w:rsidRPr="0033257C">
        <w:rPr>
          <w:sz w:val="20"/>
          <w:szCs w:val="20"/>
        </w:rPr>
        <w:t>-</w:t>
      </w:r>
      <w:r w:rsidRPr="0033257C">
        <w:rPr>
          <w:sz w:val="20"/>
          <w:szCs w:val="20"/>
        </w:rPr>
        <w:t xml:space="preserve"> each in its own simulator, and none compares its objective against another. We ask: </w:t>
      </w:r>
      <w:r w:rsidRPr="0033257C">
        <w:rPr>
          <w:b/>
          <w:bCs/>
          <w:sz w:val="20"/>
          <w:szCs w:val="20"/>
        </w:rPr>
        <w:t>does the choice of reward objective change the treatment policy, and if so</w:t>
      </w:r>
      <w:r w:rsidR="0033257C" w:rsidRPr="0033257C">
        <w:rPr>
          <w:b/>
          <w:bCs/>
          <w:sz w:val="20"/>
          <w:szCs w:val="20"/>
        </w:rPr>
        <w:t>,</w:t>
      </w:r>
      <w:r w:rsidRPr="0033257C">
        <w:rPr>
          <w:b/>
          <w:bCs/>
          <w:sz w:val="20"/>
          <w:szCs w:val="20"/>
        </w:rPr>
        <w:t xml:space="preserve"> by how much and at what cost on the objectives it was not trained for?</w:t>
      </w:r>
    </w:p>
    <w:p w14:paraId="014F5F90" w14:textId="1945AAE3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3. </w:t>
      </w:r>
      <w:r w:rsidRPr="0033257C">
        <w:rPr>
          <w:b/>
          <w:bCs/>
          <w:color w:val="1B2A4A"/>
          <w:sz w:val="20"/>
          <w:szCs w:val="20"/>
        </w:rPr>
        <w:t xml:space="preserve">Why it matters.  </w:t>
      </w:r>
      <w:r w:rsidRPr="0033257C">
        <w:rPr>
          <w:sz w:val="20"/>
          <w:szCs w:val="20"/>
        </w:rPr>
        <w:t>If the objectives converge, the field’s reward-design debate is decorative</w:t>
      </w:r>
      <w:r w:rsidR="0033257C">
        <w:rPr>
          <w:sz w:val="20"/>
          <w:szCs w:val="20"/>
        </w:rPr>
        <w:t>,</w:t>
      </w:r>
      <w:r w:rsidRPr="0033257C">
        <w:rPr>
          <w:sz w:val="20"/>
          <w:szCs w:val="20"/>
        </w:rPr>
        <w:t xml:space="preserve"> and effort belongs on environment realism. If they diverge, a clinician must know which objective a published policy optimised before trusting it, and that off-diagonal penalty is what no single-objective paper can produce. This is a comparative contribution; PPO is the instrument, not the novelty claim.</w:t>
      </w:r>
    </w:p>
    <w:p w14:paraId="0FFF0927" w14:textId="79637453" w:rsidR="00896781" w:rsidRPr="0033257C" w:rsidRDefault="00000000" w:rsidP="00386E29">
      <w:pPr>
        <w:spacing w:before="240" w:line="198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4. </w:t>
      </w:r>
      <w:r w:rsidRPr="0033257C">
        <w:rPr>
          <w:b/>
          <w:bCs/>
          <w:color w:val="1B2A4A"/>
          <w:sz w:val="20"/>
          <w:szCs w:val="20"/>
        </w:rPr>
        <w:t xml:space="preserve">Environment.  </w:t>
      </w:r>
      <w:r w:rsidRPr="0033257C">
        <w:rPr>
          <w:sz w:val="20"/>
          <w:szCs w:val="20"/>
        </w:rPr>
        <w:t>No real patient data is used. We adopt the Strobl (2021) two-population Lotka–Volterra model with turnover a</w:t>
      </w:r>
      <w:r w:rsidR="00386E29">
        <w:rPr>
          <w:sz w:val="20"/>
          <w:szCs w:val="20"/>
        </w:rPr>
        <w:t xml:space="preserve">s </w:t>
      </w:r>
      <w:r w:rsidRPr="0033257C">
        <w:rPr>
          <w:sz w:val="20"/>
          <w:szCs w:val="20"/>
        </w:rPr>
        <w:t>Gallagher (2023) writes it, fitted to 67 patients and already shared by four RL studies:</w:t>
      </w:r>
      <w:r w:rsidR="00386E29">
        <w:rPr>
          <w:sz w:val="20"/>
          <w:szCs w:val="20"/>
        </w:rPr>
        <w:br/>
      </w:r>
      <m:oMathPara>
        <m:oMath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dS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S+R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S</m:t>
          </m:r>
          <m:r>
            <w:rPr>
              <w:rFonts w:ascii="Cambria Math" w:hAnsi="Cambria Math"/>
              <w:i/>
              <w:sz w:val="20"/>
              <w:szCs w:val="20"/>
            </w:rPr>
            <m:t> 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dR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R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S+R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R</m:t>
          </m:r>
          <m:r>
            <w:rPr>
              <w:rFonts w:ascii="Cambria Math" w:hAnsi="Cambria Math"/>
              <w:i/>
              <w:sz w:val="20"/>
              <w:szCs w:val="20"/>
            </w:rPr>
            <m:t> </m:t>
          </m:r>
          <m:r>
            <m:rPr>
              <m:nor/>
            </m:rPr>
            <w:rPr>
              <w:sz w:val="20"/>
              <w:szCs w:val="20"/>
            </w:rPr>
            <m:t>Prog.: </m:t>
          </m:r>
          <m:r>
            <w:rPr>
              <w:rFonts w:ascii="Cambria Math" w:hAnsi="Cambria Math"/>
              <w:sz w:val="20"/>
              <w:szCs w:val="20"/>
            </w:rPr>
            <m:t>N≥1.2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460ED37E" w14:textId="77729494" w:rsidR="00896781" w:rsidRPr="0033257C" w:rsidRDefault="00386E29">
      <w:pPr>
        <w:spacing w:after="40" w:line="201" w:lineRule="auto"/>
        <w:jc w:val="both"/>
        <w:rPr>
          <w:sz w:val="20"/>
          <w:szCs w:val="20"/>
        </w:rPr>
      </w:pPr>
      <w:r>
        <w:rPr>
          <w:sz w:val="20"/>
          <w:szCs w:val="20"/>
        </w:rPr>
        <w:br/>
      </w:r>
      <w:r w:rsidR="00000000" w:rsidRPr="0033257C">
        <w:rPr>
          <w:sz w:val="20"/>
          <w:szCs w:val="20"/>
        </w:rPr>
        <w:t xml:space="preserve">with </w:t>
      </w:r>
      <w:proofErr w:type="spellStart"/>
      <w:r w:rsidR="00000000" w:rsidRPr="0033257C">
        <w:rPr>
          <w:sz w:val="20"/>
          <w:szCs w:val="20"/>
        </w:rPr>
        <w:t>r</w:t>
      </w:r>
      <w:r w:rsidR="00000000" w:rsidRPr="0033257C">
        <w:rPr>
          <w:sz w:val="20"/>
          <w:szCs w:val="20"/>
          <w:vertAlign w:val="subscript"/>
        </w:rPr>
        <w:t>S</w:t>
      </w:r>
      <w:proofErr w:type="spellEnd"/>
      <w:r w:rsidR="00000000" w:rsidRPr="0033257C">
        <w:rPr>
          <w:sz w:val="20"/>
          <w:szCs w:val="20"/>
        </w:rPr>
        <w:t xml:space="preserve"> = 0.027/day, </w:t>
      </w:r>
      <w:proofErr w:type="spellStart"/>
      <w:r w:rsidR="00000000" w:rsidRPr="0033257C">
        <w:rPr>
          <w:sz w:val="20"/>
          <w:szCs w:val="20"/>
        </w:rPr>
        <w:t>d̂</w:t>
      </w:r>
      <w:r w:rsidR="00000000" w:rsidRPr="0033257C">
        <w:rPr>
          <w:sz w:val="20"/>
          <w:szCs w:val="20"/>
          <w:vertAlign w:val="subscript"/>
        </w:rPr>
        <w:t>D</w:t>
      </w:r>
      <w:proofErr w:type="spellEnd"/>
      <w:r w:rsidR="00000000" w:rsidRPr="0033257C">
        <w:rPr>
          <w:sz w:val="20"/>
          <w:szCs w:val="20"/>
        </w:rPr>
        <w:t xml:space="preserve"> = 1.5, K = 1, n</w:t>
      </w:r>
      <w:r w:rsidR="00000000" w:rsidRPr="0033257C">
        <w:rPr>
          <w:sz w:val="20"/>
          <w:szCs w:val="20"/>
          <w:vertAlign w:val="subscript"/>
        </w:rPr>
        <w:t>0</w:t>
      </w:r>
      <w:r w:rsidR="00000000" w:rsidRPr="0033257C">
        <w:rPr>
          <w:sz w:val="20"/>
          <w:szCs w:val="20"/>
        </w:rPr>
        <w:t xml:space="preserve"> = 0.75, </w:t>
      </w:r>
      <w:proofErr w:type="spellStart"/>
      <w:r w:rsidR="00000000" w:rsidRPr="0033257C">
        <w:rPr>
          <w:sz w:val="20"/>
          <w:szCs w:val="20"/>
        </w:rPr>
        <w:t>f</w:t>
      </w:r>
      <w:r w:rsidR="00000000" w:rsidRPr="0033257C">
        <w:rPr>
          <w:sz w:val="20"/>
          <w:szCs w:val="20"/>
          <w:vertAlign w:val="subscript"/>
        </w:rPr>
        <w:t>R</w:t>
      </w:r>
      <w:proofErr w:type="spellEnd"/>
      <w:r w:rsidR="00000000" w:rsidRPr="0033257C">
        <w:rPr>
          <w:sz w:val="20"/>
          <w:szCs w:val="20"/>
        </w:rPr>
        <w:t xml:space="preserve"> = 0.01.</w:t>
      </w:r>
    </w:p>
    <w:tbl>
      <w:tblPr>
        <w:tblW w:w="1051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4"/>
        <w:gridCol w:w="5588"/>
      </w:tblGrid>
      <w:tr w:rsidR="00896781" w:rsidRPr="0033257C" w14:paraId="339BDE1A" w14:textId="77777777">
        <w:tblPrEx>
          <w:tblCellMar>
            <w:top w:w="0" w:type="dxa"/>
            <w:bottom w:w="0" w:type="dxa"/>
          </w:tblCellMar>
        </w:tblPrEx>
        <w:tc>
          <w:tcPr>
            <w:tcW w:w="4924" w:type="dxa"/>
            <w:tcMar>
              <w:top w:w="0" w:type="dxa"/>
              <w:left w:w="0" w:type="dxa"/>
              <w:bottom w:w="0" w:type="dxa"/>
              <w:right w:w="110" w:type="dxa"/>
            </w:tcMar>
          </w:tcPr>
          <w:p w14:paraId="41D456B3" w14:textId="77777777" w:rsidR="00896781" w:rsidRPr="0033257C" w:rsidRDefault="00000000">
            <w:pPr>
              <w:spacing w:after="26"/>
              <w:rPr>
                <w:sz w:val="20"/>
                <w:szCs w:val="20"/>
              </w:rPr>
            </w:pPr>
            <w:r w:rsidRPr="0033257C">
              <w:rPr>
                <w:noProof/>
                <w:sz w:val="20"/>
                <w:szCs w:val="20"/>
              </w:rPr>
              <w:drawing>
                <wp:inline distT="0" distB="0" distL="0" distR="0" wp14:anchorId="7D5053D2" wp14:editId="0DAC8A37">
                  <wp:extent cx="1876425" cy="1190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E746" w14:textId="77777777" w:rsidR="00896781" w:rsidRPr="0033257C" w:rsidRDefault="00000000">
            <w:pPr>
              <w:spacing w:line="186" w:lineRule="auto"/>
              <w:rPr>
                <w:sz w:val="20"/>
                <w:szCs w:val="20"/>
              </w:rPr>
            </w:pPr>
            <w:r w:rsidRPr="0033257C">
              <w:rPr>
                <w:i/>
                <w:iCs/>
                <w:color w:val="5A5A5A"/>
                <w:sz w:val="16"/>
                <w:szCs w:val="16"/>
              </w:rPr>
              <w:t>Adaptive (solid) vs. continuous (dashed) therapy, across increasing turnover (left to right) and cost of resistance (top to bottom). From Gallagher et al., bioRxiv 2023.04.28.538766, CC BY-NC 4.0.</w:t>
            </w:r>
          </w:p>
        </w:tc>
        <w:tc>
          <w:tcPr>
            <w:tcW w:w="5588" w:type="dxa"/>
            <w:tcMar>
              <w:top w:w="0" w:type="dxa"/>
              <w:left w:w="110" w:type="dxa"/>
              <w:bottom w:w="0" w:type="dxa"/>
              <w:right w:w="0" w:type="dxa"/>
            </w:tcMar>
          </w:tcPr>
          <w:p w14:paraId="78CB1E86" w14:textId="09214BA0" w:rsidR="00896781" w:rsidRPr="00386E29" w:rsidRDefault="00000000">
            <w:pPr>
              <w:spacing w:after="40" w:line="201" w:lineRule="auto"/>
              <w:jc w:val="both"/>
              <w:rPr>
                <w:sz w:val="18"/>
                <w:szCs w:val="18"/>
              </w:rPr>
            </w:pPr>
            <w:r w:rsidRPr="00386E29">
              <w:rPr>
                <w:sz w:val="18"/>
                <w:szCs w:val="18"/>
              </w:rPr>
              <w:t>The environment is specified in two tiers. E-base is fully observed, deterministic and binary-action. E-</w:t>
            </w:r>
            <w:proofErr w:type="spellStart"/>
            <w:r w:rsidRPr="00386E29">
              <w:rPr>
                <w:sz w:val="18"/>
                <w:szCs w:val="18"/>
              </w:rPr>
              <w:t>ext</w:t>
            </w:r>
            <w:proofErr w:type="spellEnd"/>
            <w:r w:rsidRPr="00386E29">
              <w:rPr>
                <w:sz w:val="18"/>
                <w:szCs w:val="18"/>
              </w:rPr>
              <w:t xml:space="preserve"> adds graded dosing (0, ½, full), observation only every 28 days with measurement noise, and a patient </w:t>
            </w:r>
            <w:r w:rsidR="0033257C" w:rsidRPr="00386E29">
              <w:rPr>
                <w:sz w:val="18"/>
                <w:szCs w:val="18"/>
              </w:rPr>
              <w:t>for whom the</w:t>
            </w:r>
            <w:r w:rsidRPr="00386E29">
              <w:rPr>
                <w:sz w:val="18"/>
                <w:szCs w:val="18"/>
              </w:rPr>
              <w:t xml:space="preserve"> cost of resistance and turnover are unknown to the agent.</w:t>
            </w:r>
          </w:p>
          <w:p w14:paraId="235F006E" w14:textId="1AE56595" w:rsidR="00896781" w:rsidRPr="00386E29" w:rsidRDefault="00000000">
            <w:pPr>
              <w:spacing w:after="40" w:line="201" w:lineRule="auto"/>
              <w:jc w:val="both"/>
              <w:rPr>
                <w:sz w:val="18"/>
                <w:szCs w:val="18"/>
              </w:rPr>
            </w:pPr>
            <w:r w:rsidRPr="00386E29">
              <w:rPr>
                <w:sz w:val="18"/>
                <w:szCs w:val="18"/>
              </w:rPr>
              <w:t xml:space="preserve">Training uses a 3 × 3 virtual cohort </w:t>
            </w:r>
            <w:r w:rsidR="0033257C" w:rsidRPr="00386E29">
              <w:rPr>
                <w:sz w:val="18"/>
                <w:szCs w:val="18"/>
              </w:rPr>
              <w:t>with costs {0.10, 0.26, 0.42} and turnovers</w:t>
            </w:r>
            <w:r w:rsidRPr="00386E29">
              <w:rPr>
                <w:sz w:val="18"/>
                <w:szCs w:val="18"/>
              </w:rPr>
              <w:t xml:space="preserve"> {0.01, 0.03, 0.05}, not a single patient. The figure is why: whether adaptive therapy helps at all, and by how much, depends on where the patient sits in that plane.</w:t>
            </w:r>
          </w:p>
          <w:p w14:paraId="0EA03848" w14:textId="3E6E5048" w:rsidR="00896781" w:rsidRPr="00386E29" w:rsidRDefault="00000000">
            <w:pPr>
              <w:spacing w:line="201" w:lineRule="auto"/>
              <w:jc w:val="both"/>
              <w:rPr>
                <w:sz w:val="18"/>
                <w:szCs w:val="18"/>
              </w:rPr>
            </w:pPr>
            <w:r w:rsidRPr="00386E29">
              <w:rPr>
                <w:sz w:val="18"/>
                <w:szCs w:val="18"/>
              </w:rPr>
              <w:t xml:space="preserve">A policy </w:t>
            </w:r>
            <w:r w:rsidR="0033257C" w:rsidRPr="00386E29">
              <w:rPr>
                <w:sz w:val="18"/>
                <w:szCs w:val="18"/>
              </w:rPr>
              <w:t>-</w:t>
            </w:r>
            <w:r w:rsidRPr="00386E29">
              <w:rPr>
                <w:sz w:val="18"/>
                <w:szCs w:val="18"/>
              </w:rPr>
              <w:t xml:space="preserve"> and a comparison </w:t>
            </w:r>
            <w:r w:rsidR="0033257C" w:rsidRPr="00386E29">
              <w:rPr>
                <w:sz w:val="18"/>
                <w:szCs w:val="18"/>
              </w:rPr>
              <w:t>of objectives - is reported for one patient, and nothing in the results indicates</w:t>
            </w:r>
            <w:r w:rsidRPr="00386E29">
              <w:rPr>
                <w:sz w:val="18"/>
                <w:szCs w:val="18"/>
              </w:rPr>
              <w:t xml:space="preserve"> which panel the next patient occupies.</w:t>
            </w:r>
          </w:p>
        </w:tc>
      </w:tr>
    </w:tbl>
    <w:p w14:paraId="22DAA0B7" w14:textId="290AAA1B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5. </w:t>
      </w:r>
      <w:r w:rsidRPr="0033257C">
        <w:rPr>
          <w:b/>
          <w:bCs/>
          <w:color w:val="1B2A4A"/>
          <w:sz w:val="20"/>
          <w:szCs w:val="20"/>
        </w:rPr>
        <w:t xml:space="preserve">AI task, and why reinforcement learning.  </w:t>
      </w:r>
      <w:r w:rsidRPr="0033257C">
        <w:rPr>
          <w:sz w:val="20"/>
          <w:szCs w:val="20"/>
        </w:rPr>
        <w:t>Sequential decision-making under a partially observed Markov decision process; the reward function is the variable under study. On E-base, value iteration returns the exact optimum, so we use it as a per-objective optimality ceiling rather than a competitor — the claim becomes “reached 96% of the computable optimum for its own objective”, not “beat AT50”. On E-</w:t>
      </w:r>
      <w:proofErr w:type="spellStart"/>
      <w:r w:rsidRPr="0033257C">
        <w:rPr>
          <w:sz w:val="20"/>
          <w:szCs w:val="20"/>
        </w:rPr>
        <w:t>ext</w:t>
      </w:r>
      <w:proofErr w:type="spellEnd"/>
      <w:r w:rsidR="0033257C" w:rsidRPr="0033257C">
        <w:rPr>
          <w:sz w:val="20"/>
          <w:szCs w:val="20"/>
        </w:rPr>
        <w:t>,</w:t>
      </w:r>
      <w:r w:rsidRPr="0033257C">
        <w:rPr>
          <w:sz w:val="20"/>
          <w:szCs w:val="20"/>
        </w:rPr>
        <w:t xml:space="preserve"> the agent acts on a belief over unknown patient parameters, where exact dynamic programming is intractable and recurrent PPO is the available instrument. Progression is checked at every integration step, not only at decision points.</w:t>
      </w:r>
    </w:p>
    <w:p w14:paraId="38545ED4" w14:textId="0CF63BBC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6. </w:t>
      </w:r>
      <w:r w:rsidRPr="0033257C">
        <w:rPr>
          <w:b/>
          <w:bCs/>
          <w:color w:val="1B2A4A"/>
          <w:sz w:val="20"/>
          <w:szCs w:val="20"/>
        </w:rPr>
        <w:t xml:space="preserve">Objectives compared.  </w:t>
      </w:r>
      <w:r w:rsidRPr="0033257C">
        <w:rPr>
          <w:sz w:val="20"/>
          <w:szCs w:val="20"/>
        </w:rPr>
        <w:t xml:space="preserve">R1 (Gallagher 2023/24, the field default): +0.1 per timestep survived, +0.05 per timestep off treatment, −0.1 on progression, γ = 0.999. R4 (Yao 2024, durability): the same survival and progression terms, with a terminal penalty on resistant regrowth over a 180-day simulated withdrawal. </w:t>
      </w:r>
      <w:r w:rsidRPr="0033257C">
        <w:rPr>
          <w:b/>
          <w:bCs/>
          <w:sz w:val="20"/>
          <w:szCs w:val="20"/>
        </w:rPr>
        <w:t>The two share every term but the third, which isolates the variable under study</w:t>
      </w:r>
      <w:r w:rsidRPr="0033257C">
        <w:rPr>
          <w:sz w:val="20"/>
          <w:szCs w:val="20"/>
        </w:rPr>
        <w:t>. A faithful entropy/coexistence port was rejected as the second arm: on two populations</w:t>
      </w:r>
      <w:r w:rsidR="0033257C" w:rsidRPr="0033257C">
        <w:rPr>
          <w:sz w:val="20"/>
          <w:szCs w:val="20"/>
        </w:rPr>
        <w:t>,</w:t>
      </w:r>
      <w:r w:rsidRPr="0033257C">
        <w:rPr>
          <w:sz w:val="20"/>
          <w:szCs w:val="20"/>
        </w:rPr>
        <w:t xml:space="preserve"> its maximum sits at 50% resistance, so divergence would be guaranteed by a porting artefact.</w:t>
      </w:r>
    </w:p>
    <w:p w14:paraId="17C6B665" w14:textId="77777777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7. </w:t>
      </w:r>
      <w:r w:rsidRPr="0033257C">
        <w:rPr>
          <w:b/>
          <w:bCs/>
          <w:color w:val="1B2A4A"/>
          <w:sz w:val="20"/>
          <w:szCs w:val="20"/>
        </w:rPr>
        <w:t xml:space="preserve">Baselines and benchmark.  </w:t>
      </w:r>
      <w:r w:rsidRPr="0033257C">
        <w:rPr>
          <w:sz w:val="20"/>
          <w:szCs w:val="20"/>
        </w:rPr>
        <w:t>No treatment, continuous MTD, AT50, a tuned AT-x sweep over {25, 50, 75, 90}%, fixed 30/30 intermittent, AT-PSC (Ma 2026), and the per-objective value-iteration ceiling — beating MTD is necessary but not sufficient. Our re-implementation already yields 454 days for continuous therapy against a published 451, and 706 against 672 for AT50; Experiment 0 closes the residual gap against published parameters, not by tuning.</w:t>
      </w:r>
    </w:p>
    <w:p w14:paraId="3D501031" w14:textId="0194A2B9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8. </w:t>
      </w:r>
      <w:r w:rsidRPr="0033257C">
        <w:rPr>
          <w:b/>
          <w:bCs/>
          <w:color w:val="1B2A4A"/>
          <w:sz w:val="20"/>
          <w:szCs w:val="20"/>
        </w:rPr>
        <w:t xml:space="preserve">Evaluation.  </w:t>
      </w:r>
      <w:r w:rsidRPr="0033257C">
        <w:rPr>
          <w:sz w:val="20"/>
          <w:szCs w:val="20"/>
        </w:rPr>
        <w:t>Time to progression, cumulative dose, mean and terminal resistant fraction, post-withdrawal regrowth and maximum burden, with every agent scored on every metric — the diagonal is circular by construction</w:t>
      </w:r>
      <w:r w:rsidR="0033257C" w:rsidRPr="0033257C">
        <w:rPr>
          <w:sz w:val="20"/>
          <w:szCs w:val="20"/>
        </w:rPr>
        <w:t>,</w:t>
      </w:r>
      <w:r w:rsidRPr="0033257C">
        <w:rPr>
          <w:sz w:val="20"/>
          <w:szCs w:val="20"/>
        </w:rPr>
        <w:t xml:space="preserve"> and the content lies off it. Two policy-space measures </w:t>
      </w:r>
      <w:r w:rsidR="0033257C" w:rsidRPr="0033257C">
        <w:rPr>
          <w:sz w:val="20"/>
          <w:szCs w:val="20"/>
        </w:rPr>
        <w:t xml:space="preserve">support the divergence claim, since outcomes can coincide while policies differ: the switching threshold N* from a sigmoid fit to P(treat) versus burden, and the </w:t>
      </w:r>
      <w:r w:rsidRPr="0033257C">
        <w:rPr>
          <w:sz w:val="20"/>
          <w:szCs w:val="20"/>
        </w:rPr>
        <w:t>pairwise KL divergence between state–action distributions. Median and the full seed distribution are reported, never the mean alone; pre-registered, a difference is claimed only if it exceeds the within-objective seed spread.</w:t>
      </w:r>
    </w:p>
    <w:p w14:paraId="4389F6ED" w14:textId="0BB0947A" w:rsidR="00896781" w:rsidRPr="0033257C" w:rsidRDefault="00000000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0F6E5F"/>
          <w:sz w:val="20"/>
          <w:szCs w:val="20"/>
        </w:rPr>
        <w:t xml:space="preserve">9. </w:t>
      </w:r>
      <w:r w:rsidRPr="0033257C">
        <w:rPr>
          <w:b/>
          <w:bCs/>
          <w:color w:val="1B2A4A"/>
          <w:sz w:val="20"/>
          <w:szCs w:val="20"/>
        </w:rPr>
        <w:t xml:space="preserve">Outcomes, risks and limitations.  </w:t>
      </w:r>
      <w:r w:rsidRPr="0033257C">
        <w:rPr>
          <w:sz w:val="20"/>
          <w:szCs w:val="20"/>
        </w:rPr>
        <w:t>Deliverables are a quantified answer in either direction, a correctness-verified two-tier environment with computed ceilings, and a reproducible cross-evaluation pipeline; a null result is reported as the finding</w:t>
      </w:r>
      <w:r w:rsidR="0033257C" w:rsidRPr="0033257C">
        <w:rPr>
          <w:sz w:val="20"/>
          <w:szCs w:val="20"/>
        </w:rPr>
        <w:t xml:space="preserve"> rather than</w:t>
      </w:r>
      <w:r w:rsidRPr="0033257C">
        <w:rPr>
          <w:sz w:val="20"/>
          <w:szCs w:val="20"/>
        </w:rPr>
        <w:t xml:space="preserve"> buried. Risks carry fallbacks: the benchmark parameters and the Yao reward form are retrieved in Week 1, both currently unverified, and a factor-of-two discrepancy in the drug term has already been caught. We claim no clinical applicability — simulation only, two objectives of at least four, no spatial structure or pharmacokinetics.</w:t>
      </w:r>
    </w:p>
    <w:p w14:paraId="2BB296CF" w14:textId="6610304E" w:rsidR="00896781" w:rsidRPr="0033257C" w:rsidRDefault="00000000" w:rsidP="0033257C">
      <w:pPr>
        <w:spacing w:after="46" w:line="201" w:lineRule="auto"/>
        <w:jc w:val="both"/>
        <w:rPr>
          <w:sz w:val="20"/>
          <w:szCs w:val="20"/>
        </w:rPr>
      </w:pPr>
      <w:r w:rsidRPr="0033257C">
        <w:rPr>
          <w:b/>
          <w:bCs/>
          <w:color w:val="1B2A4A"/>
          <w:sz w:val="16"/>
          <w:szCs w:val="16"/>
        </w:rPr>
        <w:t xml:space="preserve">References.  </w:t>
      </w:r>
      <w:r w:rsidRPr="0033257C">
        <w:rPr>
          <w:color w:val="5A5A5A"/>
          <w:sz w:val="16"/>
          <w:szCs w:val="16"/>
        </w:rPr>
        <w:t xml:space="preserve">Zhang, Nat. Commun. 2017;8:1816 and </w:t>
      </w:r>
      <w:proofErr w:type="spellStart"/>
      <w:r w:rsidRPr="0033257C">
        <w:rPr>
          <w:color w:val="5A5A5A"/>
          <w:sz w:val="16"/>
          <w:szCs w:val="16"/>
        </w:rPr>
        <w:t>eLife</w:t>
      </w:r>
      <w:proofErr w:type="spellEnd"/>
      <w:r w:rsidRPr="0033257C">
        <w:rPr>
          <w:color w:val="5A5A5A"/>
          <w:sz w:val="16"/>
          <w:szCs w:val="16"/>
        </w:rPr>
        <w:t xml:space="preserve"> 2022;11:e76284. Strobl, Cancer Res. 2021;81(4):1135. Gallagher, bioRxiv 2023.04.28.538766 and Cancer Res. 2024. Gluzman, Proc. R. Soc. B 2020;287:20192454. Phys. Rev. E 2026;113:064404. Yao, Brief. </w:t>
      </w:r>
      <w:proofErr w:type="spellStart"/>
      <w:r w:rsidRPr="0033257C">
        <w:rPr>
          <w:color w:val="5A5A5A"/>
          <w:sz w:val="16"/>
          <w:szCs w:val="16"/>
        </w:rPr>
        <w:t>Bioinform</w:t>
      </w:r>
      <w:proofErr w:type="spellEnd"/>
      <w:r w:rsidRPr="0033257C">
        <w:rPr>
          <w:color w:val="5A5A5A"/>
          <w:sz w:val="16"/>
          <w:szCs w:val="16"/>
        </w:rPr>
        <w:t xml:space="preserve">. 2024 and Ma, PLOS </w:t>
      </w:r>
      <w:proofErr w:type="spellStart"/>
      <w:r w:rsidRPr="0033257C">
        <w:rPr>
          <w:color w:val="5A5A5A"/>
          <w:sz w:val="16"/>
          <w:szCs w:val="16"/>
        </w:rPr>
        <w:t>Comput</w:t>
      </w:r>
      <w:proofErr w:type="spellEnd"/>
      <w:r w:rsidRPr="0033257C">
        <w:rPr>
          <w:color w:val="5A5A5A"/>
          <w:sz w:val="16"/>
          <w:szCs w:val="16"/>
        </w:rPr>
        <w:t>. Biol. 2026 — to be verified in Week 1.</w:t>
      </w:r>
    </w:p>
    <w:sectPr w:rsidR="00896781" w:rsidRPr="0033257C">
      <w:pgSz w:w="12240" w:h="15840"/>
      <w:pgMar w:top="864" w:right="864" w:bottom="70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57A29"/>
    <w:multiLevelType w:val="hybridMultilevel"/>
    <w:tmpl w:val="4C909884"/>
    <w:lvl w:ilvl="0" w:tplc="6FD24E84">
      <w:start w:val="1"/>
      <w:numFmt w:val="bullet"/>
      <w:lvlText w:val="●"/>
      <w:lvlJc w:val="left"/>
      <w:pPr>
        <w:ind w:left="720" w:hanging="360"/>
      </w:pPr>
    </w:lvl>
    <w:lvl w:ilvl="1" w:tplc="A044DCEC">
      <w:start w:val="1"/>
      <w:numFmt w:val="bullet"/>
      <w:lvlText w:val="○"/>
      <w:lvlJc w:val="left"/>
      <w:pPr>
        <w:ind w:left="1440" w:hanging="360"/>
      </w:pPr>
    </w:lvl>
    <w:lvl w:ilvl="2" w:tplc="F050D156">
      <w:start w:val="1"/>
      <w:numFmt w:val="bullet"/>
      <w:lvlText w:val="■"/>
      <w:lvlJc w:val="left"/>
      <w:pPr>
        <w:ind w:left="2160" w:hanging="360"/>
      </w:pPr>
    </w:lvl>
    <w:lvl w:ilvl="3" w:tplc="8180A9AE">
      <w:start w:val="1"/>
      <w:numFmt w:val="bullet"/>
      <w:lvlText w:val="●"/>
      <w:lvlJc w:val="left"/>
      <w:pPr>
        <w:ind w:left="2880" w:hanging="360"/>
      </w:pPr>
    </w:lvl>
    <w:lvl w:ilvl="4" w:tplc="E294E59E">
      <w:start w:val="1"/>
      <w:numFmt w:val="bullet"/>
      <w:lvlText w:val="○"/>
      <w:lvlJc w:val="left"/>
      <w:pPr>
        <w:ind w:left="3600" w:hanging="360"/>
      </w:pPr>
    </w:lvl>
    <w:lvl w:ilvl="5" w:tplc="6A70C0FA">
      <w:start w:val="1"/>
      <w:numFmt w:val="bullet"/>
      <w:lvlText w:val="■"/>
      <w:lvlJc w:val="left"/>
      <w:pPr>
        <w:ind w:left="4320" w:hanging="360"/>
      </w:pPr>
    </w:lvl>
    <w:lvl w:ilvl="6" w:tplc="F0EA0644">
      <w:start w:val="1"/>
      <w:numFmt w:val="bullet"/>
      <w:lvlText w:val="●"/>
      <w:lvlJc w:val="left"/>
      <w:pPr>
        <w:ind w:left="5040" w:hanging="360"/>
      </w:pPr>
    </w:lvl>
    <w:lvl w:ilvl="7" w:tplc="ADDA39C2">
      <w:start w:val="1"/>
      <w:numFmt w:val="bullet"/>
      <w:lvlText w:val="●"/>
      <w:lvlJc w:val="left"/>
      <w:pPr>
        <w:ind w:left="5760" w:hanging="360"/>
      </w:pPr>
    </w:lvl>
    <w:lvl w:ilvl="8" w:tplc="20744604">
      <w:start w:val="1"/>
      <w:numFmt w:val="bullet"/>
      <w:lvlText w:val="●"/>
      <w:lvlJc w:val="left"/>
      <w:pPr>
        <w:ind w:left="6480" w:hanging="360"/>
      </w:pPr>
    </w:lvl>
  </w:abstractNum>
  <w:num w:numId="1" w16cid:durableId="1877770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81"/>
    <w:rsid w:val="00284859"/>
    <w:rsid w:val="0033257C"/>
    <w:rsid w:val="00386E29"/>
    <w:rsid w:val="0089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1297"/>
  <w15:docId w15:val="{18AC4898-ACA1-4C70-9434-8A5ABE6F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I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B5560-DACE-4A83-952B-63DC5DA97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Should Adaptive Cancer Therapy Optimize? — one-page proposal</vt:lpstr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Should Adaptive Cancer Therapy Optimize? — one-page proposal</dc:title>
  <dc:creator>Arnav Kumar, Rohit Satish Chipde</dc:creator>
  <cp:lastModifiedBy>ARNAV KUMAR</cp:lastModifiedBy>
  <cp:revision>2</cp:revision>
  <dcterms:created xsi:type="dcterms:W3CDTF">2026-09-21T14:29:00Z</dcterms:created>
  <dcterms:modified xsi:type="dcterms:W3CDTF">2026-09-21T14:51:00Z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ed4a1217-cd5a-438e-83bb-70200c90be99</vt:lpwstr>
  </property>
</Properties>
</file>