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5681B2" w14:textId="77777777" w:rsidR="00420A20" w:rsidRDefault="00000000">
      <w:pPr>
        <w:spacing w:after="60"/>
      </w:pPr>
      <w:r>
        <w:rPr>
          <w:b/>
          <w:bCs/>
          <w:color w:val="0F6E5F"/>
          <w:spacing w:val="44"/>
          <w:sz w:val="17"/>
          <w:szCs w:val="17"/>
        </w:rPr>
        <w:t>AI IN MEDICINE  —  COURSE PROJECT PROPOSAL</w:t>
      </w:r>
    </w:p>
    <w:p w14:paraId="37BA715E" w14:textId="47E72916" w:rsidR="00420A20" w:rsidRDefault="00000000">
      <w:pPr>
        <w:spacing w:before="130" w:after="90"/>
      </w:pPr>
      <w:r>
        <w:rPr>
          <w:b/>
          <w:bCs/>
          <w:color w:val="1B2A4A"/>
          <w:sz w:val="40"/>
          <w:szCs w:val="40"/>
        </w:rPr>
        <w:t xml:space="preserve">What Should Adaptive Cancer Therapy </w:t>
      </w:r>
      <w:r w:rsidR="008D474D">
        <w:rPr>
          <w:b/>
          <w:bCs/>
          <w:color w:val="1B2A4A"/>
          <w:sz w:val="40"/>
          <w:szCs w:val="40"/>
        </w:rPr>
        <w:t>Optimise</w:t>
      </w:r>
      <w:r>
        <w:rPr>
          <w:b/>
          <w:bCs/>
          <w:color w:val="1B2A4A"/>
          <w:sz w:val="40"/>
          <w:szCs w:val="40"/>
        </w:rPr>
        <w:t>?</w:t>
      </w:r>
    </w:p>
    <w:p w14:paraId="069BE59D" w14:textId="77777777" w:rsidR="00420A20" w:rsidRDefault="00000000">
      <w:pPr>
        <w:pBdr>
          <w:bottom w:val="single" w:sz="12" w:space="10" w:color="0F6E5F"/>
        </w:pBdr>
        <w:spacing w:after="200"/>
      </w:pPr>
      <w:r>
        <w:rPr>
          <w:color w:val="6B6B6B"/>
          <w:sz w:val="23"/>
          <w:szCs w:val="23"/>
        </w:rPr>
        <w:t>A controlled cross-evaluation of reinforcement-learning reward objectives</w:t>
      </w:r>
    </w:p>
    <w:tbl>
      <w:tblPr>
        <w:tblW w:w="9360" w:type="dxa"/>
        <w:tblCellMar>
          <w:left w:w="10" w:type="dxa"/>
          <w:right w:w="10" w:type="dxa"/>
        </w:tblCellMar>
        <w:tblLook w:val="0000" w:firstRow="0" w:lastRow="0" w:firstColumn="0" w:lastColumn="0" w:noHBand="0" w:noVBand="0"/>
      </w:tblPr>
      <w:tblGrid>
        <w:gridCol w:w="4680"/>
        <w:gridCol w:w="4680"/>
      </w:tblGrid>
      <w:tr w:rsidR="00420A20" w14:paraId="1033413B" w14:textId="77777777">
        <w:tblPrEx>
          <w:tblCellMar>
            <w:top w:w="0" w:type="dxa"/>
            <w:bottom w:w="0" w:type="dxa"/>
          </w:tblCellMar>
        </w:tblPrEx>
        <w:tc>
          <w:tcPr>
            <w:tcW w:w="4680" w:type="dxa"/>
            <w:tcMar>
              <w:right w:w="120" w:type="dxa"/>
            </w:tcMar>
          </w:tcPr>
          <w:p w14:paraId="25C46FEF" w14:textId="77777777" w:rsidR="00420A20" w:rsidRDefault="00000000">
            <w:pPr>
              <w:spacing w:after="40"/>
            </w:pPr>
            <w:r>
              <w:rPr>
                <w:b/>
                <w:bCs/>
                <w:color w:val="0F6E5F"/>
                <w:sz w:val="18"/>
                <w:szCs w:val="18"/>
              </w:rPr>
              <w:t>Team</w:t>
            </w:r>
          </w:p>
          <w:p w14:paraId="7C06EAA1" w14:textId="77777777" w:rsidR="00420A20" w:rsidRDefault="00000000">
            <w:pPr>
              <w:spacing w:after="20"/>
            </w:pPr>
            <w:r>
              <w:rPr>
                <w:b/>
                <w:bCs/>
              </w:rPr>
              <w:t>Arnav Kumar</w:t>
            </w:r>
            <w:r>
              <w:rPr>
                <w:color w:val="6B6B6B"/>
                <w:sz w:val="19"/>
                <w:szCs w:val="19"/>
              </w:rPr>
              <w:t xml:space="preserve">   MD24B003</w:t>
            </w:r>
          </w:p>
          <w:p w14:paraId="30641548" w14:textId="77777777" w:rsidR="00420A20" w:rsidRDefault="00000000">
            <w:r>
              <w:rPr>
                <w:b/>
                <w:bCs/>
              </w:rPr>
              <w:t>Rohit Satish Chipde</w:t>
            </w:r>
            <w:r>
              <w:rPr>
                <w:color w:val="6B6B6B"/>
                <w:sz w:val="19"/>
                <w:szCs w:val="19"/>
              </w:rPr>
              <w:t xml:space="preserve">   MD24B026</w:t>
            </w:r>
          </w:p>
        </w:tc>
        <w:tc>
          <w:tcPr>
            <w:tcW w:w="4680" w:type="dxa"/>
          </w:tcPr>
          <w:p w14:paraId="0A912920" w14:textId="77777777" w:rsidR="00420A20" w:rsidRDefault="00000000">
            <w:pPr>
              <w:spacing w:after="40"/>
            </w:pPr>
            <w:r>
              <w:rPr>
                <w:b/>
                <w:bCs/>
                <w:color w:val="0F6E5F"/>
                <w:sz w:val="18"/>
                <w:szCs w:val="18"/>
              </w:rPr>
              <w:t>Department</w:t>
            </w:r>
          </w:p>
          <w:p w14:paraId="7DE36C6A" w14:textId="77777777" w:rsidR="00420A20" w:rsidRDefault="00000000">
            <w:pPr>
              <w:spacing w:after="20"/>
            </w:pPr>
            <w:r>
              <w:t>Medical Sciences &amp; Technology (DoMST)</w:t>
            </w:r>
          </w:p>
          <w:p w14:paraId="18C31CC4" w14:textId="77777777" w:rsidR="00420A20" w:rsidRDefault="00000000">
            <w:r>
              <w:t>Indian Institute of Technology Madras</w:t>
            </w:r>
          </w:p>
        </w:tc>
      </w:tr>
    </w:tbl>
    <w:p w14:paraId="195A267D" w14:textId="77777777" w:rsidR="00420A20" w:rsidRDefault="00420A20">
      <w:pPr>
        <w:spacing w:before="260"/>
      </w:pPr>
    </w:p>
    <w:tbl>
      <w:tblPr>
        <w:tblW w:w="9360" w:type="dxa"/>
        <w:tblBorders>
          <w:top w:val="single" w:sz="2" w:space="0" w:color="DCE6F2"/>
          <w:left w:val="single" w:sz="18" w:space="0" w:color="0F6E5F"/>
          <w:bottom w:val="single" w:sz="2" w:space="0" w:color="DCE6F2"/>
          <w:right w:val="single" w:sz="2" w:space="0" w:color="DCE6F2"/>
        </w:tblBorders>
        <w:tblCellMar>
          <w:left w:w="10" w:type="dxa"/>
          <w:right w:w="10" w:type="dxa"/>
        </w:tblCellMar>
        <w:tblLook w:val="0000" w:firstRow="0" w:lastRow="0" w:firstColumn="0" w:lastColumn="0" w:noHBand="0" w:noVBand="0"/>
      </w:tblPr>
      <w:tblGrid>
        <w:gridCol w:w="9360"/>
      </w:tblGrid>
      <w:tr w:rsidR="00420A20" w14:paraId="567F174C" w14:textId="77777777">
        <w:tblPrEx>
          <w:tblCellMar>
            <w:top w:w="0" w:type="dxa"/>
            <w:bottom w:w="0" w:type="dxa"/>
          </w:tblCellMar>
        </w:tblPrEx>
        <w:tc>
          <w:tcPr>
            <w:tcW w:w="9360" w:type="dxa"/>
            <w:shd w:val="clear" w:color="auto" w:fill="F4F8F7"/>
            <w:tcMar>
              <w:top w:w="130" w:type="dxa"/>
              <w:left w:w="180" w:type="dxa"/>
              <w:bottom w:w="130" w:type="dxa"/>
              <w:right w:w="160" w:type="dxa"/>
            </w:tcMar>
          </w:tcPr>
          <w:p w14:paraId="328349C6" w14:textId="77777777" w:rsidR="00420A20" w:rsidRDefault="00000000">
            <w:pPr>
              <w:spacing w:after="60"/>
            </w:pPr>
            <w:r>
              <w:rPr>
                <w:b/>
                <w:bCs/>
                <w:color w:val="0F6E5F"/>
                <w:sz w:val="19"/>
                <w:szCs w:val="19"/>
              </w:rPr>
              <w:t>In one sentence</w:t>
            </w:r>
          </w:p>
          <w:p w14:paraId="71B20BE4" w14:textId="77777777" w:rsidR="00420A20" w:rsidRDefault="00000000">
            <w:pPr>
              <w:spacing w:line="272" w:lineRule="auto"/>
              <w:jc w:val="both"/>
            </w:pPr>
            <w:r>
              <w:rPr>
                <w:sz w:val="19"/>
                <w:szCs w:val="19"/>
              </w:rPr>
              <w:t>Six published reinforcement-learning studies of adaptive cancer therapy each optimise a different reward objective in its own bespoke simulator, and not one compares its objective against another; we port two of those objectives into a single shared environment, hold everything else fixed, and measure whether the choice of objective changes the treatment policy — and what it costs when it does.</w:t>
            </w:r>
          </w:p>
        </w:tc>
      </w:tr>
    </w:tbl>
    <w:p w14:paraId="64ADA6FC" w14:textId="77777777" w:rsidR="00420A20" w:rsidRDefault="00000000">
      <w:pPr>
        <w:pStyle w:val="Heading1"/>
        <w:pBdr>
          <w:bottom w:val="single" w:sz="6" w:space="6" w:color="D8DDE2"/>
        </w:pBdr>
        <w:spacing w:before="340" w:after="130"/>
      </w:pPr>
      <w:r>
        <w:rPr>
          <w:b/>
          <w:bCs/>
          <w:color w:val="0F6E5F"/>
          <w:sz w:val="25"/>
          <w:szCs w:val="25"/>
        </w:rPr>
        <w:t xml:space="preserve">1.  </w:t>
      </w:r>
      <w:r>
        <w:rPr>
          <w:b/>
          <w:bCs/>
          <w:color w:val="1B2A4A"/>
          <w:sz w:val="25"/>
          <w:szCs w:val="25"/>
        </w:rPr>
        <w:t>Clinical problem</w:t>
      </w:r>
    </w:p>
    <w:p w14:paraId="74EBEC5B" w14:textId="77777777" w:rsidR="00420A20" w:rsidRDefault="00000000">
      <w:pPr>
        <w:spacing w:after="130" w:line="276" w:lineRule="auto"/>
        <w:jc w:val="both"/>
      </w:pPr>
      <w:r>
        <w:t>Most cancer deaths follow acquired drug resistance rather than a failure to shrink the tumour initially. Continuous maximum-tolerated-dose (MTD) therapy kills drug-sensitive cells quickly, but in doing so it removes the competitive pressure those cells exert on a pre-existing resistant subpopulation. The resistant clone is then released into an emptied niche and expands without restraint — competitive release, the dominant failure mode of systemic therapy.</w:t>
      </w:r>
    </w:p>
    <w:p w14:paraId="19D764F5" w14:textId="77777777" w:rsidR="00420A20" w:rsidRDefault="00000000">
      <w:pPr>
        <w:spacing w:after="130" w:line="276" w:lineRule="auto"/>
        <w:jc w:val="both"/>
      </w:pPr>
      <w:r>
        <w:t>Adaptive therapy inverts the goal. Rather than racing to eradicate the tumour, it withdraws or reduces the drug once the burden falls, deliberately retaining a pool of sensitive cells to suppress the resistant population, and reapplies the drug when the burden recovers. The tumour is contained rather than cured, and progression is deferred. This is not only a modelling proposition: in a prospective pilot in metastatic castrate-resistant prostate cancer, patients on an adaptive abiraterone schedule showed substantially extended time to progression on roughly half the cumulative drug of the standard continuous schedule (Zhang et al., 2017; follow-up in Zhang et al., 2022).</w:t>
      </w:r>
    </w:p>
    <w:p w14:paraId="7748D541" w14:textId="77777777" w:rsidR="00420A20" w:rsidRDefault="00000000">
      <w:pPr>
        <w:keepNext/>
        <w:keepLines/>
        <w:spacing w:before="160" w:after="60"/>
        <w:jc w:val="center"/>
      </w:pPr>
      <w:r>
        <w:rPr>
          <w:noProof/>
        </w:rPr>
        <w:drawing>
          <wp:inline distT="0" distB="0" distL="0" distR="0" wp14:anchorId="57217191" wp14:editId="390E996C">
            <wp:extent cx="4391025" cy="21240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391025" cy="2124075"/>
                    </a:xfrm>
                    <a:prstGeom prst="rect">
                      <a:avLst/>
                    </a:prstGeom>
                  </pic:spPr>
                </pic:pic>
              </a:graphicData>
            </a:graphic>
          </wp:inline>
        </w:drawing>
      </w:r>
    </w:p>
    <w:p w14:paraId="402A1F0A" w14:textId="77777777" w:rsidR="00420A20" w:rsidRDefault="00000000">
      <w:pPr>
        <w:spacing w:after="220"/>
        <w:jc w:val="center"/>
      </w:pPr>
      <w:r>
        <w:rPr>
          <w:b/>
          <w:bCs/>
          <w:color w:val="1B2A4A"/>
          <w:sz w:val="17"/>
          <w:szCs w:val="17"/>
        </w:rPr>
        <w:t xml:space="preserve">Figure 1. </w:t>
      </w:r>
      <w:r>
        <w:rPr>
          <w:i/>
          <w:iCs/>
          <w:color w:val="6B6B6B"/>
          <w:sz w:val="17"/>
          <w:szCs w:val="17"/>
        </w:rPr>
        <w:t>Our own re-implementation of the Strobl (2021) model. Continuous dosing drives the burden down fastest and progresses first; withholding drug preserves competition and defers progression. Simulated at cost of resistance 0.10, turnover 0.06.</w:t>
      </w:r>
    </w:p>
    <w:p w14:paraId="2AF5A95C" w14:textId="77777777" w:rsidR="00420A20" w:rsidRDefault="00000000">
      <w:pPr>
        <w:pStyle w:val="Heading1"/>
        <w:pBdr>
          <w:bottom w:val="single" w:sz="6" w:space="6" w:color="D8DDE2"/>
        </w:pBdr>
        <w:spacing w:before="340" w:after="130"/>
      </w:pPr>
      <w:r>
        <w:rPr>
          <w:b/>
          <w:bCs/>
          <w:color w:val="0F6E5F"/>
          <w:sz w:val="25"/>
          <w:szCs w:val="25"/>
        </w:rPr>
        <w:t xml:space="preserve">2.  </w:t>
      </w:r>
      <w:r>
        <w:rPr>
          <w:b/>
          <w:bCs/>
          <w:color w:val="1B2A4A"/>
          <w:sz w:val="25"/>
          <w:szCs w:val="25"/>
        </w:rPr>
        <w:t>Research problem and objective</w:t>
      </w:r>
    </w:p>
    <w:p w14:paraId="2D6F0963" w14:textId="77777777" w:rsidR="00420A20" w:rsidRDefault="00000000">
      <w:pPr>
        <w:spacing w:after="130" w:line="276" w:lineRule="auto"/>
        <w:jc w:val="both"/>
      </w:pPr>
      <w:r>
        <w:lastRenderedPageBreak/>
        <w:t>An adaptive-therapy policy is only as good as the objective it was optimised for, and the field has quietly adopted several incompatible objectives without ever comparing them. Six studies in our corpus each optimise something different — survival time with a bonus for drug holidays, cumulative dose and treatment duration, population diversity or coexistence, post-withdrawal durability, inverse population fitness — and each evaluates its policy on its own chosen metric, in its own simulator. (Five of the six are reinforcement learning; Gluzman et al. solve the same class of problem by optimal control, which is why their objective belongs in the comparison even though their method does not.) The comparison has never been run.</w:t>
      </w:r>
    </w:p>
    <w:p w14:paraId="17C7E213" w14:textId="77777777" w:rsidR="00420A20" w:rsidRDefault="00000000">
      <w:pPr>
        <w:spacing w:after="130" w:line="276" w:lineRule="auto"/>
        <w:jc w:val="both"/>
      </w:pPr>
      <w:r>
        <w:t xml:space="preserve">This project asks a single question: </w:t>
      </w:r>
      <w:r>
        <w:rPr>
          <w:b/>
          <w:bCs/>
        </w:rPr>
        <w:t>does the choice of reward objective change the resulting treatment policy, and if so, by how much and at what cost on the objectives it was not trained for?</w:t>
      </w:r>
    </w:p>
    <w:p w14:paraId="6A38B4D6" w14:textId="77777777" w:rsidR="00420A20" w:rsidRDefault="00000000">
      <w:pPr>
        <w:spacing w:after="130" w:line="276" w:lineRule="auto"/>
        <w:jc w:val="both"/>
      </w:pPr>
      <w:r>
        <w:t>The reason the comparison is missing is structural rather than accidental. Each objective is welded to the environment it was written for. Shannon entropy over a three-population simplex is not the same quantity as entropy over two populations; a drug-holiday bonus is undefined in a fixed-population Moran process that has no tumour volume at all. Unwelding the objectives — porting them into one environment where they become commensurable — is the work, and it is why nobody has done it.</w:t>
      </w:r>
    </w:p>
    <w:p w14:paraId="1C7E6FF4" w14:textId="77777777" w:rsidR="00420A20" w:rsidRDefault="00000000">
      <w:pPr>
        <w:pStyle w:val="Heading2"/>
        <w:spacing w:before="230" w:after="90"/>
      </w:pPr>
      <w:r>
        <w:rPr>
          <w:b/>
          <w:bCs/>
          <w:color w:val="1B2A4A"/>
          <w:sz w:val="21"/>
          <w:szCs w:val="21"/>
        </w:rPr>
        <w:t>The contribution, stated honestly</w:t>
      </w:r>
    </w:p>
    <w:p w14:paraId="3999A0EF" w14:textId="77777777" w:rsidR="00420A20" w:rsidRDefault="00000000">
      <w:pPr>
        <w:spacing w:after="130" w:line="276" w:lineRule="auto"/>
        <w:jc w:val="both"/>
      </w:pPr>
      <w:r>
        <w:t>This is a comparative and benchmarking contribution, not a new reinforcement-learning algorithm. We use PPO because it is a reliable, widely used policy-gradient method, and we deliberately do not claim it as the novelty. The novelty is the controlled comparison and the shared, correctness-verified environment that makes it possible.</w:t>
      </w:r>
    </w:p>
    <w:p w14:paraId="55BFBAA1" w14:textId="77777777" w:rsidR="00420A20" w:rsidRDefault="00000000">
      <w:pPr>
        <w:pStyle w:val="Heading1"/>
        <w:pBdr>
          <w:bottom w:val="single" w:sz="6" w:space="6" w:color="D8DDE2"/>
        </w:pBdr>
        <w:spacing w:before="340" w:after="130"/>
      </w:pPr>
      <w:r>
        <w:rPr>
          <w:b/>
          <w:bCs/>
          <w:color w:val="0F6E5F"/>
          <w:sz w:val="25"/>
          <w:szCs w:val="25"/>
        </w:rPr>
        <w:t xml:space="preserve">3.  </w:t>
      </w:r>
      <w:r>
        <w:rPr>
          <w:b/>
          <w:bCs/>
          <w:color w:val="1B2A4A"/>
          <w:sz w:val="25"/>
          <w:szCs w:val="25"/>
        </w:rPr>
        <w:t>Why this matters</w:t>
      </w:r>
    </w:p>
    <w:p w14:paraId="3767891B" w14:textId="77777777" w:rsidR="00420A20" w:rsidRDefault="00000000">
      <w:pPr>
        <w:spacing w:after="130" w:line="276" w:lineRule="auto"/>
        <w:jc w:val="both"/>
      </w:pPr>
      <w:r>
        <w:t>If different objectives converge on substantially the same policy, then the field's reward-design discussion is decorative, and effort is better spent on environment realism — spatial structure, pharmacokinetics, measurement error. That is a useful and publishable negative result, and it is currently unavailable to anyone.</w:t>
      </w:r>
    </w:p>
    <w:p w14:paraId="1A03A9C0" w14:textId="77777777" w:rsidR="00420A20" w:rsidRDefault="00000000">
      <w:pPr>
        <w:spacing w:after="130" w:line="276" w:lineRule="auto"/>
        <w:jc w:val="both"/>
      </w:pPr>
      <w:r>
        <w:t>If instead the objectives diverge, then a clinician or modeller reading a published adaptive-therapy policy needs to know which objective it was optimised for before trusting its recommendation, because a policy tuned for maximal time to progression may be leaving the tumour in a far less controllable evolutionary state than one tuned for durability. Quantifying that off-diagonal penalty — what a clinician loses by optimising the wrong thing — is the number a translational reader actually wants, and no single-objective paper can produce it.</w:t>
      </w:r>
    </w:p>
    <w:p w14:paraId="1993F588" w14:textId="77777777" w:rsidR="00420A20" w:rsidRDefault="00000000">
      <w:pPr>
        <w:pStyle w:val="Heading1"/>
        <w:pBdr>
          <w:bottom w:val="single" w:sz="6" w:space="6" w:color="D8DDE2"/>
        </w:pBdr>
        <w:spacing w:before="340" w:after="130"/>
      </w:pPr>
      <w:r>
        <w:rPr>
          <w:b/>
          <w:bCs/>
          <w:color w:val="0F6E5F"/>
          <w:sz w:val="25"/>
          <w:szCs w:val="25"/>
        </w:rPr>
        <w:t xml:space="preserve">4.  </w:t>
      </w:r>
      <w:r>
        <w:rPr>
          <w:b/>
          <w:bCs/>
          <w:color w:val="1B2A4A"/>
          <w:sz w:val="25"/>
          <w:szCs w:val="25"/>
        </w:rPr>
        <w:t>Simulation environment and data</w:t>
      </w:r>
    </w:p>
    <w:p w14:paraId="5C3F2085" w14:textId="77777777" w:rsidR="00420A20" w:rsidRDefault="00000000">
      <w:pPr>
        <w:spacing w:after="130" w:line="276" w:lineRule="auto"/>
        <w:jc w:val="both"/>
      </w:pPr>
      <w:r>
        <w:t>No real patient dataset is used, and no patient-level records are accessed by us. The environment is the two-population Lotka-Volterra model with cell turnover introduced by Strobl et al. (2021), in the form Gallagher et al. (2023) write it. We choose it because four independent RL studies already build on it, so our numbers are directly comparable to published ones, and because its growth, turnover and competition parameters were fitted to a cohort of 67 real patients.</w:t>
      </w:r>
    </w:p>
    <w:p w14:paraId="7CCF7E68" w14:textId="77777777" w:rsidR="00420A20" w:rsidRDefault="00000000">
      <w:pPr>
        <w:spacing w:after="40" w:line="276" w:lineRule="auto"/>
        <w:jc w:val="center"/>
      </w:pPr>
      <w:r>
        <w:rPr>
          <w:b/>
          <w:bCs/>
          <w:sz w:val="21"/>
          <w:szCs w:val="21"/>
        </w:rPr>
        <w:t>dS/dt  =  rS · S · (1 − (S+R)/K) · (1 − d̂D · D(t))  −  dT · S</w:t>
      </w:r>
    </w:p>
    <w:p w14:paraId="3F3151CB" w14:textId="77777777" w:rsidR="00420A20" w:rsidRDefault="00000000">
      <w:pPr>
        <w:spacing w:after="40" w:line="276" w:lineRule="auto"/>
        <w:jc w:val="center"/>
      </w:pPr>
      <w:r>
        <w:rPr>
          <w:b/>
          <w:bCs/>
          <w:sz w:val="21"/>
          <w:szCs w:val="21"/>
        </w:rPr>
        <w:t>dR/dt  =  rR · R · (1 − (S+R)/K)  −  dT · R</w:t>
      </w:r>
    </w:p>
    <w:p w14:paraId="621BB5E1" w14:textId="77777777" w:rsidR="00420A20" w:rsidRDefault="00000000">
      <w:pPr>
        <w:spacing w:after="170" w:line="276" w:lineRule="auto"/>
        <w:jc w:val="center"/>
      </w:pPr>
      <w:r>
        <w:rPr>
          <w:b/>
          <w:bCs/>
          <w:sz w:val="21"/>
          <w:szCs w:val="21"/>
        </w:rPr>
        <w:t>N(t)  =  S(t) + R(t) ,     progression when  N ≥ 1.2 N₀</w:t>
      </w:r>
    </w:p>
    <w:p w14:paraId="5C1D7079" w14:textId="77777777" w:rsidR="00420A20" w:rsidRDefault="00000000">
      <w:pPr>
        <w:spacing w:after="130" w:line="276" w:lineRule="auto"/>
        <w:jc w:val="both"/>
      </w:pPr>
      <w:r>
        <w:t xml:space="preserve">S and R are the drug-sensitive and drug-resistant subpopulations, D(t) is the administered dose, and the kill term acts only on dividing sensitive cells (Norton-Simon). Resistance is taken to be pre-existing, binary and irreversible, </w:t>
      </w:r>
      <w:r>
        <w:lastRenderedPageBreak/>
        <w:t>and the cost of resistance is encoded as a reduced growth rate. These are assumptions to be stated rather than facts, and we state them.</w:t>
      </w:r>
    </w:p>
    <w:p w14:paraId="7070B5D5" w14:textId="77777777" w:rsidR="00420A20" w:rsidRDefault="00000000">
      <w:pPr>
        <w:pStyle w:val="Heading2"/>
        <w:spacing w:before="230" w:after="90"/>
      </w:pPr>
      <w:r>
        <w:rPr>
          <w:b/>
          <w:bCs/>
          <w:color w:val="1B2A4A"/>
          <w:sz w:val="21"/>
          <w:szCs w:val="21"/>
        </w:rPr>
        <w:t>Parameters</w:t>
      </w:r>
    </w:p>
    <w:tbl>
      <w:tblPr>
        <w:tblW w:w="9360" w:type="dxa"/>
        <w:tblBorders>
          <w:top w:val="single" w:sz="2" w:space="0" w:color="D8DDE2"/>
          <w:bottom w:val="single" w:sz="2" w:space="0" w:color="D8DDE2"/>
          <w:insideH w:val="single" w:sz="2" w:space="0" w:color="D8DDE2"/>
        </w:tblBorders>
        <w:tblCellMar>
          <w:left w:w="10" w:type="dxa"/>
          <w:right w:w="10" w:type="dxa"/>
        </w:tblCellMar>
        <w:tblLook w:val="0000" w:firstRow="0" w:lastRow="0" w:firstColumn="0" w:lastColumn="0" w:noHBand="0" w:noVBand="0"/>
      </w:tblPr>
      <w:tblGrid>
        <w:gridCol w:w="2059"/>
        <w:gridCol w:w="3089"/>
        <w:gridCol w:w="4212"/>
      </w:tblGrid>
      <w:tr w:rsidR="00420A20" w14:paraId="39205FB1" w14:textId="77777777">
        <w:tblPrEx>
          <w:tblCellMar>
            <w:top w:w="0" w:type="dxa"/>
            <w:bottom w:w="0" w:type="dxa"/>
          </w:tblCellMar>
        </w:tblPrEx>
        <w:trPr>
          <w:tblHeader/>
        </w:trPr>
        <w:tc>
          <w:tcPr>
            <w:tcW w:w="2059" w:type="dxa"/>
            <w:shd w:val="clear" w:color="auto" w:fill="1B2A4A"/>
            <w:tcMar>
              <w:top w:w="75" w:type="dxa"/>
              <w:left w:w="110" w:type="dxa"/>
              <w:bottom w:w="75" w:type="dxa"/>
              <w:right w:w="110" w:type="dxa"/>
            </w:tcMar>
          </w:tcPr>
          <w:p w14:paraId="2EFCB174" w14:textId="77777777" w:rsidR="00420A20" w:rsidRDefault="00000000">
            <w:pPr>
              <w:spacing w:line="250" w:lineRule="auto"/>
            </w:pPr>
            <w:r>
              <w:rPr>
                <w:b/>
                <w:bCs/>
                <w:color w:val="FFFFFF"/>
                <w:sz w:val="18"/>
                <w:szCs w:val="18"/>
              </w:rPr>
              <w:t>Parameter</w:t>
            </w:r>
          </w:p>
        </w:tc>
        <w:tc>
          <w:tcPr>
            <w:tcW w:w="3089" w:type="dxa"/>
            <w:shd w:val="clear" w:color="auto" w:fill="1B2A4A"/>
            <w:tcMar>
              <w:top w:w="75" w:type="dxa"/>
              <w:left w:w="110" w:type="dxa"/>
              <w:bottom w:w="75" w:type="dxa"/>
              <w:right w:w="110" w:type="dxa"/>
            </w:tcMar>
          </w:tcPr>
          <w:p w14:paraId="2F307965" w14:textId="77777777" w:rsidR="00420A20" w:rsidRDefault="00000000">
            <w:pPr>
              <w:spacing w:line="250" w:lineRule="auto"/>
            </w:pPr>
            <w:r>
              <w:rPr>
                <w:b/>
                <w:bCs/>
                <w:color w:val="FFFFFF"/>
                <w:sz w:val="18"/>
                <w:szCs w:val="18"/>
              </w:rPr>
              <w:t>Value</w:t>
            </w:r>
          </w:p>
        </w:tc>
        <w:tc>
          <w:tcPr>
            <w:tcW w:w="4212" w:type="dxa"/>
            <w:shd w:val="clear" w:color="auto" w:fill="1B2A4A"/>
            <w:tcMar>
              <w:top w:w="75" w:type="dxa"/>
              <w:left w:w="110" w:type="dxa"/>
              <w:bottom w:w="75" w:type="dxa"/>
              <w:right w:w="110" w:type="dxa"/>
            </w:tcMar>
          </w:tcPr>
          <w:p w14:paraId="71ADF1C1" w14:textId="77777777" w:rsidR="00420A20" w:rsidRDefault="00000000">
            <w:pPr>
              <w:spacing w:line="250" w:lineRule="auto"/>
            </w:pPr>
            <w:r>
              <w:rPr>
                <w:b/>
                <w:bCs/>
                <w:color w:val="FFFFFF"/>
                <w:sz w:val="18"/>
                <w:szCs w:val="18"/>
              </w:rPr>
              <w:t>Source</w:t>
            </w:r>
          </w:p>
        </w:tc>
      </w:tr>
      <w:tr w:rsidR="00420A20" w14:paraId="67B388E8" w14:textId="77777777">
        <w:tblPrEx>
          <w:tblCellMar>
            <w:top w:w="0" w:type="dxa"/>
            <w:bottom w:w="0" w:type="dxa"/>
          </w:tblCellMar>
        </w:tblPrEx>
        <w:tc>
          <w:tcPr>
            <w:tcW w:w="2059" w:type="dxa"/>
            <w:shd w:val="clear" w:color="auto" w:fill="FFFFFF"/>
            <w:tcMar>
              <w:top w:w="75" w:type="dxa"/>
              <w:left w:w="110" w:type="dxa"/>
              <w:bottom w:w="75" w:type="dxa"/>
              <w:right w:w="110" w:type="dxa"/>
            </w:tcMar>
          </w:tcPr>
          <w:p w14:paraId="2A03D667" w14:textId="77777777" w:rsidR="00420A20" w:rsidRDefault="00000000">
            <w:pPr>
              <w:spacing w:line="250" w:lineRule="auto"/>
            </w:pPr>
            <w:r>
              <w:rPr>
                <w:b/>
                <w:bCs/>
                <w:sz w:val="18"/>
                <w:szCs w:val="18"/>
              </w:rPr>
              <w:t>r_S</w:t>
            </w:r>
          </w:p>
        </w:tc>
        <w:tc>
          <w:tcPr>
            <w:tcW w:w="3089" w:type="dxa"/>
            <w:shd w:val="clear" w:color="auto" w:fill="FFFFFF"/>
            <w:tcMar>
              <w:top w:w="75" w:type="dxa"/>
              <w:left w:w="110" w:type="dxa"/>
              <w:bottom w:w="75" w:type="dxa"/>
              <w:right w:w="110" w:type="dxa"/>
            </w:tcMar>
          </w:tcPr>
          <w:p w14:paraId="704503BC" w14:textId="77777777" w:rsidR="00420A20" w:rsidRDefault="00000000">
            <w:pPr>
              <w:spacing w:line="250" w:lineRule="auto"/>
            </w:pPr>
            <w:r>
              <w:rPr>
                <w:sz w:val="18"/>
                <w:szCs w:val="18"/>
              </w:rPr>
              <w:t>0.027 / day</w:t>
            </w:r>
          </w:p>
        </w:tc>
        <w:tc>
          <w:tcPr>
            <w:tcW w:w="4212" w:type="dxa"/>
            <w:shd w:val="clear" w:color="auto" w:fill="FFFFFF"/>
            <w:tcMar>
              <w:top w:w="75" w:type="dxa"/>
              <w:left w:w="110" w:type="dxa"/>
              <w:bottom w:w="75" w:type="dxa"/>
              <w:right w:w="110" w:type="dxa"/>
            </w:tcMar>
          </w:tcPr>
          <w:p w14:paraId="22AD26BB" w14:textId="77777777" w:rsidR="00420A20" w:rsidRDefault="00000000">
            <w:pPr>
              <w:spacing w:line="250" w:lineRule="auto"/>
            </w:pPr>
            <w:r>
              <w:rPr>
                <w:sz w:val="18"/>
                <w:szCs w:val="18"/>
              </w:rPr>
              <w:t>Strobl et al. 2021</w:t>
            </w:r>
          </w:p>
        </w:tc>
      </w:tr>
      <w:tr w:rsidR="00420A20" w14:paraId="0394CDC0" w14:textId="77777777">
        <w:tblPrEx>
          <w:tblCellMar>
            <w:top w:w="0" w:type="dxa"/>
            <w:bottom w:w="0" w:type="dxa"/>
          </w:tblCellMar>
        </w:tblPrEx>
        <w:tc>
          <w:tcPr>
            <w:tcW w:w="2059" w:type="dxa"/>
            <w:shd w:val="clear" w:color="auto" w:fill="F4F6F7"/>
            <w:tcMar>
              <w:top w:w="75" w:type="dxa"/>
              <w:left w:w="110" w:type="dxa"/>
              <w:bottom w:w="75" w:type="dxa"/>
              <w:right w:w="110" w:type="dxa"/>
            </w:tcMar>
          </w:tcPr>
          <w:p w14:paraId="6D98163A" w14:textId="77777777" w:rsidR="00420A20" w:rsidRDefault="00000000">
            <w:pPr>
              <w:spacing w:line="250" w:lineRule="auto"/>
            </w:pPr>
            <w:r>
              <w:rPr>
                <w:b/>
                <w:bCs/>
                <w:sz w:val="18"/>
                <w:szCs w:val="18"/>
              </w:rPr>
              <w:t>r_R</w:t>
            </w:r>
          </w:p>
        </w:tc>
        <w:tc>
          <w:tcPr>
            <w:tcW w:w="3089" w:type="dxa"/>
            <w:shd w:val="clear" w:color="auto" w:fill="F4F6F7"/>
            <w:tcMar>
              <w:top w:w="75" w:type="dxa"/>
              <w:left w:w="110" w:type="dxa"/>
              <w:bottom w:w="75" w:type="dxa"/>
              <w:right w:w="110" w:type="dxa"/>
            </w:tcMar>
          </w:tcPr>
          <w:p w14:paraId="7E99A920" w14:textId="77777777" w:rsidR="00420A20" w:rsidRDefault="00000000">
            <w:pPr>
              <w:spacing w:line="250" w:lineRule="auto"/>
            </w:pPr>
            <w:r>
              <w:rPr>
                <w:sz w:val="18"/>
                <w:szCs w:val="18"/>
              </w:rPr>
              <w:t>r_S · (1 − cost),  cost ∈ [0, 0.5]</w:t>
            </w:r>
          </w:p>
        </w:tc>
        <w:tc>
          <w:tcPr>
            <w:tcW w:w="4212" w:type="dxa"/>
            <w:shd w:val="clear" w:color="auto" w:fill="F4F6F7"/>
            <w:tcMar>
              <w:top w:w="75" w:type="dxa"/>
              <w:left w:w="110" w:type="dxa"/>
              <w:bottom w:w="75" w:type="dxa"/>
              <w:right w:w="110" w:type="dxa"/>
            </w:tcMar>
          </w:tcPr>
          <w:p w14:paraId="67FA2CC7" w14:textId="77777777" w:rsidR="00420A20" w:rsidRDefault="00000000">
            <w:pPr>
              <w:spacing w:line="250" w:lineRule="auto"/>
            </w:pPr>
            <w:r>
              <w:rPr>
                <w:sz w:val="18"/>
                <w:szCs w:val="18"/>
              </w:rPr>
              <w:t>Strobl sweep; Zhang 2022 fit gives cost = 0.42</w:t>
            </w:r>
          </w:p>
        </w:tc>
      </w:tr>
      <w:tr w:rsidR="00420A20" w14:paraId="21007390" w14:textId="77777777">
        <w:tblPrEx>
          <w:tblCellMar>
            <w:top w:w="0" w:type="dxa"/>
            <w:bottom w:w="0" w:type="dxa"/>
          </w:tblCellMar>
        </w:tblPrEx>
        <w:tc>
          <w:tcPr>
            <w:tcW w:w="2059" w:type="dxa"/>
            <w:shd w:val="clear" w:color="auto" w:fill="FFFFFF"/>
            <w:tcMar>
              <w:top w:w="75" w:type="dxa"/>
              <w:left w:w="110" w:type="dxa"/>
              <w:bottom w:w="75" w:type="dxa"/>
              <w:right w:w="110" w:type="dxa"/>
            </w:tcMar>
          </w:tcPr>
          <w:p w14:paraId="7EA5F119" w14:textId="77777777" w:rsidR="00420A20" w:rsidRDefault="00000000">
            <w:pPr>
              <w:spacing w:line="250" w:lineRule="auto"/>
            </w:pPr>
            <w:r>
              <w:rPr>
                <w:b/>
                <w:bCs/>
                <w:sz w:val="18"/>
                <w:szCs w:val="18"/>
              </w:rPr>
              <w:t>d_T</w:t>
            </w:r>
          </w:p>
        </w:tc>
        <w:tc>
          <w:tcPr>
            <w:tcW w:w="3089" w:type="dxa"/>
            <w:shd w:val="clear" w:color="auto" w:fill="FFFFFF"/>
            <w:tcMar>
              <w:top w:w="75" w:type="dxa"/>
              <w:left w:w="110" w:type="dxa"/>
              <w:bottom w:w="75" w:type="dxa"/>
              <w:right w:w="110" w:type="dxa"/>
            </w:tcMar>
          </w:tcPr>
          <w:p w14:paraId="3F1F4EAF" w14:textId="77777777" w:rsidR="00420A20" w:rsidRDefault="00000000">
            <w:pPr>
              <w:spacing w:line="250" w:lineRule="auto"/>
            </w:pPr>
            <w:r>
              <w:rPr>
                <w:sz w:val="18"/>
                <w:szCs w:val="18"/>
              </w:rPr>
              <w:t>turnover × r_S,  turnover ∈ [0, 0.5]</w:t>
            </w:r>
          </w:p>
        </w:tc>
        <w:tc>
          <w:tcPr>
            <w:tcW w:w="4212" w:type="dxa"/>
            <w:shd w:val="clear" w:color="auto" w:fill="FFFFFF"/>
            <w:tcMar>
              <w:top w:w="75" w:type="dxa"/>
              <w:left w:w="110" w:type="dxa"/>
              <w:bottom w:w="75" w:type="dxa"/>
              <w:right w:w="110" w:type="dxa"/>
            </w:tcMar>
          </w:tcPr>
          <w:p w14:paraId="2F1A5A21" w14:textId="77777777" w:rsidR="00420A20" w:rsidRDefault="00000000">
            <w:pPr>
              <w:spacing w:line="250" w:lineRule="auto"/>
            </w:pPr>
            <w:r>
              <w:rPr>
                <w:sz w:val="18"/>
                <w:szCs w:val="18"/>
              </w:rPr>
              <w:t>Strobl; Gallagher defines turnover as d_S / r_S</w:t>
            </w:r>
          </w:p>
        </w:tc>
      </w:tr>
      <w:tr w:rsidR="00420A20" w14:paraId="3CC81339" w14:textId="77777777">
        <w:tblPrEx>
          <w:tblCellMar>
            <w:top w:w="0" w:type="dxa"/>
            <w:bottom w:w="0" w:type="dxa"/>
          </w:tblCellMar>
        </w:tblPrEx>
        <w:tc>
          <w:tcPr>
            <w:tcW w:w="2059" w:type="dxa"/>
            <w:shd w:val="clear" w:color="auto" w:fill="F4F6F7"/>
            <w:tcMar>
              <w:top w:w="75" w:type="dxa"/>
              <w:left w:w="110" w:type="dxa"/>
              <w:bottom w:w="75" w:type="dxa"/>
              <w:right w:w="110" w:type="dxa"/>
            </w:tcMar>
          </w:tcPr>
          <w:p w14:paraId="295E3168" w14:textId="77777777" w:rsidR="00420A20" w:rsidRDefault="00000000">
            <w:pPr>
              <w:spacing w:line="250" w:lineRule="auto"/>
            </w:pPr>
            <w:r>
              <w:rPr>
                <w:b/>
                <w:bCs/>
                <w:sz w:val="18"/>
                <w:szCs w:val="18"/>
              </w:rPr>
              <w:t>K</w:t>
            </w:r>
          </w:p>
        </w:tc>
        <w:tc>
          <w:tcPr>
            <w:tcW w:w="3089" w:type="dxa"/>
            <w:shd w:val="clear" w:color="auto" w:fill="F4F6F7"/>
            <w:tcMar>
              <w:top w:w="75" w:type="dxa"/>
              <w:left w:w="110" w:type="dxa"/>
              <w:bottom w:w="75" w:type="dxa"/>
              <w:right w:w="110" w:type="dxa"/>
            </w:tcMar>
          </w:tcPr>
          <w:p w14:paraId="1D9A314F" w14:textId="77777777" w:rsidR="00420A20" w:rsidRDefault="00000000">
            <w:pPr>
              <w:spacing w:line="250" w:lineRule="auto"/>
            </w:pPr>
            <w:r>
              <w:rPr>
                <w:sz w:val="18"/>
                <w:szCs w:val="18"/>
              </w:rPr>
              <w:t>1.0 (non-dimensionalised)</w:t>
            </w:r>
          </w:p>
        </w:tc>
        <w:tc>
          <w:tcPr>
            <w:tcW w:w="4212" w:type="dxa"/>
            <w:shd w:val="clear" w:color="auto" w:fill="F4F6F7"/>
            <w:tcMar>
              <w:top w:w="75" w:type="dxa"/>
              <w:left w:w="110" w:type="dxa"/>
              <w:bottom w:w="75" w:type="dxa"/>
              <w:right w:w="110" w:type="dxa"/>
            </w:tcMar>
          </w:tcPr>
          <w:p w14:paraId="3F6264F6" w14:textId="77777777" w:rsidR="00420A20" w:rsidRDefault="00000000">
            <w:pPr>
              <w:spacing w:line="250" w:lineRule="auto"/>
            </w:pPr>
            <w:r>
              <w:rPr>
                <w:sz w:val="18"/>
                <w:szCs w:val="18"/>
              </w:rPr>
              <w:t>Strobl</w:t>
            </w:r>
          </w:p>
        </w:tc>
      </w:tr>
      <w:tr w:rsidR="00420A20" w14:paraId="7A81CC72" w14:textId="77777777">
        <w:tblPrEx>
          <w:tblCellMar>
            <w:top w:w="0" w:type="dxa"/>
            <w:bottom w:w="0" w:type="dxa"/>
          </w:tblCellMar>
        </w:tblPrEx>
        <w:tc>
          <w:tcPr>
            <w:tcW w:w="2059" w:type="dxa"/>
            <w:shd w:val="clear" w:color="auto" w:fill="FFFFFF"/>
            <w:tcMar>
              <w:top w:w="75" w:type="dxa"/>
              <w:left w:w="110" w:type="dxa"/>
              <w:bottom w:w="75" w:type="dxa"/>
              <w:right w:w="110" w:type="dxa"/>
            </w:tcMar>
          </w:tcPr>
          <w:p w14:paraId="62965416" w14:textId="77777777" w:rsidR="00420A20" w:rsidRDefault="00000000">
            <w:pPr>
              <w:spacing w:line="250" w:lineRule="auto"/>
            </w:pPr>
            <w:r>
              <w:rPr>
                <w:b/>
                <w:bCs/>
                <w:sz w:val="18"/>
                <w:szCs w:val="18"/>
              </w:rPr>
              <w:t>d̂_D</w:t>
            </w:r>
          </w:p>
        </w:tc>
        <w:tc>
          <w:tcPr>
            <w:tcW w:w="3089" w:type="dxa"/>
            <w:shd w:val="clear" w:color="auto" w:fill="FFFFFF"/>
            <w:tcMar>
              <w:top w:w="75" w:type="dxa"/>
              <w:left w:w="110" w:type="dxa"/>
              <w:bottom w:w="75" w:type="dxa"/>
              <w:right w:w="110" w:type="dxa"/>
            </w:tcMar>
          </w:tcPr>
          <w:p w14:paraId="3C24BCCA" w14:textId="77777777" w:rsidR="00420A20" w:rsidRDefault="00000000">
            <w:pPr>
              <w:spacing w:line="250" w:lineRule="auto"/>
            </w:pPr>
            <w:r>
              <w:rPr>
                <w:sz w:val="18"/>
                <w:szCs w:val="18"/>
              </w:rPr>
              <w:t>1.5</w:t>
            </w:r>
          </w:p>
        </w:tc>
        <w:tc>
          <w:tcPr>
            <w:tcW w:w="4212" w:type="dxa"/>
            <w:shd w:val="clear" w:color="auto" w:fill="FFFFFF"/>
            <w:tcMar>
              <w:top w:w="75" w:type="dxa"/>
              <w:left w:w="110" w:type="dxa"/>
              <w:bottom w:w="75" w:type="dxa"/>
              <w:right w:w="110" w:type="dxa"/>
            </w:tcMar>
          </w:tcPr>
          <w:p w14:paraId="686B6154" w14:textId="77777777" w:rsidR="00420A20" w:rsidRDefault="00000000">
            <w:pPr>
              <w:spacing w:line="250" w:lineRule="auto"/>
            </w:pPr>
            <w:r>
              <w:rPr>
                <w:sz w:val="18"/>
                <w:szCs w:val="18"/>
              </w:rPr>
              <w:t>Strobl 2021, where d̂_D := 2 d_D</w:t>
            </w:r>
          </w:p>
        </w:tc>
      </w:tr>
      <w:tr w:rsidR="00420A20" w14:paraId="5ED5FF03" w14:textId="77777777">
        <w:tblPrEx>
          <w:tblCellMar>
            <w:top w:w="0" w:type="dxa"/>
            <w:bottom w:w="0" w:type="dxa"/>
          </w:tblCellMar>
        </w:tblPrEx>
        <w:tc>
          <w:tcPr>
            <w:tcW w:w="2059" w:type="dxa"/>
            <w:shd w:val="clear" w:color="auto" w:fill="F4F6F7"/>
            <w:tcMar>
              <w:top w:w="75" w:type="dxa"/>
              <w:left w:w="110" w:type="dxa"/>
              <w:bottom w:w="75" w:type="dxa"/>
              <w:right w:w="110" w:type="dxa"/>
            </w:tcMar>
          </w:tcPr>
          <w:p w14:paraId="608D380F" w14:textId="77777777" w:rsidR="00420A20" w:rsidRDefault="00000000">
            <w:pPr>
              <w:spacing w:line="250" w:lineRule="auto"/>
            </w:pPr>
            <w:r>
              <w:rPr>
                <w:b/>
                <w:bCs/>
                <w:sz w:val="18"/>
                <w:szCs w:val="18"/>
              </w:rPr>
              <w:t>n₀ = N₀/K</w:t>
            </w:r>
          </w:p>
        </w:tc>
        <w:tc>
          <w:tcPr>
            <w:tcW w:w="3089" w:type="dxa"/>
            <w:shd w:val="clear" w:color="auto" w:fill="F4F6F7"/>
            <w:tcMar>
              <w:top w:w="75" w:type="dxa"/>
              <w:left w:w="110" w:type="dxa"/>
              <w:bottom w:w="75" w:type="dxa"/>
              <w:right w:w="110" w:type="dxa"/>
            </w:tcMar>
          </w:tcPr>
          <w:p w14:paraId="24AC8106" w14:textId="77777777" w:rsidR="00420A20" w:rsidRDefault="00000000">
            <w:pPr>
              <w:spacing w:line="250" w:lineRule="auto"/>
            </w:pPr>
            <w:r>
              <w:rPr>
                <w:sz w:val="18"/>
                <w:szCs w:val="18"/>
              </w:rPr>
              <w:t>0.75</w:t>
            </w:r>
          </w:p>
        </w:tc>
        <w:tc>
          <w:tcPr>
            <w:tcW w:w="4212" w:type="dxa"/>
            <w:shd w:val="clear" w:color="auto" w:fill="F4F6F7"/>
            <w:tcMar>
              <w:top w:w="75" w:type="dxa"/>
              <w:left w:w="110" w:type="dxa"/>
              <w:bottom w:w="75" w:type="dxa"/>
              <w:right w:w="110" w:type="dxa"/>
            </w:tcMar>
          </w:tcPr>
          <w:p w14:paraId="08DE9A66" w14:textId="77777777" w:rsidR="00420A20" w:rsidRDefault="00000000">
            <w:pPr>
              <w:spacing w:line="250" w:lineRule="auto"/>
            </w:pPr>
            <w:r>
              <w:rPr>
                <w:sz w:val="18"/>
                <w:szCs w:val="18"/>
              </w:rPr>
              <w:t>Strobl sweep [0.1, 1]</w:t>
            </w:r>
          </w:p>
        </w:tc>
      </w:tr>
      <w:tr w:rsidR="00420A20" w14:paraId="272DD8E9" w14:textId="77777777">
        <w:tblPrEx>
          <w:tblCellMar>
            <w:top w:w="0" w:type="dxa"/>
            <w:bottom w:w="0" w:type="dxa"/>
          </w:tblCellMar>
        </w:tblPrEx>
        <w:tc>
          <w:tcPr>
            <w:tcW w:w="2059" w:type="dxa"/>
            <w:shd w:val="clear" w:color="auto" w:fill="FFFFFF"/>
            <w:tcMar>
              <w:top w:w="75" w:type="dxa"/>
              <w:left w:w="110" w:type="dxa"/>
              <w:bottom w:w="75" w:type="dxa"/>
              <w:right w:w="110" w:type="dxa"/>
            </w:tcMar>
          </w:tcPr>
          <w:p w14:paraId="52A50CA0" w14:textId="77777777" w:rsidR="00420A20" w:rsidRDefault="00000000">
            <w:pPr>
              <w:spacing w:line="250" w:lineRule="auto"/>
            </w:pPr>
            <w:r>
              <w:rPr>
                <w:b/>
                <w:bCs/>
                <w:sz w:val="18"/>
                <w:szCs w:val="18"/>
              </w:rPr>
              <w:t>f_R = R₀/N₀</w:t>
            </w:r>
          </w:p>
        </w:tc>
        <w:tc>
          <w:tcPr>
            <w:tcW w:w="3089" w:type="dxa"/>
            <w:shd w:val="clear" w:color="auto" w:fill="FFFFFF"/>
            <w:tcMar>
              <w:top w:w="75" w:type="dxa"/>
              <w:left w:w="110" w:type="dxa"/>
              <w:bottom w:w="75" w:type="dxa"/>
              <w:right w:w="110" w:type="dxa"/>
            </w:tcMar>
          </w:tcPr>
          <w:p w14:paraId="20E23D9A" w14:textId="77777777" w:rsidR="00420A20" w:rsidRDefault="00000000">
            <w:pPr>
              <w:spacing w:line="250" w:lineRule="auto"/>
            </w:pPr>
            <w:r>
              <w:rPr>
                <w:sz w:val="18"/>
                <w:szCs w:val="18"/>
              </w:rPr>
              <w:t>0.01</w:t>
            </w:r>
          </w:p>
        </w:tc>
        <w:tc>
          <w:tcPr>
            <w:tcW w:w="4212" w:type="dxa"/>
            <w:shd w:val="clear" w:color="auto" w:fill="FFFFFF"/>
            <w:tcMar>
              <w:top w:w="75" w:type="dxa"/>
              <w:left w:w="110" w:type="dxa"/>
              <w:bottom w:w="75" w:type="dxa"/>
              <w:right w:w="110" w:type="dxa"/>
            </w:tcMar>
          </w:tcPr>
          <w:p w14:paraId="226210DE" w14:textId="77777777" w:rsidR="00420A20" w:rsidRDefault="00000000">
            <w:pPr>
              <w:spacing w:line="250" w:lineRule="auto"/>
            </w:pPr>
            <w:r>
              <w:rPr>
                <w:sz w:val="18"/>
                <w:szCs w:val="18"/>
              </w:rPr>
              <w:t>Strobl sweep [1e−5, 0.25]</w:t>
            </w:r>
          </w:p>
        </w:tc>
      </w:tr>
      <w:tr w:rsidR="00420A20" w14:paraId="68F6037A" w14:textId="77777777">
        <w:tblPrEx>
          <w:tblCellMar>
            <w:top w:w="0" w:type="dxa"/>
            <w:bottom w:w="0" w:type="dxa"/>
          </w:tblCellMar>
        </w:tblPrEx>
        <w:tc>
          <w:tcPr>
            <w:tcW w:w="2059" w:type="dxa"/>
            <w:shd w:val="clear" w:color="auto" w:fill="F4F6F7"/>
            <w:tcMar>
              <w:top w:w="75" w:type="dxa"/>
              <w:left w:w="110" w:type="dxa"/>
              <w:bottom w:w="75" w:type="dxa"/>
              <w:right w:w="110" w:type="dxa"/>
            </w:tcMar>
          </w:tcPr>
          <w:p w14:paraId="24E72854" w14:textId="77777777" w:rsidR="00420A20" w:rsidRDefault="00000000">
            <w:pPr>
              <w:spacing w:line="250" w:lineRule="auto"/>
            </w:pPr>
            <w:r>
              <w:rPr>
                <w:b/>
                <w:bCs/>
                <w:sz w:val="18"/>
                <w:szCs w:val="18"/>
              </w:rPr>
              <w:t>Competition</w:t>
            </w:r>
          </w:p>
        </w:tc>
        <w:tc>
          <w:tcPr>
            <w:tcW w:w="3089" w:type="dxa"/>
            <w:shd w:val="clear" w:color="auto" w:fill="F4F6F7"/>
            <w:tcMar>
              <w:top w:w="75" w:type="dxa"/>
              <w:left w:w="110" w:type="dxa"/>
              <w:bottom w:w="75" w:type="dxa"/>
              <w:right w:w="110" w:type="dxa"/>
            </w:tcMar>
          </w:tcPr>
          <w:p w14:paraId="5302F582" w14:textId="77777777" w:rsidR="00420A20" w:rsidRDefault="00000000">
            <w:pPr>
              <w:spacing w:line="250" w:lineRule="auto"/>
            </w:pPr>
            <w:r>
              <w:rPr>
                <w:sz w:val="18"/>
                <w:szCs w:val="18"/>
              </w:rPr>
              <w:t>α = β = 1</w:t>
            </w:r>
          </w:p>
        </w:tc>
        <w:tc>
          <w:tcPr>
            <w:tcW w:w="4212" w:type="dxa"/>
            <w:shd w:val="clear" w:color="auto" w:fill="F4F6F7"/>
            <w:tcMar>
              <w:top w:w="75" w:type="dxa"/>
              <w:left w:w="110" w:type="dxa"/>
              <w:bottom w:w="75" w:type="dxa"/>
              <w:right w:w="110" w:type="dxa"/>
            </w:tcMar>
          </w:tcPr>
          <w:p w14:paraId="339151A5" w14:textId="77777777" w:rsidR="00420A20" w:rsidRDefault="00000000">
            <w:pPr>
              <w:spacing w:line="250" w:lineRule="auto"/>
            </w:pPr>
            <w:r>
              <w:rPr>
                <w:sz w:val="18"/>
                <w:szCs w:val="18"/>
              </w:rPr>
              <w:t>Strobl; Ma 2026</w:t>
            </w:r>
          </w:p>
        </w:tc>
      </w:tr>
      <w:tr w:rsidR="00420A20" w14:paraId="7719B343" w14:textId="77777777">
        <w:tblPrEx>
          <w:tblCellMar>
            <w:top w:w="0" w:type="dxa"/>
            <w:bottom w:w="0" w:type="dxa"/>
          </w:tblCellMar>
        </w:tblPrEx>
        <w:tc>
          <w:tcPr>
            <w:tcW w:w="2059" w:type="dxa"/>
            <w:shd w:val="clear" w:color="auto" w:fill="FFFFFF"/>
            <w:tcMar>
              <w:top w:w="75" w:type="dxa"/>
              <w:left w:w="110" w:type="dxa"/>
              <w:bottom w:w="75" w:type="dxa"/>
              <w:right w:w="110" w:type="dxa"/>
            </w:tcMar>
          </w:tcPr>
          <w:p w14:paraId="40F045AC" w14:textId="77777777" w:rsidR="00420A20" w:rsidRDefault="00000000">
            <w:pPr>
              <w:spacing w:line="250" w:lineRule="auto"/>
            </w:pPr>
            <w:r>
              <w:rPr>
                <w:b/>
                <w:bCs/>
                <w:sz w:val="18"/>
                <w:szCs w:val="18"/>
              </w:rPr>
              <w:t>Progression</w:t>
            </w:r>
          </w:p>
        </w:tc>
        <w:tc>
          <w:tcPr>
            <w:tcW w:w="3089" w:type="dxa"/>
            <w:shd w:val="clear" w:color="auto" w:fill="FFFFFF"/>
            <w:tcMar>
              <w:top w:w="75" w:type="dxa"/>
              <w:left w:w="110" w:type="dxa"/>
              <w:bottom w:w="75" w:type="dxa"/>
              <w:right w:w="110" w:type="dxa"/>
            </w:tcMar>
          </w:tcPr>
          <w:p w14:paraId="5CADB5F8" w14:textId="77777777" w:rsidR="00420A20" w:rsidRDefault="00000000">
            <w:pPr>
              <w:spacing w:line="250" w:lineRule="auto"/>
            </w:pPr>
            <w:r>
              <w:rPr>
                <w:sz w:val="18"/>
                <w:szCs w:val="18"/>
              </w:rPr>
              <w:t>N ≥ 1.2 N₀</w:t>
            </w:r>
          </w:p>
        </w:tc>
        <w:tc>
          <w:tcPr>
            <w:tcW w:w="4212" w:type="dxa"/>
            <w:shd w:val="clear" w:color="auto" w:fill="FFFFFF"/>
            <w:tcMar>
              <w:top w:w="75" w:type="dxa"/>
              <w:left w:w="110" w:type="dxa"/>
              <w:bottom w:w="75" w:type="dxa"/>
              <w:right w:w="110" w:type="dxa"/>
            </w:tcMar>
          </w:tcPr>
          <w:p w14:paraId="0F2AC6CF" w14:textId="77777777" w:rsidR="00420A20" w:rsidRDefault="00000000">
            <w:pPr>
              <w:spacing w:line="250" w:lineRule="auto"/>
            </w:pPr>
            <w:r>
              <w:rPr>
                <w:sz w:val="18"/>
                <w:szCs w:val="18"/>
              </w:rPr>
              <w:t>Field standard: Strobl, Gallagher, Ma</w:t>
            </w:r>
          </w:p>
        </w:tc>
      </w:tr>
    </w:tbl>
    <w:p w14:paraId="2FFEF6CB" w14:textId="77777777" w:rsidR="00420A20" w:rsidRDefault="00420A20">
      <w:pPr>
        <w:spacing w:after="130" w:line="276" w:lineRule="auto"/>
        <w:jc w:val="both"/>
      </w:pPr>
    </w:p>
    <w:tbl>
      <w:tblPr>
        <w:tblW w:w="9360" w:type="dxa"/>
        <w:tblBorders>
          <w:top w:val="single" w:sz="2" w:space="0" w:color="DCE6F2"/>
          <w:left w:val="single" w:sz="18" w:space="0" w:color="0F6E5F"/>
          <w:bottom w:val="single" w:sz="2" w:space="0" w:color="DCE6F2"/>
          <w:right w:val="single" w:sz="2" w:space="0" w:color="DCE6F2"/>
        </w:tblBorders>
        <w:tblCellMar>
          <w:left w:w="10" w:type="dxa"/>
          <w:right w:w="10" w:type="dxa"/>
        </w:tblCellMar>
        <w:tblLook w:val="0000" w:firstRow="0" w:lastRow="0" w:firstColumn="0" w:lastColumn="0" w:noHBand="0" w:noVBand="0"/>
      </w:tblPr>
      <w:tblGrid>
        <w:gridCol w:w="9360"/>
      </w:tblGrid>
      <w:tr w:rsidR="00420A20" w14:paraId="488F26B5" w14:textId="77777777">
        <w:tblPrEx>
          <w:tblCellMar>
            <w:top w:w="0" w:type="dxa"/>
            <w:bottom w:w="0" w:type="dxa"/>
          </w:tblCellMar>
        </w:tblPrEx>
        <w:tc>
          <w:tcPr>
            <w:tcW w:w="9360" w:type="dxa"/>
            <w:shd w:val="clear" w:color="auto" w:fill="F4F8F7"/>
            <w:tcMar>
              <w:top w:w="130" w:type="dxa"/>
              <w:left w:w="180" w:type="dxa"/>
              <w:bottom w:w="130" w:type="dxa"/>
              <w:right w:w="160" w:type="dxa"/>
            </w:tcMar>
          </w:tcPr>
          <w:p w14:paraId="634EA17C" w14:textId="77777777" w:rsidR="00420A20" w:rsidRDefault="00000000">
            <w:pPr>
              <w:spacing w:after="60"/>
            </w:pPr>
            <w:r>
              <w:rPr>
                <w:b/>
                <w:bCs/>
                <w:color w:val="0F6E5F"/>
                <w:sz w:val="19"/>
                <w:szCs w:val="19"/>
              </w:rPr>
              <w:t>A discrepancy already caught, before any code was written</w:t>
            </w:r>
          </w:p>
          <w:p w14:paraId="5A9606C9" w14:textId="77777777" w:rsidR="00420A20" w:rsidRDefault="00000000">
            <w:pPr>
              <w:spacing w:line="272" w:lineRule="auto"/>
              <w:jc w:val="both"/>
            </w:pPr>
            <w:r>
              <w:rPr>
                <w:sz w:val="19"/>
                <w:szCs w:val="19"/>
              </w:rPr>
              <w:t>Strobl writes the kill factor as (1 − 2·d_D·D/D_max) and defines d̂_D := 2·d_D = 1.5; Gallagher writes it as (1 − d_D·D). These agree only if Gallagher's d_D is Strobl's 1.5 and D ∈ [0,1]. A silent factor-of-two error here would make Experiment 0 fail to reproduce the published benchmark, and the week would be spent debugging the agent rather than the environment. We have flagged it and will resolve it against the authors' public code in Week 1.</w:t>
            </w:r>
          </w:p>
        </w:tc>
      </w:tr>
    </w:tbl>
    <w:p w14:paraId="36CCD7DA" w14:textId="77777777" w:rsidR="00420A20" w:rsidRDefault="00000000">
      <w:pPr>
        <w:pStyle w:val="Heading2"/>
        <w:spacing w:before="230" w:after="90"/>
      </w:pPr>
      <w:r>
        <w:rPr>
          <w:b/>
          <w:bCs/>
          <w:color w:val="1B2A4A"/>
          <w:sz w:val="21"/>
          <w:szCs w:val="21"/>
        </w:rPr>
        <w:t>Patient cohort — not a single patient</w:t>
      </w:r>
    </w:p>
    <w:p w14:paraId="6B81A7D3" w14:textId="77777777" w:rsidR="00420A20" w:rsidRDefault="00000000">
      <w:pPr>
        <w:spacing w:after="130" w:line="276" w:lineRule="auto"/>
        <w:jc w:val="both"/>
      </w:pPr>
      <w:r>
        <w:t>How much the objective matters is not a single number; it is a function of where a patient sits in parameter space. Strobl's central result is precisely that adaptive therapy helps in some regions of the (cost of resistance, turnover) plane and barely at all in others. We therefore treat the cohort as part of the minimum viable product rather than as a stretch goal.</w:t>
      </w:r>
    </w:p>
    <w:p w14:paraId="68103D7D" w14:textId="77777777" w:rsidR="00420A20" w:rsidRDefault="00000000">
      <w:pPr>
        <w:keepNext/>
        <w:keepLines/>
        <w:spacing w:before="160" w:after="60"/>
        <w:jc w:val="center"/>
      </w:pPr>
      <w:r>
        <w:rPr>
          <w:noProof/>
        </w:rPr>
        <w:lastRenderedPageBreak/>
        <w:drawing>
          <wp:inline distT="0" distB="0" distL="0" distR="0" wp14:anchorId="0020A499" wp14:editId="7F572552">
            <wp:extent cx="3838575" cy="2514600"/>
            <wp:effectExtent l="0" t="0" r="0" b="0"/>
            <wp:docPr id="1608962268" name="Picture 1608962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838575" cy="2514600"/>
                    </a:xfrm>
                    <a:prstGeom prst="rect">
                      <a:avLst/>
                    </a:prstGeom>
                  </pic:spPr>
                </pic:pic>
              </a:graphicData>
            </a:graphic>
          </wp:inline>
        </w:drawing>
      </w:r>
    </w:p>
    <w:p w14:paraId="5213DDB8" w14:textId="77777777" w:rsidR="00420A20" w:rsidRDefault="00000000">
      <w:pPr>
        <w:spacing w:after="220"/>
        <w:jc w:val="center"/>
      </w:pPr>
      <w:r>
        <w:rPr>
          <w:b/>
          <w:bCs/>
          <w:color w:val="1B2A4A"/>
          <w:sz w:val="17"/>
          <w:szCs w:val="17"/>
        </w:rPr>
        <w:t xml:space="preserve">Figure 3. </w:t>
      </w:r>
      <w:r>
        <w:rPr>
          <w:i/>
          <w:iCs/>
          <w:color w:val="6B6B6B"/>
          <w:sz w:val="17"/>
          <w:szCs w:val="17"/>
        </w:rPr>
        <w:t>Our simulation of the benefit of AT50 over continuous MTD across the parameter plane. The gain ranges from 1.2× to over 2.2×, and in the grey region the tumour never reaches the progression threshold at all, so time to progression is undefined. A result reported from one patient is a result reported from one point in this picture.</w:t>
      </w:r>
    </w:p>
    <w:p w14:paraId="5F2DB89A" w14:textId="77777777" w:rsidR="00420A20" w:rsidRDefault="00000000">
      <w:pPr>
        <w:spacing w:after="130" w:line="276" w:lineRule="auto"/>
        <w:jc w:val="both"/>
      </w:pPr>
      <w:r>
        <w:t>The MVP therefore trains and evaluates on a 3 × 3 virtual cohort spanning cost of resistance {0.10, 0.26, 0.42} and turnover {0.01, 0.03, 0.05}, chosen to lie inside the region where progression actually occurs. This is the same parameter space Strobl and Gallagher sweep, so our robustness results remain directly comparable to theirs rather than being a private construction. Compute is genuinely not the constraint: the environment is a two-state ODE and the full grid trains on CPU within the project window.</w:t>
      </w:r>
    </w:p>
    <w:p w14:paraId="780FE733" w14:textId="77777777" w:rsidR="00420A20" w:rsidRDefault="00000000">
      <w:pPr>
        <w:pStyle w:val="Heading1"/>
        <w:pBdr>
          <w:bottom w:val="single" w:sz="6" w:space="6" w:color="D8DDE2"/>
        </w:pBdr>
        <w:spacing w:before="340" w:after="130"/>
      </w:pPr>
      <w:r>
        <w:rPr>
          <w:b/>
          <w:bCs/>
          <w:color w:val="0F6E5F"/>
          <w:sz w:val="25"/>
          <w:szCs w:val="25"/>
        </w:rPr>
        <w:t xml:space="preserve">5.  </w:t>
      </w:r>
      <w:r>
        <w:rPr>
          <w:b/>
          <w:bCs/>
          <w:color w:val="1B2A4A"/>
          <w:sz w:val="25"/>
          <w:szCs w:val="25"/>
        </w:rPr>
        <w:t>The AI task, and why reinforcement learning is required</w:t>
      </w:r>
    </w:p>
    <w:p w14:paraId="15258804" w14:textId="77777777" w:rsidR="00420A20" w:rsidRDefault="00000000">
      <w:pPr>
        <w:spacing w:after="130" w:line="276" w:lineRule="auto"/>
        <w:jc w:val="both"/>
      </w:pPr>
      <w:r>
        <w:t>The task is sequential decision-making under a Markov decision process, not classification or regression. At each decision point the agent observes the tumour state and chooses a dose; the reward function is the variable under study.</w:t>
      </w:r>
    </w:p>
    <w:p w14:paraId="5BDFB7ED" w14:textId="77777777" w:rsidR="00420A20" w:rsidRDefault="00000000">
      <w:pPr>
        <w:spacing w:after="130" w:line="276" w:lineRule="auto"/>
        <w:jc w:val="both"/>
      </w:pPr>
      <w:r>
        <w:rPr>
          <w:b/>
          <w:bCs/>
        </w:rPr>
        <w:t xml:space="preserve">An examiner should immediately ask why reinforcement learning is needed at all. </w:t>
      </w:r>
      <w:r>
        <w:t>On a two-dimensional deterministic state with a binary action, value iteration on a discretised (S, R) grid returns the exact optimal policy for any given objective — no seeds, no training instability, no variance. If that were the whole environment, the agent would be reproducing something we could already compute, and the RL would contribute nothing but noise. We take this objection seriously enough to build the project around it.</w:t>
      </w:r>
    </w:p>
    <w:p w14:paraId="309FDAF6" w14:textId="77777777" w:rsidR="00420A20" w:rsidRDefault="00000000">
      <w:pPr>
        <w:keepNext/>
        <w:keepLines/>
        <w:spacing w:before="160" w:after="60"/>
        <w:jc w:val="center"/>
      </w:pPr>
      <w:r>
        <w:rPr>
          <w:noProof/>
        </w:rPr>
        <w:drawing>
          <wp:inline distT="0" distB="0" distL="0" distR="0" wp14:anchorId="4D3FAD48" wp14:editId="1EE77A00">
            <wp:extent cx="4391025" cy="1428750"/>
            <wp:effectExtent l="0" t="0" r="0" b="0"/>
            <wp:docPr id="350831994" name="Picture 3508319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391025" cy="1428750"/>
                    </a:xfrm>
                    <a:prstGeom prst="rect">
                      <a:avLst/>
                    </a:prstGeom>
                  </pic:spPr>
                </pic:pic>
              </a:graphicData>
            </a:graphic>
          </wp:inline>
        </w:drawing>
      </w:r>
    </w:p>
    <w:p w14:paraId="7F9FDD5D" w14:textId="77777777" w:rsidR="00420A20" w:rsidRDefault="00000000">
      <w:pPr>
        <w:spacing w:after="220"/>
        <w:jc w:val="center"/>
      </w:pPr>
      <w:r>
        <w:rPr>
          <w:b/>
          <w:bCs/>
          <w:color w:val="1B2A4A"/>
          <w:sz w:val="17"/>
          <w:szCs w:val="17"/>
        </w:rPr>
        <w:t xml:space="preserve">Figure 5. </w:t>
      </w:r>
      <w:r>
        <w:rPr>
          <w:i/>
          <w:iCs/>
          <w:color w:val="6B6B6B"/>
          <w:sz w:val="17"/>
          <w:szCs w:val="17"/>
        </w:rPr>
        <w:t>The environment is deliberately specified in two tiers. Value iteration is exact on the first and intractable on the second; reinforcement learning earns its place only on the second.</w:t>
      </w:r>
    </w:p>
    <w:p w14:paraId="32FC3C5C" w14:textId="77777777" w:rsidR="00420A20" w:rsidRDefault="00000000">
      <w:pPr>
        <w:spacing w:after="130" w:line="276" w:lineRule="auto"/>
        <w:jc w:val="both"/>
      </w:pPr>
      <w:r>
        <w:rPr>
          <w:b/>
          <w:bCs/>
        </w:rPr>
        <w:t>E-base</w:t>
      </w:r>
      <w:r>
        <w:t xml:space="preserve"> is the fully observed, deterministic, binary-action environment. Here value iteration is tractable and we use it deliberately — not as a competitor to the agent but as a per-objective optimality ceiling, so that our claim becomes </w:t>
      </w:r>
      <w:r>
        <w:lastRenderedPageBreak/>
        <w:t>"the agent reached 96% of the computable optimum for its own objective" rather than the far weaker "the agent beat AT50".</w:t>
      </w:r>
    </w:p>
    <w:p w14:paraId="11A46DC4" w14:textId="77777777" w:rsidR="00420A20" w:rsidRDefault="00000000">
      <w:pPr>
        <w:spacing w:after="130" w:line="276" w:lineRule="auto"/>
        <w:jc w:val="both"/>
      </w:pPr>
      <w:r>
        <w:rPr>
          <w:b/>
          <w:bCs/>
        </w:rPr>
        <w:t>E-ext</w:t>
      </w:r>
      <w:r>
        <w:t xml:space="preserve"> is the environment where the question actually lives. It adds graded dosing (0, ½ or full dose rather than a binary switch), observations only every 28 days with measurement noise on the reported burden, and a patient whose cost of resistance and turnover are unknown to the agent and must be inferred from the observation history. The agent no longer acts on a state but on a belief over patient parameters, which is a continuous object; discretising it makes the state count grow exponentially in the size of the cohort and puts exact dynamic programming out of reach. Reinforcement learning is then not a stylistic preference but the only available instrument, and recurrent policies become the natural architecture (cf. Kiram et al., 2026, on partial observability in this setting).</w:t>
      </w:r>
    </w:p>
    <w:p w14:paraId="6C13B199" w14:textId="77777777" w:rsidR="00420A20" w:rsidRDefault="00000000">
      <w:pPr>
        <w:spacing w:after="130" w:line="276" w:lineRule="auto"/>
        <w:jc w:val="both"/>
      </w:pPr>
      <w:r>
        <w:t>Graded dosing matters for a second reason that is easy to miss. Under a binary action, "minimise cumulative dose" degenerates into "minimise time on treatment", which is almost exactly what a drug-holiday bonus already rewards. Several of the published objectives are only distinguishable from one another once the action space admits intermediate doses.</w:t>
      </w:r>
    </w:p>
    <w:p w14:paraId="4A9119AA" w14:textId="77777777" w:rsidR="00420A20" w:rsidRDefault="00000000">
      <w:pPr>
        <w:pStyle w:val="Heading1"/>
        <w:pBdr>
          <w:bottom w:val="single" w:sz="6" w:space="6" w:color="D8DDE2"/>
        </w:pBdr>
        <w:spacing w:before="340" w:after="130"/>
      </w:pPr>
      <w:r>
        <w:rPr>
          <w:b/>
          <w:bCs/>
          <w:color w:val="0F6E5F"/>
          <w:sz w:val="25"/>
          <w:szCs w:val="25"/>
        </w:rPr>
        <w:t xml:space="preserve">6.  </w:t>
      </w:r>
      <w:r>
        <w:rPr>
          <w:b/>
          <w:bCs/>
          <w:color w:val="1B2A4A"/>
          <w:sz w:val="25"/>
          <w:szCs w:val="25"/>
        </w:rPr>
        <w:t>The objectives under comparison</w:t>
      </w:r>
    </w:p>
    <w:p w14:paraId="3B927BEE" w14:textId="77777777" w:rsidR="00420A20" w:rsidRDefault="00000000">
      <w:pPr>
        <w:spacing w:after="130" w:line="276" w:lineRule="auto"/>
        <w:jc w:val="both"/>
      </w:pPr>
      <w:r>
        <w:t>We port two objectives from the literature. The pair is chosen not to maximise the apparent difference but to maximise what is learned from the answer.</w:t>
      </w:r>
    </w:p>
    <w:tbl>
      <w:tblPr>
        <w:tblW w:w="9360" w:type="dxa"/>
        <w:tblBorders>
          <w:top w:val="single" w:sz="2" w:space="0" w:color="D8DDE2"/>
          <w:bottom w:val="single" w:sz="2" w:space="0" w:color="D8DDE2"/>
          <w:insideH w:val="single" w:sz="2" w:space="0" w:color="D8DDE2"/>
        </w:tblBorders>
        <w:tblCellMar>
          <w:left w:w="10" w:type="dxa"/>
          <w:right w:w="10" w:type="dxa"/>
        </w:tblCellMar>
        <w:tblLook w:val="0000" w:firstRow="0" w:lastRow="0" w:firstColumn="0" w:lastColumn="0" w:noHBand="0" w:noVBand="0"/>
      </w:tblPr>
      <w:tblGrid>
        <w:gridCol w:w="749"/>
        <w:gridCol w:w="2527"/>
        <w:gridCol w:w="2340"/>
        <w:gridCol w:w="3744"/>
      </w:tblGrid>
      <w:tr w:rsidR="00420A20" w14:paraId="5F0AFE66" w14:textId="77777777">
        <w:tblPrEx>
          <w:tblCellMar>
            <w:top w:w="0" w:type="dxa"/>
            <w:bottom w:w="0" w:type="dxa"/>
          </w:tblCellMar>
        </w:tblPrEx>
        <w:trPr>
          <w:tblHeader/>
        </w:trPr>
        <w:tc>
          <w:tcPr>
            <w:tcW w:w="749" w:type="dxa"/>
            <w:shd w:val="clear" w:color="auto" w:fill="1B2A4A"/>
            <w:tcMar>
              <w:top w:w="75" w:type="dxa"/>
              <w:left w:w="110" w:type="dxa"/>
              <w:bottom w:w="75" w:type="dxa"/>
              <w:right w:w="110" w:type="dxa"/>
            </w:tcMar>
          </w:tcPr>
          <w:p w14:paraId="7DA925E2" w14:textId="77777777" w:rsidR="00420A20" w:rsidRDefault="00000000">
            <w:pPr>
              <w:spacing w:line="250" w:lineRule="auto"/>
            </w:pPr>
            <w:r>
              <w:rPr>
                <w:b/>
                <w:bCs/>
                <w:color w:val="FFFFFF"/>
                <w:sz w:val="18"/>
                <w:szCs w:val="18"/>
              </w:rPr>
              <w:t>Arm</w:t>
            </w:r>
          </w:p>
        </w:tc>
        <w:tc>
          <w:tcPr>
            <w:tcW w:w="2527" w:type="dxa"/>
            <w:shd w:val="clear" w:color="auto" w:fill="1B2A4A"/>
            <w:tcMar>
              <w:top w:w="75" w:type="dxa"/>
              <w:left w:w="110" w:type="dxa"/>
              <w:bottom w:w="75" w:type="dxa"/>
              <w:right w:w="110" w:type="dxa"/>
            </w:tcMar>
          </w:tcPr>
          <w:p w14:paraId="5D1F59CB" w14:textId="77777777" w:rsidR="00420A20" w:rsidRDefault="00000000">
            <w:pPr>
              <w:spacing w:line="250" w:lineRule="auto"/>
            </w:pPr>
            <w:r>
              <w:rPr>
                <w:b/>
                <w:bCs/>
                <w:color w:val="FFFFFF"/>
                <w:sz w:val="18"/>
                <w:szCs w:val="18"/>
              </w:rPr>
              <w:t>Objective</w:t>
            </w:r>
          </w:p>
        </w:tc>
        <w:tc>
          <w:tcPr>
            <w:tcW w:w="2340" w:type="dxa"/>
            <w:shd w:val="clear" w:color="auto" w:fill="1B2A4A"/>
            <w:tcMar>
              <w:top w:w="75" w:type="dxa"/>
              <w:left w:w="110" w:type="dxa"/>
              <w:bottom w:w="75" w:type="dxa"/>
              <w:right w:w="110" w:type="dxa"/>
            </w:tcMar>
          </w:tcPr>
          <w:p w14:paraId="16C4A2FB" w14:textId="77777777" w:rsidR="00420A20" w:rsidRDefault="00000000">
            <w:pPr>
              <w:spacing w:line="250" w:lineRule="auto"/>
            </w:pPr>
            <w:r>
              <w:rPr>
                <w:b/>
                <w:bCs/>
                <w:color w:val="FFFFFF"/>
                <w:sz w:val="18"/>
                <w:szCs w:val="18"/>
              </w:rPr>
              <w:t>Source</w:t>
            </w:r>
          </w:p>
        </w:tc>
        <w:tc>
          <w:tcPr>
            <w:tcW w:w="3744" w:type="dxa"/>
            <w:shd w:val="clear" w:color="auto" w:fill="1B2A4A"/>
            <w:tcMar>
              <w:top w:w="75" w:type="dxa"/>
              <w:left w:w="110" w:type="dxa"/>
              <w:bottom w:w="75" w:type="dxa"/>
              <w:right w:w="110" w:type="dxa"/>
            </w:tcMar>
          </w:tcPr>
          <w:p w14:paraId="10AD2FAF" w14:textId="77777777" w:rsidR="00420A20" w:rsidRDefault="00000000">
            <w:pPr>
              <w:spacing w:line="250" w:lineRule="auto"/>
            </w:pPr>
            <w:r>
              <w:rPr>
                <w:b/>
                <w:bCs/>
                <w:color w:val="FFFFFF"/>
                <w:sz w:val="18"/>
                <w:szCs w:val="18"/>
              </w:rPr>
              <w:t>Reward terms</w:t>
            </w:r>
          </w:p>
        </w:tc>
      </w:tr>
      <w:tr w:rsidR="00420A20" w14:paraId="0BA0CD1A" w14:textId="77777777">
        <w:tblPrEx>
          <w:tblCellMar>
            <w:top w:w="0" w:type="dxa"/>
            <w:bottom w:w="0" w:type="dxa"/>
          </w:tblCellMar>
        </w:tblPrEx>
        <w:tc>
          <w:tcPr>
            <w:tcW w:w="749" w:type="dxa"/>
            <w:shd w:val="clear" w:color="auto" w:fill="FFFFFF"/>
            <w:tcMar>
              <w:top w:w="75" w:type="dxa"/>
              <w:left w:w="110" w:type="dxa"/>
              <w:bottom w:w="75" w:type="dxa"/>
              <w:right w:w="110" w:type="dxa"/>
            </w:tcMar>
          </w:tcPr>
          <w:p w14:paraId="43CE873D" w14:textId="77777777" w:rsidR="00420A20" w:rsidRDefault="00000000">
            <w:pPr>
              <w:spacing w:line="250" w:lineRule="auto"/>
            </w:pPr>
            <w:r>
              <w:rPr>
                <w:b/>
                <w:bCs/>
                <w:sz w:val="18"/>
                <w:szCs w:val="18"/>
              </w:rPr>
              <w:t>R1</w:t>
            </w:r>
          </w:p>
        </w:tc>
        <w:tc>
          <w:tcPr>
            <w:tcW w:w="2527" w:type="dxa"/>
            <w:shd w:val="clear" w:color="auto" w:fill="FFFFFF"/>
            <w:tcMar>
              <w:top w:w="75" w:type="dxa"/>
              <w:left w:w="110" w:type="dxa"/>
              <w:bottom w:w="75" w:type="dxa"/>
              <w:right w:w="110" w:type="dxa"/>
            </w:tcMar>
          </w:tcPr>
          <w:p w14:paraId="6527167C" w14:textId="77777777" w:rsidR="00420A20" w:rsidRDefault="00000000">
            <w:pPr>
              <w:spacing w:line="250" w:lineRule="auto"/>
            </w:pPr>
            <w:r>
              <w:rPr>
                <w:sz w:val="18"/>
                <w:szCs w:val="18"/>
              </w:rPr>
              <w:t>Survival with drug holidays — the field default and our control condition</w:t>
            </w:r>
          </w:p>
        </w:tc>
        <w:tc>
          <w:tcPr>
            <w:tcW w:w="2340" w:type="dxa"/>
            <w:shd w:val="clear" w:color="auto" w:fill="FFFFFF"/>
            <w:tcMar>
              <w:top w:w="75" w:type="dxa"/>
              <w:left w:w="110" w:type="dxa"/>
              <w:bottom w:w="75" w:type="dxa"/>
              <w:right w:w="110" w:type="dxa"/>
            </w:tcMar>
          </w:tcPr>
          <w:p w14:paraId="27967F65" w14:textId="77777777" w:rsidR="00420A20" w:rsidRDefault="00000000">
            <w:pPr>
              <w:spacing w:line="250" w:lineRule="auto"/>
            </w:pPr>
            <w:r>
              <w:rPr>
                <w:sz w:val="18"/>
                <w:szCs w:val="18"/>
              </w:rPr>
              <w:t>Gallagher et al. 2023/24; replicated by Ma 2026</w:t>
            </w:r>
          </w:p>
        </w:tc>
        <w:tc>
          <w:tcPr>
            <w:tcW w:w="3744" w:type="dxa"/>
            <w:shd w:val="clear" w:color="auto" w:fill="FFFFFF"/>
            <w:tcMar>
              <w:top w:w="75" w:type="dxa"/>
              <w:left w:w="110" w:type="dxa"/>
              <w:bottom w:w="75" w:type="dxa"/>
              <w:right w:w="110" w:type="dxa"/>
            </w:tcMar>
          </w:tcPr>
          <w:p w14:paraId="53A21231" w14:textId="77777777" w:rsidR="00420A20" w:rsidRDefault="00000000">
            <w:pPr>
              <w:spacing w:line="250" w:lineRule="auto"/>
            </w:pPr>
            <w:r>
              <w:rPr>
                <w:sz w:val="18"/>
                <w:szCs w:val="18"/>
              </w:rPr>
              <w:t>+0.1 per timestep survived; +0.05 per timestep off treatment; −0.1 on progression; +5 on surviving the horizon; γ = 0.999</w:t>
            </w:r>
          </w:p>
        </w:tc>
      </w:tr>
      <w:tr w:rsidR="00420A20" w14:paraId="3D810109" w14:textId="77777777">
        <w:tblPrEx>
          <w:tblCellMar>
            <w:top w:w="0" w:type="dxa"/>
            <w:bottom w:w="0" w:type="dxa"/>
          </w:tblCellMar>
        </w:tblPrEx>
        <w:tc>
          <w:tcPr>
            <w:tcW w:w="749" w:type="dxa"/>
            <w:shd w:val="clear" w:color="auto" w:fill="F4F6F7"/>
            <w:tcMar>
              <w:top w:w="75" w:type="dxa"/>
              <w:left w:w="110" w:type="dxa"/>
              <w:bottom w:w="75" w:type="dxa"/>
              <w:right w:w="110" w:type="dxa"/>
            </w:tcMar>
          </w:tcPr>
          <w:p w14:paraId="32E9161E" w14:textId="77777777" w:rsidR="00420A20" w:rsidRDefault="00000000">
            <w:pPr>
              <w:spacing w:line="250" w:lineRule="auto"/>
            </w:pPr>
            <w:r>
              <w:rPr>
                <w:b/>
                <w:bCs/>
                <w:sz w:val="18"/>
                <w:szCs w:val="18"/>
              </w:rPr>
              <w:t>R4</w:t>
            </w:r>
          </w:p>
        </w:tc>
        <w:tc>
          <w:tcPr>
            <w:tcW w:w="2527" w:type="dxa"/>
            <w:shd w:val="clear" w:color="auto" w:fill="F4F6F7"/>
            <w:tcMar>
              <w:top w:w="75" w:type="dxa"/>
              <w:left w:w="110" w:type="dxa"/>
              <w:bottom w:w="75" w:type="dxa"/>
              <w:right w:w="110" w:type="dxa"/>
            </w:tcMar>
          </w:tcPr>
          <w:p w14:paraId="3302552A" w14:textId="77777777" w:rsidR="00420A20" w:rsidRDefault="00000000">
            <w:pPr>
              <w:spacing w:line="250" w:lineRule="auto"/>
            </w:pPr>
            <w:r>
              <w:rPr>
                <w:sz w:val="18"/>
                <w:szCs w:val="18"/>
              </w:rPr>
              <w:t>Durability — leaving the tumour in a controllable evolutionary state</w:t>
            </w:r>
          </w:p>
        </w:tc>
        <w:tc>
          <w:tcPr>
            <w:tcW w:w="2340" w:type="dxa"/>
            <w:shd w:val="clear" w:color="auto" w:fill="F4F6F7"/>
            <w:tcMar>
              <w:top w:w="75" w:type="dxa"/>
              <w:left w:w="110" w:type="dxa"/>
              <w:bottom w:w="75" w:type="dxa"/>
              <w:right w:w="110" w:type="dxa"/>
            </w:tcMar>
          </w:tcPr>
          <w:p w14:paraId="7B8A050B" w14:textId="77777777" w:rsidR="00420A20" w:rsidRDefault="00000000">
            <w:pPr>
              <w:spacing w:line="250" w:lineRule="auto"/>
            </w:pPr>
            <w:r>
              <w:rPr>
                <w:sz w:val="18"/>
                <w:szCs w:val="18"/>
              </w:rPr>
              <w:t>Yao et al. 2024</w:t>
            </w:r>
          </w:p>
        </w:tc>
        <w:tc>
          <w:tcPr>
            <w:tcW w:w="3744" w:type="dxa"/>
            <w:shd w:val="clear" w:color="auto" w:fill="F4F6F7"/>
            <w:tcMar>
              <w:top w:w="75" w:type="dxa"/>
              <w:left w:w="110" w:type="dxa"/>
              <w:bottom w:w="75" w:type="dxa"/>
              <w:right w:w="110" w:type="dxa"/>
            </w:tcMar>
          </w:tcPr>
          <w:p w14:paraId="78F08090" w14:textId="77777777" w:rsidR="00420A20" w:rsidRDefault="00000000">
            <w:pPr>
              <w:spacing w:line="250" w:lineRule="auto"/>
            </w:pPr>
            <w:r>
              <w:rPr>
                <w:sz w:val="18"/>
                <w:szCs w:val="18"/>
              </w:rPr>
              <w:t>+0.1 per timestep survived; −0.1 on progression; terminal penalty on resistant-population growth over a 180-day simulated withdrawal window</w:t>
            </w:r>
          </w:p>
        </w:tc>
      </w:tr>
    </w:tbl>
    <w:p w14:paraId="19117F54" w14:textId="77777777" w:rsidR="00420A20" w:rsidRDefault="00420A20">
      <w:pPr>
        <w:spacing w:after="130" w:line="276" w:lineRule="auto"/>
        <w:jc w:val="both"/>
      </w:pPr>
    </w:p>
    <w:tbl>
      <w:tblPr>
        <w:tblW w:w="9360" w:type="dxa"/>
        <w:tblBorders>
          <w:top w:val="single" w:sz="2" w:space="0" w:color="DCE6F2"/>
          <w:left w:val="single" w:sz="18" w:space="0" w:color="0F6E5F"/>
          <w:bottom w:val="single" w:sz="2" w:space="0" w:color="DCE6F2"/>
          <w:right w:val="single" w:sz="2" w:space="0" w:color="DCE6F2"/>
        </w:tblBorders>
        <w:tblCellMar>
          <w:left w:w="10" w:type="dxa"/>
          <w:right w:w="10" w:type="dxa"/>
        </w:tblCellMar>
        <w:tblLook w:val="0000" w:firstRow="0" w:lastRow="0" w:firstColumn="0" w:lastColumn="0" w:noHBand="0" w:noVBand="0"/>
      </w:tblPr>
      <w:tblGrid>
        <w:gridCol w:w="9360"/>
      </w:tblGrid>
      <w:tr w:rsidR="00420A20" w14:paraId="4068BEBA" w14:textId="77777777">
        <w:tblPrEx>
          <w:tblCellMar>
            <w:top w:w="0" w:type="dxa"/>
            <w:bottom w:w="0" w:type="dxa"/>
          </w:tblCellMar>
        </w:tblPrEx>
        <w:tc>
          <w:tcPr>
            <w:tcW w:w="9360" w:type="dxa"/>
            <w:shd w:val="clear" w:color="auto" w:fill="F4F8F7"/>
            <w:tcMar>
              <w:top w:w="130" w:type="dxa"/>
              <w:left w:w="180" w:type="dxa"/>
              <w:bottom w:w="130" w:type="dxa"/>
              <w:right w:w="160" w:type="dxa"/>
            </w:tcMar>
          </w:tcPr>
          <w:p w14:paraId="4F4E70D0" w14:textId="77777777" w:rsidR="00420A20" w:rsidRDefault="00000000">
            <w:pPr>
              <w:spacing w:after="60"/>
            </w:pPr>
            <w:r>
              <w:rPr>
                <w:b/>
                <w:bCs/>
                <w:color w:val="0F6E5F"/>
                <w:sz w:val="19"/>
                <w:szCs w:val="19"/>
              </w:rPr>
              <w:t>Why this pair, and why the rewards share terms</w:t>
            </w:r>
          </w:p>
          <w:p w14:paraId="0F4AB75A" w14:textId="77777777" w:rsidR="00420A20" w:rsidRDefault="00000000">
            <w:pPr>
              <w:spacing w:line="272" w:lineRule="auto"/>
              <w:jc w:val="both"/>
            </w:pPr>
            <w:r>
              <w:rPr>
                <w:sz w:val="19"/>
                <w:szCs w:val="19"/>
              </w:rPr>
              <w:t>R1 and R4 deliberately share an identical survival term and an identical progression penalty, and differ only in the third term — holiday bonus versus post-withdrawal regrowth penalty. This isolates the variable under study. A comparison in which the two rewards also differ in scale, discounting and structure would confound "the objective changed" with "the reward was shaped differently", and could not support the claim we want to make. We rejected a survival-versus-coexistence pairing for a related reason: a faithful port of the entropy objective to two populations places its maximum at a 50% resistant fraction, so the agent would deliberately grow resistance and divergence would be guaranteed in advance by a porting artefact rather than discovered. That variant is retained as a documented secondary result, not as the headline.</w:t>
            </w:r>
          </w:p>
        </w:tc>
      </w:tr>
    </w:tbl>
    <w:p w14:paraId="0D69C6E8" w14:textId="77777777" w:rsidR="00420A20" w:rsidRDefault="00000000">
      <w:pPr>
        <w:spacing w:after="130" w:line="276" w:lineRule="auto"/>
        <w:jc w:val="both"/>
      </w:pPr>
      <w:r>
        <w:t>Instrumental convergence is the outcome we consider most interesting and most publishable. A durability-trained agent may well achieve longer time to progression than the agent trained directly on survival, because durability is instrumentally useful over long horizons whereas a per-step survival bonus can be myopic. If that holds, it is the paper's headline; if it fails, the null is clean and informative. Either direction answers the question.</w:t>
      </w:r>
    </w:p>
    <w:p w14:paraId="2E0063E3" w14:textId="77777777" w:rsidR="00420A20" w:rsidRDefault="00000000">
      <w:pPr>
        <w:pStyle w:val="Heading1"/>
        <w:pBdr>
          <w:bottom w:val="single" w:sz="6" w:space="6" w:color="D8DDE2"/>
        </w:pBdr>
        <w:spacing w:before="340" w:after="130"/>
      </w:pPr>
      <w:r>
        <w:rPr>
          <w:b/>
          <w:bCs/>
          <w:color w:val="0F6E5F"/>
          <w:sz w:val="25"/>
          <w:szCs w:val="25"/>
        </w:rPr>
        <w:t xml:space="preserve">7.  </w:t>
      </w:r>
      <w:r>
        <w:rPr>
          <w:b/>
          <w:bCs/>
          <w:color w:val="1B2A4A"/>
          <w:sz w:val="25"/>
          <w:szCs w:val="25"/>
        </w:rPr>
        <w:t>Experimental plan</w:t>
      </w:r>
    </w:p>
    <w:tbl>
      <w:tblPr>
        <w:tblW w:w="9360" w:type="dxa"/>
        <w:tblBorders>
          <w:top w:val="single" w:sz="2" w:space="0" w:color="D8DDE2"/>
          <w:bottom w:val="single" w:sz="2" w:space="0" w:color="D8DDE2"/>
          <w:insideH w:val="single" w:sz="2" w:space="0" w:color="D8DDE2"/>
        </w:tblBorders>
        <w:tblCellMar>
          <w:left w:w="10" w:type="dxa"/>
          <w:right w:w="10" w:type="dxa"/>
        </w:tblCellMar>
        <w:tblLook w:val="0000" w:firstRow="0" w:lastRow="0" w:firstColumn="0" w:lastColumn="0" w:noHBand="0" w:noVBand="0"/>
      </w:tblPr>
      <w:tblGrid>
        <w:gridCol w:w="655"/>
        <w:gridCol w:w="3931"/>
        <w:gridCol w:w="4774"/>
      </w:tblGrid>
      <w:tr w:rsidR="00420A20" w14:paraId="7B2367DA" w14:textId="77777777">
        <w:tblPrEx>
          <w:tblCellMar>
            <w:top w:w="0" w:type="dxa"/>
            <w:bottom w:w="0" w:type="dxa"/>
          </w:tblCellMar>
        </w:tblPrEx>
        <w:trPr>
          <w:tblHeader/>
        </w:trPr>
        <w:tc>
          <w:tcPr>
            <w:tcW w:w="655" w:type="dxa"/>
            <w:shd w:val="clear" w:color="auto" w:fill="1B2A4A"/>
            <w:tcMar>
              <w:top w:w="75" w:type="dxa"/>
              <w:left w:w="110" w:type="dxa"/>
              <w:bottom w:w="75" w:type="dxa"/>
              <w:right w:w="110" w:type="dxa"/>
            </w:tcMar>
          </w:tcPr>
          <w:p w14:paraId="6004B861" w14:textId="77777777" w:rsidR="00420A20" w:rsidRDefault="00420A20">
            <w:pPr>
              <w:spacing w:line="250" w:lineRule="auto"/>
            </w:pPr>
          </w:p>
        </w:tc>
        <w:tc>
          <w:tcPr>
            <w:tcW w:w="3931" w:type="dxa"/>
            <w:shd w:val="clear" w:color="auto" w:fill="1B2A4A"/>
            <w:tcMar>
              <w:top w:w="75" w:type="dxa"/>
              <w:left w:w="110" w:type="dxa"/>
              <w:bottom w:w="75" w:type="dxa"/>
              <w:right w:w="110" w:type="dxa"/>
            </w:tcMar>
          </w:tcPr>
          <w:p w14:paraId="302254EE" w14:textId="77777777" w:rsidR="00420A20" w:rsidRDefault="00000000">
            <w:pPr>
              <w:spacing w:line="250" w:lineRule="auto"/>
            </w:pPr>
            <w:r>
              <w:rPr>
                <w:b/>
                <w:bCs/>
                <w:color w:val="FFFFFF"/>
                <w:sz w:val="18"/>
                <w:szCs w:val="18"/>
              </w:rPr>
              <w:t>Experiment</w:t>
            </w:r>
          </w:p>
        </w:tc>
        <w:tc>
          <w:tcPr>
            <w:tcW w:w="4774" w:type="dxa"/>
            <w:shd w:val="clear" w:color="auto" w:fill="1B2A4A"/>
            <w:tcMar>
              <w:top w:w="75" w:type="dxa"/>
              <w:left w:w="110" w:type="dxa"/>
              <w:bottom w:w="75" w:type="dxa"/>
              <w:right w:w="110" w:type="dxa"/>
            </w:tcMar>
          </w:tcPr>
          <w:p w14:paraId="3020F352" w14:textId="77777777" w:rsidR="00420A20" w:rsidRDefault="00000000">
            <w:pPr>
              <w:spacing w:line="250" w:lineRule="auto"/>
            </w:pPr>
            <w:r>
              <w:rPr>
                <w:b/>
                <w:bCs/>
                <w:color w:val="FFFFFF"/>
                <w:sz w:val="18"/>
                <w:szCs w:val="18"/>
              </w:rPr>
              <w:t>Purpose</w:t>
            </w:r>
          </w:p>
        </w:tc>
      </w:tr>
      <w:tr w:rsidR="00420A20" w14:paraId="1DCC6C61" w14:textId="77777777">
        <w:tblPrEx>
          <w:tblCellMar>
            <w:top w:w="0" w:type="dxa"/>
            <w:bottom w:w="0" w:type="dxa"/>
          </w:tblCellMar>
        </w:tblPrEx>
        <w:tc>
          <w:tcPr>
            <w:tcW w:w="655" w:type="dxa"/>
            <w:shd w:val="clear" w:color="auto" w:fill="FFFFFF"/>
            <w:tcMar>
              <w:top w:w="75" w:type="dxa"/>
              <w:left w:w="110" w:type="dxa"/>
              <w:bottom w:w="75" w:type="dxa"/>
              <w:right w:w="110" w:type="dxa"/>
            </w:tcMar>
          </w:tcPr>
          <w:p w14:paraId="185418F3" w14:textId="77777777" w:rsidR="00420A20" w:rsidRDefault="00000000">
            <w:pPr>
              <w:spacing w:line="250" w:lineRule="auto"/>
            </w:pPr>
            <w:r>
              <w:rPr>
                <w:b/>
                <w:bCs/>
                <w:sz w:val="18"/>
                <w:szCs w:val="18"/>
              </w:rPr>
              <w:t>E0</w:t>
            </w:r>
          </w:p>
        </w:tc>
        <w:tc>
          <w:tcPr>
            <w:tcW w:w="3931" w:type="dxa"/>
            <w:shd w:val="clear" w:color="auto" w:fill="FFFFFF"/>
            <w:tcMar>
              <w:top w:w="75" w:type="dxa"/>
              <w:left w:w="110" w:type="dxa"/>
              <w:bottom w:w="75" w:type="dxa"/>
              <w:right w:w="110" w:type="dxa"/>
            </w:tcMar>
          </w:tcPr>
          <w:p w14:paraId="6D4DD467" w14:textId="77777777" w:rsidR="00420A20" w:rsidRDefault="00000000">
            <w:pPr>
              <w:spacing w:line="250" w:lineRule="auto"/>
            </w:pPr>
            <w:r>
              <w:rPr>
                <w:sz w:val="18"/>
                <w:szCs w:val="18"/>
              </w:rPr>
              <w:t>Reproduce the published benchmark on E-base</w:t>
            </w:r>
          </w:p>
        </w:tc>
        <w:tc>
          <w:tcPr>
            <w:tcW w:w="4774" w:type="dxa"/>
            <w:shd w:val="clear" w:color="auto" w:fill="FFFFFF"/>
            <w:tcMar>
              <w:top w:w="75" w:type="dxa"/>
              <w:left w:w="110" w:type="dxa"/>
              <w:bottom w:w="75" w:type="dxa"/>
              <w:right w:w="110" w:type="dxa"/>
            </w:tcMar>
          </w:tcPr>
          <w:p w14:paraId="5DDA611D" w14:textId="77777777" w:rsidR="00420A20" w:rsidRDefault="00000000">
            <w:pPr>
              <w:spacing w:line="250" w:lineRule="auto"/>
            </w:pPr>
            <w:r>
              <w:rPr>
                <w:sz w:val="18"/>
                <w:szCs w:val="18"/>
              </w:rPr>
              <w:t>Correctness gate. Nothing downstream is trusted until this passes.</w:t>
            </w:r>
          </w:p>
        </w:tc>
      </w:tr>
      <w:tr w:rsidR="00420A20" w14:paraId="47E93550" w14:textId="77777777">
        <w:tblPrEx>
          <w:tblCellMar>
            <w:top w:w="0" w:type="dxa"/>
            <w:bottom w:w="0" w:type="dxa"/>
          </w:tblCellMar>
        </w:tblPrEx>
        <w:tc>
          <w:tcPr>
            <w:tcW w:w="655" w:type="dxa"/>
            <w:shd w:val="clear" w:color="auto" w:fill="F4F6F7"/>
            <w:tcMar>
              <w:top w:w="75" w:type="dxa"/>
              <w:left w:w="110" w:type="dxa"/>
              <w:bottom w:w="75" w:type="dxa"/>
              <w:right w:w="110" w:type="dxa"/>
            </w:tcMar>
          </w:tcPr>
          <w:p w14:paraId="46668CB8" w14:textId="77777777" w:rsidR="00420A20" w:rsidRDefault="00000000">
            <w:pPr>
              <w:spacing w:line="250" w:lineRule="auto"/>
            </w:pPr>
            <w:r>
              <w:rPr>
                <w:b/>
                <w:bCs/>
                <w:sz w:val="18"/>
                <w:szCs w:val="18"/>
              </w:rPr>
              <w:t>E1</w:t>
            </w:r>
          </w:p>
        </w:tc>
        <w:tc>
          <w:tcPr>
            <w:tcW w:w="3931" w:type="dxa"/>
            <w:shd w:val="clear" w:color="auto" w:fill="F4F6F7"/>
            <w:tcMar>
              <w:top w:w="75" w:type="dxa"/>
              <w:left w:w="110" w:type="dxa"/>
              <w:bottom w:w="75" w:type="dxa"/>
              <w:right w:w="110" w:type="dxa"/>
            </w:tcMar>
          </w:tcPr>
          <w:p w14:paraId="6731539F" w14:textId="77777777" w:rsidR="00420A20" w:rsidRDefault="00000000">
            <w:pPr>
              <w:spacing w:line="250" w:lineRule="auto"/>
            </w:pPr>
            <w:r>
              <w:rPr>
                <w:sz w:val="18"/>
                <w:szCs w:val="18"/>
              </w:rPr>
              <w:t>Baseline suite: no treatment, MTD, AT50, tuned AT-x sweep, intermittent, AT-PSC</w:t>
            </w:r>
          </w:p>
        </w:tc>
        <w:tc>
          <w:tcPr>
            <w:tcW w:w="4774" w:type="dxa"/>
            <w:shd w:val="clear" w:color="auto" w:fill="F4F6F7"/>
            <w:tcMar>
              <w:top w:w="75" w:type="dxa"/>
              <w:left w:w="110" w:type="dxa"/>
              <w:bottom w:w="75" w:type="dxa"/>
              <w:right w:w="110" w:type="dxa"/>
            </w:tcMar>
          </w:tcPr>
          <w:p w14:paraId="6A61E05D" w14:textId="77777777" w:rsidR="00420A20" w:rsidRDefault="00000000">
            <w:pPr>
              <w:spacing w:line="250" w:lineRule="auto"/>
            </w:pPr>
            <w:r>
              <w:rPr>
                <w:sz w:val="18"/>
                <w:szCs w:val="18"/>
              </w:rPr>
              <w:t>Establishes the tuned-heuristic ceiling that RL must clear to be interesting.</w:t>
            </w:r>
          </w:p>
        </w:tc>
      </w:tr>
      <w:tr w:rsidR="00420A20" w14:paraId="3371E7E3" w14:textId="77777777">
        <w:tblPrEx>
          <w:tblCellMar>
            <w:top w:w="0" w:type="dxa"/>
            <w:bottom w:w="0" w:type="dxa"/>
          </w:tblCellMar>
        </w:tblPrEx>
        <w:tc>
          <w:tcPr>
            <w:tcW w:w="655" w:type="dxa"/>
            <w:shd w:val="clear" w:color="auto" w:fill="FFFFFF"/>
            <w:tcMar>
              <w:top w:w="75" w:type="dxa"/>
              <w:left w:w="110" w:type="dxa"/>
              <w:bottom w:w="75" w:type="dxa"/>
              <w:right w:w="110" w:type="dxa"/>
            </w:tcMar>
          </w:tcPr>
          <w:p w14:paraId="58AF1C9F" w14:textId="77777777" w:rsidR="00420A20" w:rsidRDefault="00000000">
            <w:pPr>
              <w:spacing w:line="250" w:lineRule="auto"/>
            </w:pPr>
            <w:r>
              <w:rPr>
                <w:b/>
                <w:bCs/>
                <w:sz w:val="18"/>
                <w:szCs w:val="18"/>
              </w:rPr>
              <w:t>E2</w:t>
            </w:r>
          </w:p>
        </w:tc>
        <w:tc>
          <w:tcPr>
            <w:tcW w:w="3931" w:type="dxa"/>
            <w:shd w:val="clear" w:color="auto" w:fill="FFFFFF"/>
            <w:tcMar>
              <w:top w:w="75" w:type="dxa"/>
              <w:left w:w="110" w:type="dxa"/>
              <w:bottom w:w="75" w:type="dxa"/>
              <w:right w:w="110" w:type="dxa"/>
            </w:tcMar>
          </w:tcPr>
          <w:p w14:paraId="50E9E271" w14:textId="77777777" w:rsidR="00420A20" w:rsidRDefault="00000000">
            <w:pPr>
              <w:spacing w:line="250" w:lineRule="auto"/>
            </w:pPr>
            <w:r>
              <w:rPr>
                <w:sz w:val="18"/>
                <w:szCs w:val="18"/>
              </w:rPr>
              <w:t>Value iteration per objective on E-base</w:t>
            </w:r>
          </w:p>
        </w:tc>
        <w:tc>
          <w:tcPr>
            <w:tcW w:w="4774" w:type="dxa"/>
            <w:shd w:val="clear" w:color="auto" w:fill="FFFFFF"/>
            <w:tcMar>
              <w:top w:w="75" w:type="dxa"/>
              <w:left w:w="110" w:type="dxa"/>
              <w:bottom w:w="75" w:type="dxa"/>
              <w:right w:w="110" w:type="dxa"/>
            </w:tcMar>
          </w:tcPr>
          <w:p w14:paraId="37A0EB5C" w14:textId="77777777" w:rsidR="00420A20" w:rsidRDefault="00000000">
            <w:pPr>
              <w:spacing w:line="250" w:lineRule="auto"/>
            </w:pPr>
            <w:r>
              <w:rPr>
                <w:sz w:val="18"/>
                <w:szCs w:val="18"/>
              </w:rPr>
              <w:t>A computable optimality ceiling per objective — a column of ceilings, not one number.</w:t>
            </w:r>
          </w:p>
        </w:tc>
      </w:tr>
      <w:tr w:rsidR="00420A20" w14:paraId="1408FA83" w14:textId="77777777">
        <w:tblPrEx>
          <w:tblCellMar>
            <w:top w:w="0" w:type="dxa"/>
            <w:bottom w:w="0" w:type="dxa"/>
          </w:tblCellMar>
        </w:tblPrEx>
        <w:tc>
          <w:tcPr>
            <w:tcW w:w="655" w:type="dxa"/>
            <w:shd w:val="clear" w:color="auto" w:fill="F4F6F7"/>
            <w:tcMar>
              <w:top w:w="75" w:type="dxa"/>
              <w:left w:w="110" w:type="dxa"/>
              <w:bottom w:w="75" w:type="dxa"/>
              <w:right w:w="110" w:type="dxa"/>
            </w:tcMar>
          </w:tcPr>
          <w:p w14:paraId="33D9C389" w14:textId="77777777" w:rsidR="00420A20" w:rsidRDefault="00000000">
            <w:pPr>
              <w:spacing w:line="250" w:lineRule="auto"/>
            </w:pPr>
            <w:r>
              <w:rPr>
                <w:b/>
                <w:bCs/>
                <w:sz w:val="18"/>
                <w:szCs w:val="18"/>
              </w:rPr>
              <w:t>E3</w:t>
            </w:r>
          </w:p>
        </w:tc>
        <w:tc>
          <w:tcPr>
            <w:tcW w:w="3931" w:type="dxa"/>
            <w:shd w:val="clear" w:color="auto" w:fill="F4F6F7"/>
            <w:tcMar>
              <w:top w:w="75" w:type="dxa"/>
              <w:left w:w="110" w:type="dxa"/>
              <w:bottom w:w="75" w:type="dxa"/>
              <w:right w:w="110" w:type="dxa"/>
            </w:tcMar>
          </w:tcPr>
          <w:p w14:paraId="442F30F7" w14:textId="77777777" w:rsidR="00420A20" w:rsidRDefault="00000000">
            <w:pPr>
              <w:spacing w:line="250" w:lineRule="auto"/>
            </w:pPr>
            <w:r>
              <w:rPr>
                <w:sz w:val="18"/>
                <w:szCs w:val="18"/>
              </w:rPr>
              <w:t>Train R1 and R4 on E-ext, 10 seeds per objective per cohort patient</w:t>
            </w:r>
          </w:p>
        </w:tc>
        <w:tc>
          <w:tcPr>
            <w:tcW w:w="4774" w:type="dxa"/>
            <w:shd w:val="clear" w:color="auto" w:fill="F4F6F7"/>
            <w:tcMar>
              <w:top w:w="75" w:type="dxa"/>
              <w:left w:w="110" w:type="dxa"/>
              <w:bottom w:w="75" w:type="dxa"/>
              <w:right w:w="110" w:type="dxa"/>
            </w:tcMar>
          </w:tcPr>
          <w:p w14:paraId="61765789" w14:textId="77777777" w:rsidR="00420A20" w:rsidRDefault="00000000">
            <w:pPr>
              <w:spacing w:line="250" w:lineRule="auto"/>
            </w:pPr>
            <w:r>
              <w:rPr>
                <w:sz w:val="18"/>
                <w:szCs w:val="18"/>
              </w:rPr>
              <w:t>The agents under comparison.</w:t>
            </w:r>
          </w:p>
        </w:tc>
      </w:tr>
      <w:tr w:rsidR="00420A20" w14:paraId="6135BFB9" w14:textId="77777777">
        <w:tblPrEx>
          <w:tblCellMar>
            <w:top w:w="0" w:type="dxa"/>
            <w:bottom w:w="0" w:type="dxa"/>
          </w:tblCellMar>
        </w:tblPrEx>
        <w:tc>
          <w:tcPr>
            <w:tcW w:w="655" w:type="dxa"/>
            <w:shd w:val="clear" w:color="auto" w:fill="FFFFFF"/>
            <w:tcMar>
              <w:top w:w="75" w:type="dxa"/>
              <w:left w:w="110" w:type="dxa"/>
              <w:bottom w:w="75" w:type="dxa"/>
              <w:right w:w="110" w:type="dxa"/>
            </w:tcMar>
          </w:tcPr>
          <w:p w14:paraId="377F41F7" w14:textId="77777777" w:rsidR="00420A20" w:rsidRDefault="00000000">
            <w:pPr>
              <w:spacing w:line="250" w:lineRule="auto"/>
            </w:pPr>
            <w:r>
              <w:rPr>
                <w:b/>
                <w:bCs/>
                <w:sz w:val="18"/>
                <w:szCs w:val="18"/>
              </w:rPr>
              <w:t>E4</w:t>
            </w:r>
          </w:p>
        </w:tc>
        <w:tc>
          <w:tcPr>
            <w:tcW w:w="3931" w:type="dxa"/>
            <w:shd w:val="clear" w:color="auto" w:fill="FFFFFF"/>
            <w:tcMar>
              <w:top w:w="75" w:type="dxa"/>
              <w:left w:w="110" w:type="dxa"/>
              <w:bottom w:w="75" w:type="dxa"/>
              <w:right w:w="110" w:type="dxa"/>
            </w:tcMar>
          </w:tcPr>
          <w:p w14:paraId="28127A6C" w14:textId="77777777" w:rsidR="00420A20" w:rsidRDefault="00000000">
            <w:pPr>
              <w:spacing w:line="250" w:lineRule="auto"/>
            </w:pPr>
            <w:r>
              <w:rPr>
                <w:sz w:val="18"/>
                <w:szCs w:val="18"/>
              </w:rPr>
              <w:t>Cross-evaluate every agent on every objective's metric</w:t>
            </w:r>
          </w:p>
        </w:tc>
        <w:tc>
          <w:tcPr>
            <w:tcW w:w="4774" w:type="dxa"/>
            <w:shd w:val="clear" w:color="auto" w:fill="FFFFFF"/>
            <w:tcMar>
              <w:top w:w="75" w:type="dxa"/>
              <w:left w:w="110" w:type="dxa"/>
              <w:bottom w:w="75" w:type="dxa"/>
              <w:right w:w="110" w:type="dxa"/>
            </w:tcMar>
          </w:tcPr>
          <w:p w14:paraId="67EF44F8" w14:textId="77777777" w:rsidR="00420A20" w:rsidRDefault="00000000">
            <w:pPr>
              <w:spacing w:line="250" w:lineRule="auto"/>
            </w:pPr>
            <w:r>
              <w:rPr>
                <w:sz w:val="18"/>
                <w:szCs w:val="18"/>
              </w:rPr>
              <w:t>The core result. The content is in the off-diagonal.</w:t>
            </w:r>
          </w:p>
        </w:tc>
      </w:tr>
      <w:tr w:rsidR="00420A20" w14:paraId="28E82032" w14:textId="77777777">
        <w:tblPrEx>
          <w:tblCellMar>
            <w:top w:w="0" w:type="dxa"/>
            <w:bottom w:w="0" w:type="dxa"/>
          </w:tblCellMar>
        </w:tblPrEx>
        <w:tc>
          <w:tcPr>
            <w:tcW w:w="655" w:type="dxa"/>
            <w:shd w:val="clear" w:color="auto" w:fill="F4F6F7"/>
            <w:tcMar>
              <w:top w:w="75" w:type="dxa"/>
              <w:left w:w="110" w:type="dxa"/>
              <w:bottom w:w="75" w:type="dxa"/>
              <w:right w:w="110" w:type="dxa"/>
            </w:tcMar>
          </w:tcPr>
          <w:p w14:paraId="6609100B" w14:textId="77777777" w:rsidR="00420A20" w:rsidRDefault="00000000">
            <w:pPr>
              <w:spacing w:line="250" w:lineRule="auto"/>
            </w:pPr>
            <w:r>
              <w:rPr>
                <w:b/>
                <w:bCs/>
                <w:sz w:val="18"/>
                <w:szCs w:val="18"/>
              </w:rPr>
              <w:t>E5</w:t>
            </w:r>
          </w:p>
        </w:tc>
        <w:tc>
          <w:tcPr>
            <w:tcW w:w="3931" w:type="dxa"/>
            <w:shd w:val="clear" w:color="auto" w:fill="F4F6F7"/>
            <w:tcMar>
              <w:top w:w="75" w:type="dxa"/>
              <w:left w:w="110" w:type="dxa"/>
              <w:bottom w:w="75" w:type="dxa"/>
              <w:right w:w="110" w:type="dxa"/>
            </w:tcMar>
          </w:tcPr>
          <w:p w14:paraId="04B96F29" w14:textId="77777777" w:rsidR="00420A20" w:rsidRDefault="00000000">
            <w:pPr>
              <w:spacing w:line="250" w:lineRule="auto"/>
            </w:pPr>
            <w:r>
              <w:rPr>
                <w:sz w:val="18"/>
                <w:szCs w:val="18"/>
              </w:rPr>
              <w:t>Policy divergence: switching threshold N*, pairwise KL divergence</w:t>
            </w:r>
          </w:p>
        </w:tc>
        <w:tc>
          <w:tcPr>
            <w:tcW w:w="4774" w:type="dxa"/>
            <w:shd w:val="clear" w:color="auto" w:fill="F4F6F7"/>
            <w:tcMar>
              <w:top w:w="75" w:type="dxa"/>
              <w:left w:w="110" w:type="dxa"/>
              <w:bottom w:w="75" w:type="dxa"/>
              <w:right w:w="110" w:type="dxa"/>
            </w:tcMar>
          </w:tcPr>
          <w:p w14:paraId="58EA205B" w14:textId="77777777" w:rsidR="00420A20" w:rsidRDefault="00000000">
            <w:pPr>
              <w:spacing w:line="250" w:lineRule="auto"/>
            </w:pPr>
            <w:r>
              <w:rPr>
                <w:sz w:val="18"/>
                <w:szCs w:val="18"/>
              </w:rPr>
              <w:t>Detects policy differences that outcome metrics hide.</w:t>
            </w:r>
          </w:p>
        </w:tc>
      </w:tr>
      <w:tr w:rsidR="00420A20" w14:paraId="2CDC5494" w14:textId="77777777">
        <w:tblPrEx>
          <w:tblCellMar>
            <w:top w:w="0" w:type="dxa"/>
            <w:bottom w:w="0" w:type="dxa"/>
          </w:tblCellMar>
        </w:tblPrEx>
        <w:tc>
          <w:tcPr>
            <w:tcW w:w="655" w:type="dxa"/>
            <w:shd w:val="clear" w:color="auto" w:fill="FFFFFF"/>
            <w:tcMar>
              <w:top w:w="75" w:type="dxa"/>
              <w:left w:w="110" w:type="dxa"/>
              <w:bottom w:w="75" w:type="dxa"/>
              <w:right w:w="110" w:type="dxa"/>
            </w:tcMar>
          </w:tcPr>
          <w:p w14:paraId="6C27EF89" w14:textId="77777777" w:rsidR="00420A20" w:rsidRDefault="00000000">
            <w:pPr>
              <w:spacing w:line="250" w:lineRule="auto"/>
            </w:pPr>
            <w:r>
              <w:rPr>
                <w:b/>
                <w:bCs/>
                <w:sz w:val="18"/>
                <w:szCs w:val="18"/>
              </w:rPr>
              <w:t>E6</w:t>
            </w:r>
          </w:p>
        </w:tc>
        <w:tc>
          <w:tcPr>
            <w:tcW w:w="3931" w:type="dxa"/>
            <w:shd w:val="clear" w:color="auto" w:fill="FFFFFF"/>
            <w:tcMar>
              <w:top w:w="75" w:type="dxa"/>
              <w:left w:w="110" w:type="dxa"/>
              <w:bottom w:w="75" w:type="dxa"/>
              <w:right w:w="110" w:type="dxa"/>
            </w:tcMar>
          </w:tcPr>
          <w:p w14:paraId="531D3EA6" w14:textId="77777777" w:rsidR="00420A20" w:rsidRDefault="00000000">
            <w:pPr>
              <w:spacing w:line="250" w:lineRule="auto"/>
            </w:pPr>
            <w:r>
              <w:rPr>
                <w:sz w:val="18"/>
                <w:szCs w:val="18"/>
              </w:rPr>
              <w:t>Cohort robustness across the 3 × 3 grid</w:t>
            </w:r>
          </w:p>
        </w:tc>
        <w:tc>
          <w:tcPr>
            <w:tcW w:w="4774" w:type="dxa"/>
            <w:shd w:val="clear" w:color="auto" w:fill="FFFFFF"/>
            <w:tcMar>
              <w:top w:w="75" w:type="dxa"/>
              <w:left w:w="110" w:type="dxa"/>
              <w:bottom w:w="75" w:type="dxa"/>
              <w:right w:w="110" w:type="dxa"/>
            </w:tcMar>
          </w:tcPr>
          <w:p w14:paraId="23F94517" w14:textId="77777777" w:rsidR="00420A20" w:rsidRDefault="00000000">
            <w:pPr>
              <w:spacing w:line="250" w:lineRule="auto"/>
            </w:pPr>
            <w:r>
              <w:rPr>
                <w:sz w:val="18"/>
                <w:szCs w:val="18"/>
              </w:rPr>
              <w:t>Establishes whether the answer is patient-specific.</w:t>
            </w:r>
          </w:p>
        </w:tc>
      </w:tr>
    </w:tbl>
    <w:p w14:paraId="1BA587B6" w14:textId="77777777" w:rsidR="00420A20" w:rsidRDefault="00420A20">
      <w:pPr>
        <w:spacing w:after="150" w:line="276" w:lineRule="auto"/>
        <w:jc w:val="both"/>
      </w:pPr>
    </w:p>
    <w:p w14:paraId="385411B5" w14:textId="77777777" w:rsidR="00420A20" w:rsidRDefault="00000000">
      <w:pPr>
        <w:spacing w:after="130" w:line="276" w:lineRule="auto"/>
        <w:jc w:val="both"/>
      </w:pPr>
      <w:r>
        <w:t xml:space="preserve">Our own re-implementation already lands close to the published benchmark: </w:t>
      </w:r>
      <w:r>
        <w:rPr>
          <w:b/>
          <w:bCs/>
        </w:rPr>
        <w:t>we obtain 454 days for continuous therapy against a published 451, and 706 days for AT50 against a published 672</w:t>
      </w:r>
      <w:r>
        <w:t xml:space="preserve"> — within one per cent and five per cent respectively. The residual gap is exactly what E0 exists to close, and it will be closed against the authors' published parameters rather than by tuning until the numbers agree.</w:t>
      </w:r>
    </w:p>
    <w:p w14:paraId="0C381643" w14:textId="77777777" w:rsidR="00420A20" w:rsidRDefault="00000000">
      <w:pPr>
        <w:pStyle w:val="Heading2"/>
        <w:spacing w:before="230" w:after="90"/>
      </w:pPr>
      <w:r>
        <w:rPr>
          <w:b/>
          <w:bCs/>
          <w:color w:val="1B2A4A"/>
          <w:sz w:val="21"/>
          <w:szCs w:val="21"/>
        </w:rPr>
        <w:t>Baselines and the optimality ceiling</w:t>
      </w:r>
    </w:p>
    <w:p w14:paraId="5EBAC315" w14:textId="77777777" w:rsidR="00420A20" w:rsidRDefault="00000000">
      <w:pPr>
        <w:spacing w:after="130" w:line="276" w:lineRule="auto"/>
        <w:jc w:val="both"/>
      </w:pPr>
      <w:r>
        <w:t>Comparing only against continuous MTD is not sufficient when tuned heuristics and computable optima both exist. Beating MTD is treated as necessary but not sufficient — it is table stakes.</w:t>
      </w:r>
    </w:p>
    <w:tbl>
      <w:tblPr>
        <w:tblW w:w="9360" w:type="dxa"/>
        <w:tblBorders>
          <w:top w:val="single" w:sz="2" w:space="0" w:color="D8DDE2"/>
          <w:bottom w:val="single" w:sz="2" w:space="0" w:color="D8DDE2"/>
          <w:insideH w:val="single" w:sz="2" w:space="0" w:color="D8DDE2"/>
        </w:tblBorders>
        <w:tblCellMar>
          <w:left w:w="10" w:type="dxa"/>
          <w:right w:w="10" w:type="dxa"/>
        </w:tblCellMar>
        <w:tblLook w:val="0000" w:firstRow="0" w:lastRow="0" w:firstColumn="0" w:lastColumn="0" w:noHBand="0" w:noVBand="0"/>
      </w:tblPr>
      <w:tblGrid>
        <w:gridCol w:w="1872"/>
        <w:gridCol w:w="3557"/>
        <w:gridCol w:w="3931"/>
      </w:tblGrid>
      <w:tr w:rsidR="00420A20" w14:paraId="15EA561F" w14:textId="77777777">
        <w:tblPrEx>
          <w:tblCellMar>
            <w:top w:w="0" w:type="dxa"/>
            <w:bottom w:w="0" w:type="dxa"/>
          </w:tblCellMar>
        </w:tblPrEx>
        <w:trPr>
          <w:tblHeader/>
        </w:trPr>
        <w:tc>
          <w:tcPr>
            <w:tcW w:w="1872" w:type="dxa"/>
            <w:shd w:val="clear" w:color="auto" w:fill="1B2A4A"/>
            <w:tcMar>
              <w:top w:w="75" w:type="dxa"/>
              <w:left w:w="110" w:type="dxa"/>
              <w:bottom w:w="75" w:type="dxa"/>
              <w:right w:w="110" w:type="dxa"/>
            </w:tcMar>
          </w:tcPr>
          <w:p w14:paraId="3DDAE60E" w14:textId="77777777" w:rsidR="00420A20" w:rsidRDefault="00000000">
            <w:pPr>
              <w:spacing w:line="250" w:lineRule="auto"/>
            </w:pPr>
            <w:r>
              <w:rPr>
                <w:b/>
                <w:bCs/>
                <w:color w:val="FFFFFF"/>
                <w:sz w:val="18"/>
                <w:szCs w:val="18"/>
              </w:rPr>
              <w:t>Baseline</w:t>
            </w:r>
          </w:p>
        </w:tc>
        <w:tc>
          <w:tcPr>
            <w:tcW w:w="3557" w:type="dxa"/>
            <w:shd w:val="clear" w:color="auto" w:fill="1B2A4A"/>
            <w:tcMar>
              <w:top w:w="75" w:type="dxa"/>
              <w:left w:w="110" w:type="dxa"/>
              <w:bottom w:w="75" w:type="dxa"/>
              <w:right w:w="110" w:type="dxa"/>
            </w:tcMar>
          </w:tcPr>
          <w:p w14:paraId="11B8705E" w14:textId="77777777" w:rsidR="00420A20" w:rsidRDefault="00000000">
            <w:pPr>
              <w:spacing w:line="250" w:lineRule="auto"/>
            </w:pPr>
            <w:r>
              <w:rPr>
                <w:b/>
                <w:bCs/>
                <w:color w:val="FFFFFF"/>
                <w:sz w:val="18"/>
                <w:szCs w:val="18"/>
              </w:rPr>
              <w:t>Definition</w:t>
            </w:r>
          </w:p>
        </w:tc>
        <w:tc>
          <w:tcPr>
            <w:tcW w:w="3931" w:type="dxa"/>
            <w:shd w:val="clear" w:color="auto" w:fill="1B2A4A"/>
            <w:tcMar>
              <w:top w:w="75" w:type="dxa"/>
              <w:left w:w="110" w:type="dxa"/>
              <w:bottom w:w="75" w:type="dxa"/>
              <w:right w:w="110" w:type="dxa"/>
            </w:tcMar>
          </w:tcPr>
          <w:p w14:paraId="6BBB9259" w14:textId="77777777" w:rsidR="00420A20" w:rsidRDefault="00000000">
            <w:pPr>
              <w:spacing w:line="250" w:lineRule="auto"/>
            </w:pPr>
            <w:r>
              <w:rPr>
                <w:b/>
                <w:bCs/>
                <w:color w:val="FFFFFF"/>
                <w:sz w:val="18"/>
                <w:szCs w:val="18"/>
              </w:rPr>
              <w:t>Why it is included</w:t>
            </w:r>
          </w:p>
        </w:tc>
      </w:tr>
      <w:tr w:rsidR="00420A20" w14:paraId="65CF4D41" w14:textId="77777777">
        <w:tblPrEx>
          <w:tblCellMar>
            <w:top w:w="0" w:type="dxa"/>
            <w:bottom w:w="0" w:type="dxa"/>
          </w:tblCellMar>
        </w:tblPrEx>
        <w:tc>
          <w:tcPr>
            <w:tcW w:w="1872" w:type="dxa"/>
            <w:shd w:val="clear" w:color="auto" w:fill="FFFFFF"/>
            <w:tcMar>
              <w:top w:w="75" w:type="dxa"/>
              <w:left w:w="110" w:type="dxa"/>
              <w:bottom w:w="75" w:type="dxa"/>
              <w:right w:w="110" w:type="dxa"/>
            </w:tcMar>
          </w:tcPr>
          <w:p w14:paraId="59F6AB6B" w14:textId="77777777" w:rsidR="00420A20" w:rsidRDefault="00000000">
            <w:pPr>
              <w:spacing w:line="250" w:lineRule="auto"/>
            </w:pPr>
            <w:r>
              <w:rPr>
                <w:b/>
                <w:bCs/>
                <w:sz w:val="18"/>
                <w:szCs w:val="18"/>
              </w:rPr>
              <w:t>No treatment</w:t>
            </w:r>
          </w:p>
        </w:tc>
        <w:tc>
          <w:tcPr>
            <w:tcW w:w="3557" w:type="dxa"/>
            <w:shd w:val="clear" w:color="auto" w:fill="FFFFFF"/>
            <w:tcMar>
              <w:top w:w="75" w:type="dxa"/>
              <w:left w:w="110" w:type="dxa"/>
              <w:bottom w:w="75" w:type="dxa"/>
              <w:right w:w="110" w:type="dxa"/>
            </w:tcMar>
          </w:tcPr>
          <w:p w14:paraId="671AFEA3" w14:textId="77777777" w:rsidR="00420A20" w:rsidRDefault="00000000">
            <w:pPr>
              <w:spacing w:line="250" w:lineRule="auto"/>
            </w:pPr>
            <w:r>
              <w:rPr>
                <w:sz w:val="18"/>
                <w:szCs w:val="18"/>
              </w:rPr>
              <w:t>D = 0 throughout</w:t>
            </w:r>
          </w:p>
        </w:tc>
        <w:tc>
          <w:tcPr>
            <w:tcW w:w="3931" w:type="dxa"/>
            <w:shd w:val="clear" w:color="auto" w:fill="FFFFFF"/>
            <w:tcMar>
              <w:top w:w="75" w:type="dxa"/>
              <w:left w:w="110" w:type="dxa"/>
              <w:bottom w:w="75" w:type="dxa"/>
              <w:right w:w="110" w:type="dxa"/>
            </w:tcMar>
          </w:tcPr>
          <w:p w14:paraId="11A79A18" w14:textId="77777777" w:rsidR="00420A20" w:rsidRDefault="00000000">
            <w:pPr>
              <w:spacing w:line="250" w:lineRule="auto"/>
            </w:pPr>
            <w:r>
              <w:rPr>
                <w:sz w:val="18"/>
                <w:szCs w:val="18"/>
              </w:rPr>
              <w:t>The floor</w:t>
            </w:r>
          </w:p>
        </w:tc>
      </w:tr>
      <w:tr w:rsidR="00420A20" w14:paraId="64154CAF" w14:textId="77777777">
        <w:tblPrEx>
          <w:tblCellMar>
            <w:top w:w="0" w:type="dxa"/>
            <w:bottom w:w="0" w:type="dxa"/>
          </w:tblCellMar>
        </w:tblPrEx>
        <w:tc>
          <w:tcPr>
            <w:tcW w:w="1872" w:type="dxa"/>
            <w:shd w:val="clear" w:color="auto" w:fill="F4F6F7"/>
            <w:tcMar>
              <w:top w:w="75" w:type="dxa"/>
              <w:left w:w="110" w:type="dxa"/>
              <w:bottom w:w="75" w:type="dxa"/>
              <w:right w:w="110" w:type="dxa"/>
            </w:tcMar>
          </w:tcPr>
          <w:p w14:paraId="5CD39BD7" w14:textId="77777777" w:rsidR="00420A20" w:rsidRDefault="00000000">
            <w:pPr>
              <w:spacing w:line="250" w:lineRule="auto"/>
            </w:pPr>
            <w:r>
              <w:rPr>
                <w:b/>
                <w:bCs/>
                <w:sz w:val="18"/>
                <w:szCs w:val="18"/>
              </w:rPr>
              <w:t>Continuous MTD</w:t>
            </w:r>
          </w:p>
        </w:tc>
        <w:tc>
          <w:tcPr>
            <w:tcW w:w="3557" w:type="dxa"/>
            <w:shd w:val="clear" w:color="auto" w:fill="F4F6F7"/>
            <w:tcMar>
              <w:top w:w="75" w:type="dxa"/>
              <w:left w:w="110" w:type="dxa"/>
              <w:bottom w:w="75" w:type="dxa"/>
              <w:right w:w="110" w:type="dxa"/>
            </w:tcMar>
          </w:tcPr>
          <w:p w14:paraId="3D0E7028" w14:textId="77777777" w:rsidR="00420A20" w:rsidRDefault="00000000">
            <w:pPr>
              <w:spacing w:line="250" w:lineRule="auto"/>
            </w:pPr>
            <w:r>
              <w:rPr>
                <w:sz w:val="18"/>
                <w:szCs w:val="18"/>
              </w:rPr>
              <w:t>D = D_max throughout</w:t>
            </w:r>
          </w:p>
        </w:tc>
        <w:tc>
          <w:tcPr>
            <w:tcW w:w="3931" w:type="dxa"/>
            <w:shd w:val="clear" w:color="auto" w:fill="F4F6F7"/>
            <w:tcMar>
              <w:top w:w="75" w:type="dxa"/>
              <w:left w:w="110" w:type="dxa"/>
              <w:bottom w:w="75" w:type="dxa"/>
              <w:right w:w="110" w:type="dxa"/>
            </w:tcMar>
          </w:tcPr>
          <w:p w14:paraId="6DF17B55" w14:textId="77777777" w:rsidR="00420A20" w:rsidRDefault="00000000">
            <w:pPr>
              <w:spacing w:line="250" w:lineRule="auto"/>
            </w:pPr>
            <w:r>
              <w:rPr>
                <w:sz w:val="18"/>
                <w:szCs w:val="18"/>
              </w:rPr>
              <w:t>The universal comparator</w:t>
            </w:r>
          </w:p>
        </w:tc>
      </w:tr>
      <w:tr w:rsidR="00420A20" w14:paraId="202D7F3C" w14:textId="77777777">
        <w:tblPrEx>
          <w:tblCellMar>
            <w:top w:w="0" w:type="dxa"/>
            <w:bottom w:w="0" w:type="dxa"/>
          </w:tblCellMar>
        </w:tblPrEx>
        <w:tc>
          <w:tcPr>
            <w:tcW w:w="1872" w:type="dxa"/>
            <w:shd w:val="clear" w:color="auto" w:fill="FFFFFF"/>
            <w:tcMar>
              <w:top w:w="75" w:type="dxa"/>
              <w:left w:w="110" w:type="dxa"/>
              <w:bottom w:w="75" w:type="dxa"/>
              <w:right w:w="110" w:type="dxa"/>
            </w:tcMar>
          </w:tcPr>
          <w:p w14:paraId="202BC97E" w14:textId="77777777" w:rsidR="00420A20" w:rsidRDefault="00000000">
            <w:pPr>
              <w:spacing w:line="250" w:lineRule="auto"/>
            </w:pPr>
            <w:r>
              <w:rPr>
                <w:b/>
                <w:bCs/>
                <w:sz w:val="18"/>
                <w:szCs w:val="18"/>
              </w:rPr>
              <w:t>AT50</w:t>
            </w:r>
          </w:p>
        </w:tc>
        <w:tc>
          <w:tcPr>
            <w:tcW w:w="3557" w:type="dxa"/>
            <w:shd w:val="clear" w:color="auto" w:fill="FFFFFF"/>
            <w:tcMar>
              <w:top w:w="75" w:type="dxa"/>
              <w:left w:w="110" w:type="dxa"/>
              <w:bottom w:w="75" w:type="dxa"/>
              <w:right w:w="110" w:type="dxa"/>
            </w:tcMar>
          </w:tcPr>
          <w:p w14:paraId="4ADD9A2D" w14:textId="77777777" w:rsidR="00420A20" w:rsidRDefault="00000000">
            <w:pPr>
              <w:spacing w:line="250" w:lineRule="auto"/>
            </w:pPr>
            <w:r>
              <w:rPr>
                <w:sz w:val="18"/>
                <w:szCs w:val="18"/>
              </w:rPr>
              <w:t>Dose until N &lt; 0.5 N₀, withdraw until N ≥ N₀</w:t>
            </w:r>
          </w:p>
        </w:tc>
        <w:tc>
          <w:tcPr>
            <w:tcW w:w="3931" w:type="dxa"/>
            <w:shd w:val="clear" w:color="auto" w:fill="FFFFFF"/>
            <w:tcMar>
              <w:top w:w="75" w:type="dxa"/>
              <w:left w:w="110" w:type="dxa"/>
              <w:bottom w:w="75" w:type="dxa"/>
              <w:right w:w="110" w:type="dxa"/>
            </w:tcMar>
          </w:tcPr>
          <w:p w14:paraId="32707B0D" w14:textId="77777777" w:rsidR="00420A20" w:rsidRDefault="00000000">
            <w:pPr>
              <w:spacing w:line="250" w:lineRule="auto"/>
            </w:pPr>
            <w:r>
              <w:rPr>
                <w:sz w:val="18"/>
                <w:szCs w:val="18"/>
              </w:rPr>
              <w:t>The clinical protocol as trialled</w:t>
            </w:r>
          </w:p>
        </w:tc>
      </w:tr>
      <w:tr w:rsidR="00420A20" w14:paraId="30F65858" w14:textId="77777777">
        <w:tblPrEx>
          <w:tblCellMar>
            <w:top w:w="0" w:type="dxa"/>
            <w:bottom w:w="0" w:type="dxa"/>
          </w:tblCellMar>
        </w:tblPrEx>
        <w:tc>
          <w:tcPr>
            <w:tcW w:w="1872" w:type="dxa"/>
            <w:shd w:val="clear" w:color="auto" w:fill="F4F6F7"/>
            <w:tcMar>
              <w:top w:w="75" w:type="dxa"/>
              <w:left w:w="110" w:type="dxa"/>
              <w:bottom w:w="75" w:type="dxa"/>
              <w:right w:w="110" w:type="dxa"/>
            </w:tcMar>
          </w:tcPr>
          <w:p w14:paraId="0C76EEA7" w14:textId="77777777" w:rsidR="00420A20" w:rsidRDefault="00000000">
            <w:pPr>
              <w:spacing w:line="250" w:lineRule="auto"/>
            </w:pPr>
            <w:r>
              <w:rPr>
                <w:b/>
                <w:bCs/>
                <w:sz w:val="18"/>
                <w:szCs w:val="18"/>
              </w:rPr>
              <w:t>AT-x sweep</w:t>
            </w:r>
          </w:p>
        </w:tc>
        <w:tc>
          <w:tcPr>
            <w:tcW w:w="3557" w:type="dxa"/>
            <w:shd w:val="clear" w:color="auto" w:fill="F4F6F7"/>
            <w:tcMar>
              <w:top w:w="75" w:type="dxa"/>
              <w:left w:w="110" w:type="dxa"/>
              <w:bottom w:w="75" w:type="dxa"/>
              <w:right w:w="110" w:type="dxa"/>
            </w:tcMar>
          </w:tcPr>
          <w:p w14:paraId="49AE2594" w14:textId="77777777" w:rsidR="00420A20" w:rsidRDefault="00000000">
            <w:pPr>
              <w:spacing w:line="250" w:lineRule="auto"/>
            </w:pPr>
            <w:r>
              <w:rPr>
                <w:sz w:val="18"/>
                <w:szCs w:val="18"/>
              </w:rPr>
              <w:t>Withdrawal threshold over {25, 50, 75, 90}%</w:t>
            </w:r>
          </w:p>
        </w:tc>
        <w:tc>
          <w:tcPr>
            <w:tcW w:w="3931" w:type="dxa"/>
            <w:shd w:val="clear" w:color="auto" w:fill="F4F6F7"/>
            <w:tcMar>
              <w:top w:w="75" w:type="dxa"/>
              <w:left w:w="110" w:type="dxa"/>
              <w:bottom w:w="75" w:type="dxa"/>
              <w:right w:w="110" w:type="dxa"/>
            </w:tcMar>
          </w:tcPr>
          <w:p w14:paraId="38E47F59" w14:textId="77777777" w:rsidR="00420A20" w:rsidRDefault="00000000">
            <w:pPr>
              <w:spacing w:line="250" w:lineRule="auto"/>
            </w:pPr>
            <w:r>
              <w:rPr>
                <w:sz w:val="18"/>
                <w:szCs w:val="18"/>
              </w:rPr>
              <w:t>The tuned-heuristic ceiling — clearing this is a real result</w:t>
            </w:r>
          </w:p>
        </w:tc>
      </w:tr>
      <w:tr w:rsidR="00420A20" w14:paraId="19C4B5D3" w14:textId="77777777">
        <w:tblPrEx>
          <w:tblCellMar>
            <w:top w:w="0" w:type="dxa"/>
            <w:bottom w:w="0" w:type="dxa"/>
          </w:tblCellMar>
        </w:tblPrEx>
        <w:tc>
          <w:tcPr>
            <w:tcW w:w="1872" w:type="dxa"/>
            <w:shd w:val="clear" w:color="auto" w:fill="FFFFFF"/>
            <w:tcMar>
              <w:top w:w="75" w:type="dxa"/>
              <w:left w:w="110" w:type="dxa"/>
              <w:bottom w:w="75" w:type="dxa"/>
              <w:right w:w="110" w:type="dxa"/>
            </w:tcMar>
          </w:tcPr>
          <w:p w14:paraId="75A7E7BB" w14:textId="77777777" w:rsidR="00420A20" w:rsidRDefault="00000000">
            <w:pPr>
              <w:spacing w:line="250" w:lineRule="auto"/>
            </w:pPr>
            <w:r>
              <w:rPr>
                <w:b/>
                <w:bCs/>
                <w:sz w:val="18"/>
                <w:szCs w:val="18"/>
              </w:rPr>
              <w:t>Intermittent</w:t>
            </w:r>
          </w:p>
        </w:tc>
        <w:tc>
          <w:tcPr>
            <w:tcW w:w="3557" w:type="dxa"/>
            <w:shd w:val="clear" w:color="auto" w:fill="FFFFFF"/>
            <w:tcMar>
              <w:top w:w="75" w:type="dxa"/>
              <w:left w:w="110" w:type="dxa"/>
              <w:bottom w:w="75" w:type="dxa"/>
              <w:right w:w="110" w:type="dxa"/>
            </w:tcMar>
          </w:tcPr>
          <w:p w14:paraId="4571E0E0" w14:textId="77777777" w:rsidR="00420A20" w:rsidRDefault="00000000">
            <w:pPr>
              <w:spacing w:line="250" w:lineRule="auto"/>
            </w:pPr>
            <w:r>
              <w:rPr>
                <w:sz w:val="18"/>
                <w:szCs w:val="18"/>
              </w:rPr>
              <w:t>Fixed 30 days on, 30 days off</w:t>
            </w:r>
          </w:p>
        </w:tc>
        <w:tc>
          <w:tcPr>
            <w:tcW w:w="3931" w:type="dxa"/>
            <w:shd w:val="clear" w:color="auto" w:fill="FFFFFF"/>
            <w:tcMar>
              <w:top w:w="75" w:type="dxa"/>
              <w:left w:w="110" w:type="dxa"/>
              <w:bottom w:w="75" w:type="dxa"/>
              <w:right w:w="110" w:type="dxa"/>
            </w:tcMar>
          </w:tcPr>
          <w:p w14:paraId="3CCCD99A" w14:textId="77777777" w:rsidR="00420A20" w:rsidRDefault="00000000">
            <w:pPr>
              <w:spacing w:line="250" w:lineRule="auto"/>
            </w:pPr>
            <w:r>
              <w:rPr>
                <w:sz w:val="18"/>
                <w:szCs w:val="18"/>
              </w:rPr>
              <w:t>Not response-triggered; isolates the value of feedback</w:t>
            </w:r>
          </w:p>
        </w:tc>
      </w:tr>
      <w:tr w:rsidR="00420A20" w14:paraId="6F44A8F5" w14:textId="77777777">
        <w:tblPrEx>
          <w:tblCellMar>
            <w:top w:w="0" w:type="dxa"/>
            <w:bottom w:w="0" w:type="dxa"/>
          </w:tblCellMar>
        </w:tblPrEx>
        <w:tc>
          <w:tcPr>
            <w:tcW w:w="1872" w:type="dxa"/>
            <w:shd w:val="clear" w:color="auto" w:fill="F4F6F7"/>
            <w:tcMar>
              <w:top w:w="75" w:type="dxa"/>
              <w:left w:w="110" w:type="dxa"/>
              <w:bottom w:w="75" w:type="dxa"/>
              <w:right w:w="110" w:type="dxa"/>
            </w:tcMar>
          </w:tcPr>
          <w:p w14:paraId="2A802111" w14:textId="77777777" w:rsidR="00420A20" w:rsidRDefault="00000000">
            <w:pPr>
              <w:spacing w:line="250" w:lineRule="auto"/>
            </w:pPr>
            <w:r>
              <w:rPr>
                <w:b/>
                <w:bCs/>
                <w:sz w:val="18"/>
                <w:szCs w:val="18"/>
              </w:rPr>
              <w:t>AT-PSC</w:t>
            </w:r>
          </w:p>
        </w:tc>
        <w:tc>
          <w:tcPr>
            <w:tcW w:w="3557" w:type="dxa"/>
            <w:shd w:val="clear" w:color="auto" w:fill="F4F6F7"/>
            <w:tcMar>
              <w:top w:w="75" w:type="dxa"/>
              <w:left w:w="110" w:type="dxa"/>
              <w:bottom w:w="75" w:type="dxa"/>
              <w:right w:w="110" w:type="dxa"/>
            </w:tcMar>
          </w:tcPr>
          <w:p w14:paraId="1081529C" w14:textId="77777777" w:rsidR="00420A20" w:rsidRDefault="00000000">
            <w:pPr>
              <w:spacing w:line="250" w:lineRule="auto"/>
            </w:pPr>
            <w:r>
              <w:rPr>
                <w:sz w:val="18"/>
                <w:szCs w:val="18"/>
              </w:rPr>
              <w:t>Partial cycle, 13 of 30 days</w:t>
            </w:r>
          </w:p>
        </w:tc>
        <w:tc>
          <w:tcPr>
            <w:tcW w:w="3931" w:type="dxa"/>
            <w:shd w:val="clear" w:color="auto" w:fill="F4F6F7"/>
            <w:tcMar>
              <w:top w:w="75" w:type="dxa"/>
              <w:left w:w="110" w:type="dxa"/>
              <w:bottom w:w="75" w:type="dxa"/>
              <w:right w:w="110" w:type="dxa"/>
            </w:tcMar>
          </w:tcPr>
          <w:p w14:paraId="4C4ADE72" w14:textId="77777777" w:rsidR="00420A20" w:rsidRDefault="00000000">
            <w:pPr>
              <w:spacing w:line="250" w:lineRule="auto"/>
            </w:pPr>
            <w:r>
              <w:rPr>
                <w:sz w:val="18"/>
                <w:szCs w:val="18"/>
              </w:rPr>
              <w:t>The current best mechanistic rule (Ma 2026)</w:t>
            </w:r>
          </w:p>
        </w:tc>
      </w:tr>
      <w:tr w:rsidR="00420A20" w14:paraId="2D82FBB4" w14:textId="77777777">
        <w:tblPrEx>
          <w:tblCellMar>
            <w:top w:w="0" w:type="dxa"/>
            <w:bottom w:w="0" w:type="dxa"/>
          </w:tblCellMar>
        </w:tblPrEx>
        <w:tc>
          <w:tcPr>
            <w:tcW w:w="1872" w:type="dxa"/>
            <w:shd w:val="clear" w:color="auto" w:fill="FFFFFF"/>
            <w:tcMar>
              <w:top w:w="75" w:type="dxa"/>
              <w:left w:w="110" w:type="dxa"/>
              <w:bottom w:w="75" w:type="dxa"/>
              <w:right w:w="110" w:type="dxa"/>
            </w:tcMar>
          </w:tcPr>
          <w:p w14:paraId="3812AE46" w14:textId="77777777" w:rsidR="00420A20" w:rsidRDefault="00000000">
            <w:pPr>
              <w:spacing w:line="250" w:lineRule="auto"/>
            </w:pPr>
            <w:r>
              <w:rPr>
                <w:b/>
                <w:bCs/>
                <w:sz w:val="18"/>
                <w:szCs w:val="18"/>
              </w:rPr>
              <w:t>Value iteration</w:t>
            </w:r>
          </w:p>
        </w:tc>
        <w:tc>
          <w:tcPr>
            <w:tcW w:w="3557" w:type="dxa"/>
            <w:shd w:val="clear" w:color="auto" w:fill="FFFFFF"/>
            <w:tcMar>
              <w:top w:w="75" w:type="dxa"/>
              <w:left w:w="110" w:type="dxa"/>
              <w:bottom w:w="75" w:type="dxa"/>
              <w:right w:w="110" w:type="dxa"/>
            </w:tcMar>
          </w:tcPr>
          <w:p w14:paraId="3FB4833B" w14:textId="77777777" w:rsidR="00420A20" w:rsidRDefault="00000000">
            <w:pPr>
              <w:spacing w:line="250" w:lineRule="auto"/>
            </w:pPr>
            <w:r>
              <w:rPr>
                <w:sz w:val="18"/>
                <w:szCs w:val="18"/>
              </w:rPr>
              <w:t>Discretised (S, R) grid, solved separately per objective</w:t>
            </w:r>
          </w:p>
        </w:tc>
        <w:tc>
          <w:tcPr>
            <w:tcW w:w="3931" w:type="dxa"/>
            <w:shd w:val="clear" w:color="auto" w:fill="FFFFFF"/>
            <w:tcMar>
              <w:top w:w="75" w:type="dxa"/>
              <w:left w:w="110" w:type="dxa"/>
              <w:bottom w:w="75" w:type="dxa"/>
              <w:right w:w="110" w:type="dxa"/>
            </w:tcMar>
          </w:tcPr>
          <w:p w14:paraId="0B1B3312" w14:textId="77777777" w:rsidR="00420A20" w:rsidRDefault="00000000">
            <w:pPr>
              <w:spacing w:line="250" w:lineRule="auto"/>
            </w:pPr>
            <w:r>
              <w:rPr>
                <w:sz w:val="18"/>
                <w:szCs w:val="18"/>
              </w:rPr>
              <w:t>The computable optimum — the strongest available comparator</w:t>
            </w:r>
          </w:p>
        </w:tc>
      </w:tr>
    </w:tbl>
    <w:p w14:paraId="14FEEAC8" w14:textId="77777777" w:rsidR="00420A20" w:rsidRDefault="00000000">
      <w:pPr>
        <w:pStyle w:val="Heading1"/>
        <w:pBdr>
          <w:bottom w:val="single" w:sz="6" w:space="6" w:color="D8DDE2"/>
        </w:pBdr>
        <w:spacing w:before="340" w:after="130"/>
      </w:pPr>
      <w:r>
        <w:rPr>
          <w:b/>
          <w:bCs/>
          <w:color w:val="0F6E5F"/>
          <w:sz w:val="25"/>
          <w:szCs w:val="25"/>
        </w:rPr>
        <w:t xml:space="preserve">8.  </w:t>
      </w:r>
      <w:r>
        <w:rPr>
          <w:b/>
          <w:bCs/>
          <w:color w:val="1B2A4A"/>
          <w:sz w:val="25"/>
          <w:szCs w:val="25"/>
        </w:rPr>
        <w:t>Evaluation</w:t>
      </w:r>
    </w:p>
    <w:p w14:paraId="1281AB96" w14:textId="77777777" w:rsidR="00420A20" w:rsidRDefault="00000000">
      <w:pPr>
        <w:spacing w:after="130" w:line="276" w:lineRule="auto"/>
        <w:jc w:val="both"/>
      </w:pPr>
      <w:r>
        <w:t>Every trained agent is scored on every objective's metric, regardless of what it was trained on. Training an agent on an objective and then scoring it on that same objective's metric is circular, and a reviewer would say so in the first paragraph. The cross-evaluation is what escapes that.</w:t>
      </w:r>
    </w:p>
    <w:p w14:paraId="13A0646C" w14:textId="77777777" w:rsidR="00420A20" w:rsidRDefault="00000000">
      <w:pPr>
        <w:keepNext/>
        <w:keepLines/>
        <w:spacing w:before="160" w:after="60"/>
        <w:jc w:val="center"/>
      </w:pPr>
      <w:r>
        <w:rPr>
          <w:noProof/>
        </w:rPr>
        <w:lastRenderedPageBreak/>
        <w:drawing>
          <wp:inline distT="0" distB="0" distL="0" distR="0" wp14:anchorId="3140197C" wp14:editId="031E6877">
            <wp:extent cx="4248150" cy="2095500"/>
            <wp:effectExtent l="0" t="0" r="0" b="0"/>
            <wp:docPr id="563901616" name="Picture 563901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248150" cy="2095500"/>
                    </a:xfrm>
                    <a:prstGeom prst="rect">
                      <a:avLst/>
                    </a:prstGeom>
                  </pic:spPr>
                </pic:pic>
              </a:graphicData>
            </a:graphic>
          </wp:inline>
        </w:drawing>
      </w:r>
    </w:p>
    <w:p w14:paraId="0B394F4A" w14:textId="77777777" w:rsidR="00420A20" w:rsidRDefault="00000000">
      <w:pPr>
        <w:spacing w:after="220"/>
        <w:jc w:val="center"/>
      </w:pPr>
      <w:r>
        <w:rPr>
          <w:b/>
          <w:bCs/>
          <w:color w:val="1B2A4A"/>
          <w:sz w:val="17"/>
          <w:szCs w:val="17"/>
        </w:rPr>
        <w:t xml:space="preserve">Figure 4. </w:t>
      </w:r>
      <w:r>
        <w:rPr>
          <w:i/>
          <w:iCs/>
          <w:color w:val="6B6B6B"/>
          <w:sz w:val="17"/>
          <w:szCs w:val="17"/>
        </w:rPr>
        <w:t>The cross-evaluation design. Diagonal cells are circular by construction and carry no evidential weight; the scientific content is entirely in the off-diagonal, which measures what is lost by optimising the wrong objective.</w:t>
      </w:r>
    </w:p>
    <w:tbl>
      <w:tblPr>
        <w:tblW w:w="9360" w:type="dxa"/>
        <w:tblBorders>
          <w:top w:val="single" w:sz="2" w:space="0" w:color="D8DDE2"/>
          <w:bottom w:val="single" w:sz="2" w:space="0" w:color="D8DDE2"/>
          <w:insideH w:val="single" w:sz="2" w:space="0" w:color="D8DDE2"/>
        </w:tblBorders>
        <w:tblCellMar>
          <w:left w:w="10" w:type="dxa"/>
          <w:right w:w="10" w:type="dxa"/>
        </w:tblCellMar>
        <w:tblLook w:val="0000" w:firstRow="0" w:lastRow="0" w:firstColumn="0" w:lastColumn="0" w:noHBand="0" w:noVBand="0"/>
      </w:tblPr>
      <w:tblGrid>
        <w:gridCol w:w="2365"/>
        <w:gridCol w:w="5320"/>
        <w:gridCol w:w="1675"/>
      </w:tblGrid>
      <w:tr w:rsidR="00420A20" w14:paraId="0EE12451" w14:textId="77777777">
        <w:tblPrEx>
          <w:tblCellMar>
            <w:top w:w="0" w:type="dxa"/>
            <w:bottom w:w="0" w:type="dxa"/>
          </w:tblCellMar>
        </w:tblPrEx>
        <w:trPr>
          <w:tblHeader/>
        </w:trPr>
        <w:tc>
          <w:tcPr>
            <w:tcW w:w="2365" w:type="dxa"/>
            <w:shd w:val="clear" w:color="auto" w:fill="1B2A4A"/>
            <w:tcMar>
              <w:top w:w="75" w:type="dxa"/>
              <w:left w:w="110" w:type="dxa"/>
              <w:bottom w:w="75" w:type="dxa"/>
              <w:right w:w="110" w:type="dxa"/>
            </w:tcMar>
          </w:tcPr>
          <w:p w14:paraId="30A38B5F" w14:textId="77777777" w:rsidR="00420A20" w:rsidRDefault="00000000">
            <w:pPr>
              <w:spacing w:line="250" w:lineRule="auto"/>
            </w:pPr>
            <w:r>
              <w:rPr>
                <w:b/>
                <w:bCs/>
                <w:color w:val="FFFFFF"/>
                <w:sz w:val="18"/>
                <w:szCs w:val="18"/>
              </w:rPr>
              <w:t>Metric</w:t>
            </w:r>
          </w:p>
        </w:tc>
        <w:tc>
          <w:tcPr>
            <w:tcW w:w="5320" w:type="dxa"/>
            <w:shd w:val="clear" w:color="auto" w:fill="1B2A4A"/>
            <w:tcMar>
              <w:top w:w="75" w:type="dxa"/>
              <w:left w:w="110" w:type="dxa"/>
              <w:bottom w:w="75" w:type="dxa"/>
              <w:right w:w="110" w:type="dxa"/>
            </w:tcMar>
          </w:tcPr>
          <w:p w14:paraId="0D268BEA" w14:textId="77777777" w:rsidR="00420A20" w:rsidRDefault="00000000">
            <w:pPr>
              <w:spacing w:line="250" w:lineRule="auto"/>
            </w:pPr>
            <w:r>
              <w:rPr>
                <w:b/>
                <w:bCs/>
                <w:color w:val="FFFFFF"/>
                <w:sz w:val="18"/>
                <w:szCs w:val="18"/>
              </w:rPr>
              <w:t>Definition</w:t>
            </w:r>
          </w:p>
        </w:tc>
        <w:tc>
          <w:tcPr>
            <w:tcW w:w="1675" w:type="dxa"/>
            <w:shd w:val="clear" w:color="auto" w:fill="1B2A4A"/>
            <w:tcMar>
              <w:top w:w="75" w:type="dxa"/>
              <w:left w:w="110" w:type="dxa"/>
              <w:bottom w:w="75" w:type="dxa"/>
              <w:right w:w="110" w:type="dxa"/>
            </w:tcMar>
          </w:tcPr>
          <w:p w14:paraId="1AD23FAA" w14:textId="77777777" w:rsidR="00420A20" w:rsidRDefault="00000000">
            <w:pPr>
              <w:spacing w:line="250" w:lineRule="auto"/>
            </w:pPr>
            <w:r>
              <w:rPr>
                <w:b/>
                <w:bCs/>
                <w:color w:val="FFFFFF"/>
                <w:sz w:val="18"/>
                <w:szCs w:val="18"/>
              </w:rPr>
              <w:t>Favours</w:t>
            </w:r>
          </w:p>
        </w:tc>
      </w:tr>
      <w:tr w:rsidR="00420A20" w14:paraId="097F0A73" w14:textId="77777777">
        <w:tblPrEx>
          <w:tblCellMar>
            <w:top w:w="0" w:type="dxa"/>
            <w:bottom w:w="0" w:type="dxa"/>
          </w:tblCellMar>
        </w:tblPrEx>
        <w:tc>
          <w:tcPr>
            <w:tcW w:w="2365" w:type="dxa"/>
            <w:shd w:val="clear" w:color="auto" w:fill="FFFFFF"/>
            <w:tcMar>
              <w:top w:w="75" w:type="dxa"/>
              <w:left w:w="110" w:type="dxa"/>
              <w:bottom w:w="75" w:type="dxa"/>
              <w:right w:w="110" w:type="dxa"/>
            </w:tcMar>
          </w:tcPr>
          <w:p w14:paraId="6E3AFCCF" w14:textId="77777777" w:rsidR="00420A20" w:rsidRDefault="00000000">
            <w:pPr>
              <w:spacing w:line="250" w:lineRule="auto"/>
            </w:pPr>
            <w:r>
              <w:rPr>
                <w:b/>
                <w:bCs/>
                <w:sz w:val="18"/>
                <w:szCs w:val="18"/>
              </w:rPr>
              <w:t>Time to progression</w:t>
            </w:r>
          </w:p>
        </w:tc>
        <w:tc>
          <w:tcPr>
            <w:tcW w:w="5320" w:type="dxa"/>
            <w:shd w:val="clear" w:color="auto" w:fill="FFFFFF"/>
            <w:tcMar>
              <w:top w:w="75" w:type="dxa"/>
              <w:left w:w="110" w:type="dxa"/>
              <w:bottom w:w="75" w:type="dxa"/>
              <w:right w:w="110" w:type="dxa"/>
            </w:tcMar>
          </w:tcPr>
          <w:p w14:paraId="680172AE" w14:textId="77777777" w:rsidR="00420A20" w:rsidRDefault="00000000">
            <w:pPr>
              <w:spacing w:line="250" w:lineRule="auto"/>
            </w:pPr>
            <w:r>
              <w:rPr>
                <w:sz w:val="18"/>
                <w:szCs w:val="18"/>
              </w:rPr>
              <w:t>Days until N ≥ 1.2 N₀, checked continuously</w:t>
            </w:r>
          </w:p>
        </w:tc>
        <w:tc>
          <w:tcPr>
            <w:tcW w:w="1675" w:type="dxa"/>
            <w:shd w:val="clear" w:color="auto" w:fill="FFFFFF"/>
            <w:tcMar>
              <w:top w:w="75" w:type="dxa"/>
              <w:left w:w="110" w:type="dxa"/>
              <w:bottom w:w="75" w:type="dxa"/>
              <w:right w:w="110" w:type="dxa"/>
            </w:tcMar>
          </w:tcPr>
          <w:p w14:paraId="1A996331" w14:textId="77777777" w:rsidR="00420A20" w:rsidRDefault="00000000">
            <w:pPr>
              <w:spacing w:line="250" w:lineRule="auto"/>
            </w:pPr>
            <w:r>
              <w:rPr>
                <w:sz w:val="18"/>
                <w:szCs w:val="18"/>
              </w:rPr>
              <w:t>R1</w:t>
            </w:r>
          </w:p>
        </w:tc>
      </w:tr>
      <w:tr w:rsidR="00420A20" w14:paraId="61CB6EE2" w14:textId="77777777">
        <w:tblPrEx>
          <w:tblCellMar>
            <w:top w:w="0" w:type="dxa"/>
            <w:bottom w:w="0" w:type="dxa"/>
          </w:tblCellMar>
        </w:tblPrEx>
        <w:tc>
          <w:tcPr>
            <w:tcW w:w="2365" w:type="dxa"/>
            <w:shd w:val="clear" w:color="auto" w:fill="F4F6F7"/>
            <w:tcMar>
              <w:top w:w="75" w:type="dxa"/>
              <w:left w:w="110" w:type="dxa"/>
              <w:bottom w:w="75" w:type="dxa"/>
              <w:right w:w="110" w:type="dxa"/>
            </w:tcMar>
          </w:tcPr>
          <w:p w14:paraId="69C0815E" w14:textId="77777777" w:rsidR="00420A20" w:rsidRDefault="00000000">
            <w:pPr>
              <w:spacing w:line="250" w:lineRule="auto"/>
            </w:pPr>
            <w:r>
              <w:rPr>
                <w:b/>
                <w:bCs/>
                <w:sz w:val="18"/>
                <w:szCs w:val="18"/>
              </w:rPr>
              <w:t>Cumulative dose</w:t>
            </w:r>
          </w:p>
        </w:tc>
        <w:tc>
          <w:tcPr>
            <w:tcW w:w="5320" w:type="dxa"/>
            <w:shd w:val="clear" w:color="auto" w:fill="F4F6F7"/>
            <w:tcMar>
              <w:top w:w="75" w:type="dxa"/>
              <w:left w:w="110" w:type="dxa"/>
              <w:bottom w:w="75" w:type="dxa"/>
              <w:right w:w="110" w:type="dxa"/>
            </w:tcMar>
          </w:tcPr>
          <w:p w14:paraId="192FD7B4" w14:textId="77777777" w:rsidR="00420A20" w:rsidRDefault="00000000">
            <w:pPr>
              <w:spacing w:line="250" w:lineRule="auto"/>
            </w:pPr>
            <w:r>
              <w:rPr>
                <w:sz w:val="18"/>
                <w:szCs w:val="18"/>
              </w:rPr>
              <w:t>Integral of D(t), also as a percentage of MTD</w:t>
            </w:r>
          </w:p>
        </w:tc>
        <w:tc>
          <w:tcPr>
            <w:tcW w:w="1675" w:type="dxa"/>
            <w:shd w:val="clear" w:color="auto" w:fill="F4F6F7"/>
            <w:tcMar>
              <w:top w:w="75" w:type="dxa"/>
              <w:left w:w="110" w:type="dxa"/>
              <w:bottom w:w="75" w:type="dxa"/>
              <w:right w:w="110" w:type="dxa"/>
            </w:tcMar>
          </w:tcPr>
          <w:p w14:paraId="5B72E516" w14:textId="77777777" w:rsidR="00420A20" w:rsidRDefault="00000000">
            <w:pPr>
              <w:spacing w:line="250" w:lineRule="auto"/>
            </w:pPr>
            <w:r>
              <w:rPr>
                <w:sz w:val="18"/>
                <w:szCs w:val="18"/>
              </w:rPr>
              <w:t>—</w:t>
            </w:r>
          </w:p>
        </w:tc>
      </w:tr>
      <w:tr w:rsidR="00420A20" w14:paraId="5413F31D" w14:textId="77777777">
        <w:tblPrEx>
          <w:tblCellMar>
            <w:top w:w="0" w:type="dxa"/>
            <w:bottom w:w="0" w:type="dxa"/>
          </w:tblCellMar>
        </w:tblPrEx>
        <w:tc>
          <w:tcPr>
            <w:tcW w:w="2365" w:type="dxa"/>
            <w:shd w:val="clear" w:color="auto" w:fill="FFFFFF"/>
            <w:tcMar>
              <w:top w:w="75" w:type="dxa"/>
              <w:left w:w="110" w:type="dxa"/>
              <w:bottom w:w="75" w:type="dxa"/>
              <w:right w:w="110" w:type="dxa"/>
            </w:tcMar>
          </w:tcPr>
          <w:p w14:paraId="5469B189" w14:textId="77777777" w:rsidR="00420A20" w:rsidRDefault="00000000">
            <w:pPr>
              <w:spacing w:line="250" w:lineRule="auto"/>
            </w:pPr>
            <w:r>
              <w:rPr>
                <w:b/>
                <w:bCs/>
                <w:sz w:val="18"/>
                <w:szCs w:val="18"/>
              </w:rPr>
              <w:t>Time off treatment</w:t>
            </w:r>
          </w:p>
        </w:tc>
        <w:tc>
          <w:tcPr>
            <w:tcW w:w="5320" w:type="dxa"/>
            <w:shd w:val="clear" w:color="auto" w:fill="FFFFFF"/>
            <w:tcMar>
              <w:top w:w="75" w:type="dxa"/>
              <w:left w:w="110" w:type="dxa"/>
              <w:bottom w:w="75" w:type="dxa"/>
              <w:right w:w="110" w:type="dxa"/>
            </w:tcMar>
          </w:tcPr>
          <w:p w14:paraId="75CCC203" w14:textId="77777777" w:rsidR="00420A20" w:rsidRDefault="00000000">
            <w:pPr>
              <w:spacing w:line="250" w:lineRule="auto"/>
            </w:pPr>
            <w:r>
              <w:rPr>
                <w:sz w:val="18"/>
                <w:szCs w:val="18"/>
              </w:rPr>
              <w:t>Fraction of the episode with D = 0</w:t>
            </w:r>
          </w:p>
        </w:tc>
        <w:tc>
          <w:tcPr>
            <w:tcW w:w="1675" w:type="dxa"/>
            <w:shd w:val="clear" w:color="auto" w:fill="FFFFFF"/>
            <w:tcMar>
              <w:top w:w="75" w:type="dxa"/>
              <w:left w:w="110" w:type="dxa"/>
              <w:bottom w:w="75" w:type="dxa"/>
              <w:right w:w="110" w:type="dxa"/>
            </w:tcMar>
          </w:tcPr>
          <w:p w14:paraId="4B3BE6D9" w14:textId="77777777" w:rsidR="00420A20" w:rsidRDefault="00000000">
            <w:pPr>
              <w:spacing w:line="250" w:lineRule="auto"/>
            </w:pPr>
            <w:r>
              <w:rPr>
                <w:sz w:val="18"/>
                <w:szCs w:val="18"/>
              </w:rPr>
              <w:t>R1</w:t>
            </w:r>
          </w:p>
        </w:tc>
      </w:tr>
      <w:tr w:rsidR="00420A20" w14:paraId="0E5A14DB" w14:textId="77777777">
        <w:tblPrEx>
          <w:tblCellMar>
            <w:top w:w="0" w:type="dxa"/>
            <w:bottom w:w="0" w:type="dxa"/>
          </w:tblCellMar>
        </w:tblPrEx>
        <w:tc>
          <w:tcPr>
            <w:tcW w:w="2365" w:type="dxa"/>
            <w:shd w:val="clear" w:color="auto" w:fill="F4F6F7"/>
            <w:tcMar>
              <w:top w:w="75" w:type="dxa"/>
              <w:left w:w="110" w:type="dxa"/>
              <w:bottom w:w="75" w:type="dxa"/>
              <w:right w:w="110" w:type="dxa"/>
            </w:tcMar>
          </w:tcPr>
          <w:p w14:paraId="1C628909" w14:textId="77777777" w:rsidR="00420A20" w:rsidRDefault="00000000">
            <w:pPr>
              <w:spacing w:line="250" w:lineRule="auto"/>
            </w:pPr>
            <w:r>
              <w:rPr>
                <w:b/>
                <w:bCs/>
                <w:sz w:val="18"/>
                <w:szCs w:val="18"/>
              </w:rPr>
              <w:t>Mean resistant fraction</w:t>
            </w:r>
          </w:p>
        </w:tc>
        <w:tc>
          <w:tcPr>
            <w:tcW w:w="5320" w:type="dxa"/>
            <w:shd w:val="clear" w:color="auto" w:fill="F4F6F7"/>
            <w:tcMar>
              <w:top w:w="75" w:type="dxa"/>
              <w:left w:w="110" w:type="dxa"/>
              <w:bottom w:w="75" w:type="dxa"/>
              <w:right w:w="110" w:type="dxa"/>
            </w:tcMar>
          </w:tcPr>
          <w:p w14:paraId="0B2FEE85" w14:textId="77777777" w:rsidR="00420A20" w:rsidRDefault="00000000">
            <w:pPr>
              <w:spacing w:line="250" w:lineRule="auto"/>
            </w:pPr>
            <w:r>
              <w:rPr>
                <w:sz w:val="18"/>
                <w:szCs w:val="18"/>
              </w:rPr>
              <w:t>Time-average of R/N</w:t>
            </w:r>
          </w:p>
        </w:tc>
        <w:tc>
          <w:tcPr>
            <w:tcW w:w="1675" w:type="dxa"/>
            <w:shd w:val="clear" w:color="auto" w:fill="F4F6F7"/>
            <w:tcMar>
              <w:top w:w="75" w:type="dxa"/>
              <w:left w:w="110" w:type="dxa"/>
              <w:bottom w:w="75" w:type="dxa"/>
              <w:right w:w="110" w:type="dxa"/>
            </w:tcMar>
          </w:tcPr>
          <w:p w14:paraId="48DE2C66" w14:textId="77777777" w:rsidR="00420A20" w:rsidRDefault="00000000">
            <w:pPr>
              <w:spacing w:line="250" w:lineRule="auto"/>
            </w:pPr>
            <w:r>
              <w:rPr>
                <w:sz w:val="18"/>
                <w:szCs w:val="18"/>
              </w:rPr>
              <w:t>—</w:t>
            </w:r>
          </w:p>
        </w:tc>
      </w:tr>
      <w:tr w:rsidR="00420A20" w14:paraId="6944EF5B" w14:textId="77777777">
        <w:tblPrEx>
          <w:tblCellMar>
            <w:top w:w="0" w:type="dxa"/>
            <w:bottom w:w="0" w:type="dxa"/>
          </w:tblCellMar>
        </w:tblPrEx>
        <w:tc>
          <w:tcPr>
            <w:tcW w:w="2365" w:type="dxa"/>
            <w:shd w:val="clear" w:color="auto" w:fill="FFFFFF"/>
            <w:tcMar>
              <w:top w:w="75" w:type="dxa"/>
              <w:left w:w="110" w:type="dxa"/>
              <w:bottom w:w="75" w:type="dxa"/>
              <w:right w:w="110" w:type="dxa"/>
            </w:tcMar>
          </w:tcPr>
          <w:p w14:paraId="30DEDA32" w14:textId="77777777" w:rsidR="00420A20" w:rsidRDefault="00000000">
            <w:pPr>
              <w:spacing w:line="250" w:lineRule="auto"/>
            </w:pPr>
            <w:r>
              <w:rPr>
                <w:b/>
                <w:bCs/>
                <w:sz w:val="18"/>
                <w:szCs w:val="18"/>
              </w:rPr>
              <w:t>Terminal resistant fraction</w:t>
            </w:r>
          </w:p>
        </w:tc>
        <w:tc>
          <w:tcPr>
            <w:tcW w:w="5320" w:type="dxa"/>
            <w:shd w:val="clear" w:color="auto" w:fill="FFFFFF"/>
            <w:tcMar>
              <w:top w:w="75" w:type="dxa"/>
              <w:left w:w="110" w:type="dxa"/>
              <w:bottom w:w="75" w:type="dxa"/>
              <w:right w:w="110" w:type="dxa"/>
            </w:tcMar>
          </w:tcPr>
          <w:p w14:paraId="70657253" w14:textId="77777777" w:rsidR="00420A20" w:rsidRDefault="00000000">
            <w:pPr>
              <w:spacing w:line="250" w:lineRule="auto"/>
            </w:pPr>
            <w:r>
              <w:rPr>
                <w:sz w:val="18"/>
                <w:szCs w:val="18"/>
              </w:rPr>
              <w:t>R/N at episode end</w:t>
            </w:r>
          </w:p>
        </w:tc>
        <w:tc>
          <w:tcPr>
            <w:tcW w:w="1675" w:type="dxa"/>
            <w:shd w:val="clear" w:color="auto" w:fill="FFFFFF"/>
            <w:tcMar>
              <w:top w:w="75" w:type="dxa"/>
              <w:left w:w="110" w:type="dxa"/>
              <w:bottom w:w="75" w:type="dxa"/>
              <w:right w:w="110" w:type="dxa"/>
            </w:tcMar>
          </w:tcPr>
          <w:p w14:paraId="7EDFC2E6" w14:textId="77777777" w:rsidR="00420A20" w:rsidRDefault="00000000">
            <w:pPr>
              <w:spacing w:line="250" w:lineRule="auto"/>
            </w:pPr>
            <w:r>
              <w:rPr>
                <w:sz w:val="18"/>
                <w:szCs w:val="18"/>
              </w:rPr>
              <w:t>R4</w:t>
            </w:r>
          </w:p>
        </w:tc>
      </w:tr>
      <w:tr w:rsidR="00420A20" w14:paraId="4754207A" w14:textId="77777777">
        <w:tblPrEx>
          <w:tblCellMar>
            <w:top w:w="0" w:type="dxa"/>
            <w:bottom w:w="0" w:type="dxa"/>
          </w:tblCellMar>
        </w:tblPrEx>
        <w:tc>
          <w:tcPr>
            <w:tcW w:w="2365" w:type="dxa"/>
            <w:shd w:val="clear" w:color="auto" w:fill="F4F6F7"/>
            <w:tcMar>
              <w:top w:w="75" w:type="dxa"/>
              <w:left w:w="110" w:type="dxa"/>
              <w:bottom w:w="75" w:type="dxa"/>
              <w:right w:w="110" w:type="dxa"/>
            </w:tcMar>
          </w:tcPr>
          <w:p w14:paraId="149F755D" w14:textId="77777777" w:rsidR="00420A20" w:rsidRDefault="00000000">
            <w:pPr>
              <w:spacing w:line="250" w:lineRule="auto"/>
            </w:pPr>
            <w:r>
              <w:rPr>
                <w:b/>
                <w:bCs/>
                <w:sz w:val="18"/>
                <w:szCs w:val="18"/>
              </w:rPr>
              <w:t>Post-withdrawal regrowth</w:t>
            </w:r>
          </w:p>
        </w:tc>
        <w:tc>
          <w:tcPr>
            <w:tcW w:w="5320" w:type="dxa"/>
            <w:shd w:val="clear" w:color="auto" w:fill="F4F6F7"/>
            <w:tcMar>
              <w:top w:w="75" w:type="dxa"/>
              <w:left w:w="110" w:type="dxa"/>
              <w:bottom w:w="75" w:type="dxa"/>
              <w:right w:w="110" w:type="dxa"/>
            </w:tcMar>
          </w:tcPr>
          <w:p w14:paraId="44663B90" w14:textId="77777777" w:rsidR="00420A20" w:rsidRDefault="00000000">
            <w:pPr>
              <w:spacing w:line="250" w:lineRule="auto"/>
            </w:pPr>
            <w:r>
              <w:rPr>
                <w:sz w:val="18"/>
                <w:szCs w:val="18"/>
              </w:rPr>
              <w:t>Growth of R over 180 untreated days after the episode</w:t>
            </w:r>
          </w:p>
        </w:tc>
        <w:tc>
          <w:tcPr>
            <w:tcW w:w="1675" w:type="dxa"/>
            <w:shd w:val="clear" w:color="auto" w:fill="F4F6F7"/>
            <w:tcMar>
              <w:top w:w="75" w:type="dxa"/>
              <w:left w:w="110" w:type="dxa"/>
              <w:bottom w:w="75" w:type="dxa"/>
              <w:right w:w="110" w:type="dxa"/>
            </w:tcMar>
          </w:tcPr>
          <w:p w14:paraId="2107E7CB" w14:textId="77777777" w:rsidR="00420A20" w:rsidRDefault="00000000">
            <w:pPr>
              <w:spacing w:line="250" w:lineRule="auto"/>
            </w:pPr>
            <w:r>
              <w:rPr>
                <w:sz w:val="18"/>
                <w:szCs w:val="18"/>
              </w:rPr>
              <w:t>R4</w:t>
            </w:r>
          </w:p>
        </w:tc>
      </w:tr>
      <w:tr w:rsidR="00420A20" w14:paraId="18477E54" w14:textId="77777777">
        <w:tblPrEx>
          <w:tblCellMar>
            <w:top w:w="0" w:type="dxa"/>
            <w:bottom w:w="0" w:type="dxa"/>
          </w:tblCellMar>
        </w:tblPrEx>
        <w:tc>
          <w:tcPr>
            <w:tcW w:w="2365" w:type="dxa"/>
            <w:shd w:val="clear" w:color="auto" w:fill="FFFFFF"/>
            <w:tcMar>
              <w:top w:w="75" w:type="dxa"/>
              <w:left w:w="110" w:type="dxa"/>
              <w:bottom w:w="75" w:type="dxa"/>
              <w:right w:w="110" w:type="dxa"/>
            </w:tcMar>
          </w:tcPr>
          <w:p w14:paraId="016EB7F9" w14:textId="77777777" w:rsidR="00420A20" w:rsidRDefault="00000000">
            <w:pPr>
              <w:spacing w:line="250" w:lineRule="auto"/>
            </w:pPr>
            <w:r>
              <w:rPr>
                <w:b/>
                <w:bCs/>
                <w:sz w:val="18"/>
                <w:szCs w:val="18"/>
              </w:rPr>
              <w:t>Maximum burden</w:t>
            </w:r>
          </w:p>
        </w:tc>
        <w:tc>
          <w:tcPr>
            <w:tcW w:w="5320" w:type="dxa"/>
            <w:shd w:val="clear" w:color="auto" w:fill="FFFFFF"/>
            <w:tcMar>
              <w:top w:w="75" w:type="dxa"/>
              <w:left w:w="110" w:type="dxa"/>
              <w:bottom w:w="75" w:type="dxa"/>
              <w:right w:w="110" w:type="dxa"/>
            </w:tcMar>
          </w:tcPr>
          <w:p w14:paraId="0F948228" w14:textId="77777777" w:rsidR="00420A20" w:rsidRDefault="00000000">
            <w:pPr>
              <w:spacing w:line="250" w:lineRule="auto"/>
            </w:pPr>
            <w:r>
              <w:rPr>
                <w:sz w:val="18"/>
                <w:szCs w:val="18"/>
              </w:rPr>
              <w:t>max N(t)/N₀ — a quality-of-life and mutation-risk proxy</w:t>
            </w:r>
          </w:p>
        </w:tc>
        <w:tc>
          <w:tcPr>
            <w:tcW w:w="1675" w:type="dxa"/>
            <w:shd w:val="clear" w:color="auto" w:fill="FFFFFF"/>
            <w:tcMar>
              <w:top w:w="75" w:type="dxa"/>
              <w:left w:w="110" w:type="dxa"/>
              <w:bottom w:w="75" w:type="dxa"/>
              <w:right w:w="110" w:type="dxa"/>
            </w:tcMar>
          </w:tcPr>
          <w:p w14:paraId="4F5202F0" w14:textId="77777777" w:rsidR="00420A20" w:rsidRDefault="00000000">
            <w:pPr>
              <w:spacing w:line="250" w:lineRule="auto"/>
            </w:pPr>
            <w:r>
              <w:rPr>
                <w:sz w:val="18"/>
                <w:szCs w:val="18"/>
              </w:rPr>
              <w:t>neither</w:t>
            </w:r>
          </w:p>
        </w:tc>
      </w:tr>
      <w:tr w:rsidR="00420A20" w14:paraId="22E7DF45" w14:textId="77777777">
        <w:tblPrEx>
          <w:tblCellMar>
            <w:top w:w="0" w:type="dxa"/>
            <w:bottom w:w="0" w:type="dxa"/>
          </w:tblCellMar>
        </w:tblPrEx>
        <w:tc>
          <w:tcPr>
            <w:tcW w:w="2365" w:type="dxa"/>
            <w:shd w:val="clear" w:color="auto" w:fill="F4F6F7"/>
            <w:tcMar>
              <w:top w:w="75" w:type="dxa"/>
              <w:left w:w="110" w:type="dxa"/>
              <w:bottom w:w="75" w:type="dxa"/>
              <w:right w:w="110" w:type="dxa"/>
            </w:tcMar>
          </w:tcPr>
          <w:p w14:paraId="09C6231A" w14:textId="77777777" w:rsidR="00420A20" w:rsidRDefault="00000000">
            <w:pPr>
              <w:spacing w:line="250" w:lineRule="auto"/>
            </w:pPr>
            <w:r>
              <w:rPr>
                <w:b/>
                <w:bCs/>
                <w:sz w:val="18"/>
                <w:szCs w:val="18"/>
              </w:rPr>
              <w:t>Switching threshold N*</w:t>
            </w:r>
          </w:p>
        </w:tc>
        <w:tc>
          <w:tcPr>
            <w:tcW w:w="5320" w:type="dxa"/>
            <w:shd w:val="clear" w:color="auto" w:fill="F4F6F7"/>
            <w:tcMar>
              <w:top w:w="75" w:type="dxa"/>
              <w:left w:w="110" w:type="dxa"/>
              <w:bottom w:w="75" w:type="dxa"/>
              <w:right w:w="110" w:type="dxa"/>
            </w:tcMar>
          </w:tcPr>
          <w:p w14:paraId="113D53F8" w14:textId="77777777" w:rsidR="00420A20" w:rsidRDefault="00000000">
            <w:pPr>
              <w:spacing w:line="250" w:lineRule="auto"/>
            </w:pPr>
            <w:r>
              <w:rPr>
                <w:sz w:val="18"/>
                <w:szCs w:val="18"/>
              </w:rPr>
              <w:t>Sigmoid fit to P(treat) against normalised burden</w:t>
            </w:r>
          </w:p>
        </w:tc>
        <w:tc>
          <w:tcPr>
            <w:tcW w:w="1675" w:type="dxa"/>
            <w:shd w:val="clear" w:color="auto" w:fill="F4F6F7"/>
            <w:tcMar>
              <w:top w:w="75" w:type="dxa"/>
              <w:left w:w="110" w:type="dxa"/>
              <w:bottom w:w="75" w:type="dxa"/>
              <w:right w:w="110" w:type="dxa"/>
            </w:tcMar>
          </w:tcPr>
          <w:p w14:paraId="78CB1B6B" w14:textId="77777777" w:rsidR="00420A20" w:rsidRDefault="00000000">
            <w:pPr>
              <w:spacing w:line="250" w:lineRule="auto"/>
            </w:pPr>
            <w:r>
              <w:rPr>
                <w:sz w:val="18"/>
                <w:szCs w:val="18"/>
              </w:rPr>
              <w:t>policy space</w:t>
            </w:r>
          </w:p>
        </w:tc>
      </w:tr>
      <w:tr w:rsidR="00420A20" w14:paraId="3B086ED6" w14:textId="77777777">
        <w:tblPrEx>
          <w:tblCellMar>
            <w:top w:w="0" w:type="dxa"/>
            <w:bottom w:w="0" w:type="dxa"/>
          </w:tblCellMar>
        </w:tblPrEx>
        <w:tc>
          <w:tcPr>
            <w:tcW w:w="2365" w:type="dxa"/>
            <w:shd w:val="clear" w:color="auto" w:fill="FFFFFF"/>
            <w:tcMar>
              <w:top w:w="75" w:type="dxa"/>
              <w:left w:w="110" w:type="dxa"/>
              <w:bottom w:w="75" w:type="dxa"/>
              <w:right w:w="110" w:type="dxa"/>
            </w:tcMar>
          </w:tcPr>
          <w:p w14:paraId="346D163C" w14:textId="77777777" w:rsidR="00420A20" w:rsidRDefault="00000000">
            <w:pPr>
              <w:spacing w:line="250" w:lineRule="auto"/>
            </w:pPr>
            <w:r>
              <w:rPr>
                <w:b/>
                <w:bCs/>
                <w:sz w:val="18"/>
                <w:szCs w:val="18"/>
              </w:rPr>
              <w:t>Pairwise KL divergence</w:t>
            </w:r>
          </w:p>
        </w:tc>
        <w:tc>
          <w:tcPr>
            <w:tcW w:w="5320" w:type="dxa"/>
            <w:shd w:val="clear" w:color="auto" w:fill="FFFFFF"/>
            <w:tcMar>
              <w:top w:w="75" w:type="dxa"/>
              <w:left w:w="110" w:type="dxa"/>
              <w:bottom w:w="75" w:type="dxa"/>
              <w:right w:w="110" w:type="dxa"/>
            </w:tcMar>
          </w:tcPr>
          <w:p w14:paraId="57FAD02A" w14:textId="77777777" w:rsidR="00420A20" w:rsidRDefault="00000000">
            <w:pPr>
              <w:spacing w:line="250" w:lineRule="auto"/>
            </w:pPr>
            <w:r>
              <w:rPr>
                <w:sz w:val="18"/>
                <w:szCs w:val="18"/>
              </w:rPr>
              <w:t>Between state-action distributions over a shared state grid</w:t>
            </w:r>
          </w:p>
        </w:tc>
        <w:tc>
          <w:tcPr>
            <w:tcW w:w="1675" w:type="dxa"/>
            <w:shd w:val="clear" w:color="auto" w:fill="FFFFFF"/>
            <w:tcMar>
              <w:top w:w="75" w:type="dxa"/>
              <w:left w:w="110" w:type="dxa"/>
              <w:bottom w:w="75" w:type="dxa"/>
              <w:right w:w="110" w:type="dxa"/>
            </w:tcMar>
          </w:tcPr>
          <w:p w14:paraId="4C10C954" w14:textId="77777777" w:rsidR="00420A20" w:rsidRDefault="00000000">
            <w:pPr>
              <w:spacing w:line="250" w:lineRule="auto"/>
            </w:pPr>
            <w:r>
              <w:rPr>
                <w:sz w:val="18"/>
                <w:szCs w:val="18"/>
              </w:rPr>
              <w:t>policy space</w:t>
            </w:r>
          </w:p>
        </w:tc>
      </w:tr>
    </w:tbl>
    <w:p w14:paraId="4D90E0FB" w14:textId="77777777" w:rsidR="00420A20" w:rsidRDefault="00420A20">
      <w:pPr>
        <w:spacing w:after="150" w:line="276" w:lineRule="auto"/>
        <w:jc w:val="both"/>
      </w:pPr>
    </w:p>
    <w:p w14:paraId="4A13E3D6" w14:textId="77777777" w:rsidR="00420A20" w:rsidRDefault="00000000">
      <w:pPr>
        <w:pStyle w:val="Heading2"/>
        <w:spacing w:before="230" w:after="90"/>
      </w:pPr>
      <w:r>
        <w:rPr>
          <w:b/>
          <w:bCs/>
          <w:color w:val="1B2A4A"/>
          <w:sz w:val="21"/>
          <w:szCs w:val="21"/>
        </w:rPr>
        <w:t>What would count as a real difference</w:t>
      </w:r>
    </w:p>
    <w:p w14:paraId="78185CBC" w14:textId="77777777" w:rsidR="00420A20" w:rsidRDefault="00000000">
      <w:pPr>
        <w:spacing w:after="130" w:line="276" w:lineRule="auto"/>
        <w:jc w:val="both"/>
      </w:pPr>
      <w:r>
        <w:t>The two policy-space measures carry the divergence claim and the outcome metrics cannot substitute for them: two policies can produce near-identical time to progression while behaving quite differently in regions of state space the trajectories rarely visit, and only the switching threshold and the KL divergence will reveal that.</w:t>
      </w:r>
    </w:p>
    <w:p w14:paraId="59AA89E3" w14:textId="77777777" w:rsidR="00420A20" w:rsidRDefault="00000000">
      <w:pPr>
        <w:pStyle w:val="ListParagraph"/>
        <w:numPr>
          <w:ilvl w:val="0"/>
          <w:numId w:val="2"/>
        </w:numPr>
        <w:spacing w:after="70" w:line="272" w:lineRule="auto"/>
      </w:pPr>
      <w:r>
        <w:rPr>
          <w:b/>
          <w:bCs/>
        </w:rPr>
        <w:t xml:space="preserve">Statistics. </w:t>
      </w:r>
      <w:r>
        <w:t>Median and the full seed distribution are reported, never the mean alone. Eastman et al. (2021) show that in this domain the advantage of RL is often near-zero variance rather than a higher peak, which the mean conceals.</w:t>
      </w:r>
    </w:p>
    <w:p w14:paraId="7E78B163" w14:textId="77777777" w:rsidR="00420A20" w:rsidRDefault="00000000">
      <w:pPr>
        <w:pStyle w:val="ListParagraph"/>
        <w:numPr>
          <w:ilvl w:val="0"/>
          <w:numId w:val="2"/>
        </w:numPr>
        <w:spacing w:after="70" w:line="272" w:lineRule="auto"/>
      </w:pPr>
      <w:r>
        <w:rPr>
          <w:b/>
          <w:bCs/>
        </w:rPr>
        <w:t xml:space="preserve">Seeds. </w:t>
      </w:r>
      <w:r>
        <w:t>At least ten agents per objective per cohort patient. Single-seed results in this domain are known to mislead.</w:t>
      </w:r>
    </w:p>
    <w:p w14:paraId="773A20B1" w14:textId="77777777" w:rsidR="00420A20" w:rsidRDefault="00000000">
      <w:pPr>
        <w:pStyle w:val="ListParagraph"/>
        <w:numPr>
          <w:ilvl w:val="0"/>
          <w:numId w:val="2"/>
        </w:numPr>
        <w:spacing w:after="70" w:line="272" w:lineRule="auto"/>
      </w:pPr>
      <w:r>
        <w:rPr>
          <w:b/>
          <w:bCs/>
        </w:rPr>
        <w:t xml:space="preserve">Pre-registered threshold. </w:t>
      </w:r>
      <w:r>
        <w:t>A cross-objective difference is claimed only if it exceeds the within-objective, seed-to-seed spread. We commit to this before seeing results.</w:t>
      </w:r>
    </w:p>
    <w:p w14:paraId="0C051EB7" w14:textId="77777777" w:rsidR="00420A20" w:rsidRDefault="00000000">
      <w:pPr>
        <w:pStyle w:val="ListParagraph"/>
        <w:numPr>
          <w:ilvl w:val="0"/>
          <w:numId w:val="2"/>
        </w:numPr>
        <w:spacing w:after="70" w:line="272" w:lineRule="auto"/>
      </w:pPr>
      <w:r>
        <w:rPr>
          <w:b/>
          <w:bCs/>
        </w:rPr>
        <w:t xml:space="preserve">Success criterion. </w:t>
      </w:r>
      <w:r>
        <w:t>Success is explicitly not "beats MTD". A tuned heuristic and a computable optimum both exist, so the bar is the distance to the per-objective value-iteration ceiling.</w:t>
      </w:r>
    </w:p>
    <w:p w14:paraId="3B78020F" w14:textId="77777777" w:rsidR="00420A20" w:rsidRDefault="00000000">
      <w:pPr>
        <w:pStyle w:val="Heading1"/>
        <w:pBdr>
          <w:bottom w:val="single" w:sz="6" w:space="6" w:color="D8DDE2"/>
        </w:pBdr>
        <w:spacing w:before="340" w:after="130"/>
      </w:pPr>
      <w:r>
        <w:rPr>
          <w:b/>
          <w:bCs/>
          <w:color w:val="0F6E5F"/>
          <w:sz w:val="25"/>
          <w:szCs w:val="25"/>
        </w:rPr>
        <w:t xml:space="preserve">9.  </w:t>
      </w:r>
      <w:r>
        <w:rPr>
          <w:b/>
          <w:bCs/>
          <w:color w:val="1B2A4A"/>
          <w:sz w:val="25"/>
          <w:szCs w:val="25"/>
        </w:rPr>
        <w:t>Risks and what we do about them</w:t>
      </w:r>
    </w:p>
    <w:tbl>
      <w:tblPr>
        <w:tblW w:w="9360" w:type="dxa"/>
        <w:tblBorders>
          <w:top w:val="single" w:sz="2" w:space="0" w:color="D8DDE2"/>
          <w:bottom w:val="single" w:sz="2" w:space="0" w:color="D8DDE2"/>
          <w:insideH w:val="single" w:sz="2" w:space="0" w:color="D8DDE2"/>
        </w:tblBorders>
        <w:tblCellMar>
          <w:left w:w="10" w:type="dxa"/>
          <w:right w:w="10" w:type="dxa"/>
        </w:tblCellMar>
        <w:tblLook w:val="0000" w:firstRow="0" w:lastRow="0" w:firstColumn="0" w:lastColumn="0" w:noHBand="0" w:noVBand="0"/>
      </w:tblPr>
      <w:tblGrid>
        <w:gridCol w:w="3744"/>
        <w:gridCol w:w="5616"/>
      </w:tblGrid>
      <w:tr w:rsidR="00420A20" w14:paraId="7D9B76D7" w14:textId="77777777">
        <w:tblPrEx>
          <w:tblCellMar>
            <w:top w:w="0" w:type="dxa"/>
            <w:bottom w:w="0" w:type="dxa"/>
          </w:tblCellMar>
        </w:tblPrEx>
        <w:trPr>
          <w:tblHeader/>
        </w:trPr>
        <w:tc>
          <w:tcPr>
            <w:tcW w:w="3744" w:type="dxa"/>
            <w:shd w:val="clear" w:color="auto" w:fill="1B2A4A"/>
            <w:tcMar>
              <w:top w:w="75" w:type="dxa"/>
              <w:left w:w="110" w:type="dxa"/>
              <w:bottom w:w="75" w:type="dxa"/>
              <w:right w:w="110" w:type="dxa"/>
            </w:tcMar>
          </w:tcPr>
          <w:p w14:paraId="05F3E068" w14:textId="77777777" w:rsidR="00420A20" w:rsidRDefault="00000000">
            <w:pPr>
              <w:spacing w:line="250" w:lineRule="auto"/>
            </w:pPr>
            <w:r>
              <w:rPr>
                <w:b/>
                <w:bCs/>
                <w:color w:val="FFFFFF"/>
                <w:sz w:val="18"/>
                <w:szCs w:val="18"/>
              </w:rPr>
              <w:lastRenderedPageBreak/>
              <w:t>Risk</w:t>
            </w:r>
          </w:p>
        </w:tc>
        <w:tc>
          <w:tcPr>
            <w:tcW w:w="5616" w:type="dxa"/>
            <w:shd w:val="clear" w:color="auto" w:fill="1B2A4A"/>
            <w:tcMar>
              <w:top w:w="75" w:type="dxa"/>
              <w:left w:w="110" w:type="dxa"/>
              <w:bottom w:w="75" w:type="dxa"/>
              <w:right w:w="110" w:type="dxa"/>
            </w:tcMar>
          </w:tcPr>
          <w:p w14:paraId="77F498EB" w14:textId="77777777" w:rsidR="00420A20" w:rsidRDefault="00000000">
            <w:pPr>
              <w:spacing w:line="250" w:lineRule="auto"/>
            </w:pPr>
            <w:r>
              <w:rPr>
                <w:b/>
                <w:bCs/>
                <w:color w:val="FFFFFF"/>
                <w:sz w:val="18"/>
                <w:szCs w:val="18"/>
              </w:rPr>
              <w:t>Mitigation</w:t>
            </w:r>
          </w:p>
        </w:tc>
      </w:tr>
      <w:tr w:rsidR="00420A20" w14:paraId="53778502" w14:textId="77777777">
        <w:tblPrEx>
          <w:tblCellMar>
            <w:top w:w="0" w:type="dxa"/>
            <w:bottom w:w="0" w:type="dxa"/>
          </w:tblCellMar>
        </w:tblPrEx>
        <w:tc>
          <w:tcPr>
            <w:tcW w:w="3744" w:type="dxa"/>
            <w:shd w:val="clear" w:color="auto" w:fill="FFFFFF"/>
            <w:tcMar>
              <w:top w:w="75" w:type="dxa"/>
              <w:left w:w="110" w:type="dxa"/>
              <w:bottom w:w="75" w:type="dxa"/>
              <w:right w:w="110" w:type="dxa"/>
            </w:tcMar>
          </w:tcPr>
          <w:p w14:paraId="502AFF87" w14:textId="77777777" w:rsidR="00420A20" w:rsidRDefault="00000000">
            <w:pPr>
              <w:spacing w:line="250" w:lineRule="auto"/>
            </w:pPr>
            <w:r>
              <w:rPr>
                <w:b/>
                <w:bCs/>
                <w:sz w:val="18"/>
                <w:szCs w:val="18"/>
              </w:rPr>
              <w:t>The exact parameters reproducing the published AT50 = 672 d benchmark sit in supplementary material not present in our corpus.</w:t>
            </w:r>
          </w:p>
        </w:tc>
        <w:tc>
          <w:tcPr>
            <w:tcW w:w="5616" w:type="dxa"/>
            <w:shd w:val="clear" w:color="auto" w:fill="FFFFFF"/>
            <w:tcMar>
              <w:top w:w="75" w:type="dxa"/>
              <w:left w:w="110" w:type="dxa"/>
              <w:bottom w:w="75" w:type="dxa"/>
              <w:right w:w="110" w:type="dxa"/>
            </w:tcMar>
          </w:tcPr>
          <w:p w14:paraId="1C99CDC3" w14:textId="77777777" w:rsidR="00420A20" w:rsidRDefault="00000000">
            <w:pPr>
              <w:spacing w:line="250" w:lineRule="auto"/>
            </w:pPr>
            <w:r>
              <w:rPr>
                <w:sz w:val="18"/>
                <w:szCs w:val="18"/>
              </w:rPr>
              <w:t>Pull from the authors' public repository (MathOnco/DRL_Personalized_AT) in Week 1. Fallback: our re-implementation already matches continuous therapy to within 1%, so we proceed with a documented, self-consistent parameter set and report the benchmark gap openly rather than concealing it.</w:t>
            </w:r>
          </w:p>
        </w:tc>
      </w:tr>
      <w:tr w:rsidR="00420A20" w14:paraId="7F8503F3" w14:textId="77777777">
        <w:tblPrEx>
          <w:tblCellMar>
            <w:top w:w="0" w:type="dxa"/>
            <w:bottom w:w="0" w:type="dxa"/>
          </w:tblCellMar>
        </w:tblPrEx>
        <w:tc>
          <w:tcPr>
            <w:tcW w:w="3744" w:type="dxa"/>
            <w:shd w:val="clear" w:color="auto" w:fill="F4F6F7"/>
            <w:tcMar>
              <w:top w:w="75" w:type="dxa"/>
              <w:left w:w="110" w:type="dxa"/>
              <w:bottom w:w="75" w:type="dxa"/>
              <w:right w:w="110" w:type="dxa"/>
            </w:tcMar>
          </w:tcPr>
          <w:p w14:paraId="2B368F65" w14:textId="77777777" w:rsidR="00420A20" w:rsidRDefault="00000000">
            <w:pPr>
              <w:spacing w:line="250" w:lineRule="auto"/>
            </w:pPr>
            <w:r>
              <w:rPr>
                <w:b/>
                <w:bCs/>
                <w:sz w:val="18"/>
                <w:szCs w:val="18"/>
              </w:rPr>
              <w:t>The Yao (2024) paper defining the R4 durability reward is not in our corpus, so the exact reward form is unverified.</w:t>
            </w:r>
          </w:p>
        </w:tc>
        <w:tc>
          <w:tcPr>
            <w:tcW w:w="5616" w:type="dxa"/>
            <w:shd w:val="clear" w:color="auto" w:fill="F4F6F7"/>
            <w:tcMar>
              <w:top w:w="75" w:type="dxa"/>
              <w:left w:w="110" w:type="dxa"/>
              <w:bottom w:w="75" w:type="dxa"/>
              <w:right w:w="110" w:type="dxa"/>
            </w:tcMar>
          </w:tcPr>
          <w:p w14:paraId="6727DE38" w14:textId="77777777" w:rsidR="00420A20" w:rsidRDefault="00000000">
            <w:pPr>
              <w:spacing w:line="250" w:lineRule="auto"/>
            </w:pPr>
            <w:r>
              <w:rPr>
                <w:sz w:val="18"/>
                <w:szCs w:val="18"/>
              </w:rPr>
              <w:t>Retrieve in Week 1, before any R4 training. If the exact form cannot be obtained, R4 is defined explicitly as our operationalisation of durability and labelled as such, not attributed to Yao.</w:t>
            </w:r>
          </w:p>
        </w:tc>
      </w:tr>
      <w:tr w:rsidR="00420A20" w14:paraId="6331FE3B" w14:textId="77777777">
        <w:tblPrEx>
          <w:tblCellMar>
            <w:top w:w="0" w:type="dxa"/>
            <w:bottom w:w="0" w:type="dxa"/>
          </w:tblCellMar>
        </w:tblPrEx>
        <w:tc>
          <w:tcPr>
            <w:tcW w:w="3744" w:type="dxa"/>
            <w:shd w:val="clear" w:color="auto" w:fill="FFFFFF"/>
            <w:tcMar>
              <w:top w:w="75" w:type="dxa"/>
              <w:left w:w="110" w:type="dxa"/>
              <w:bottom w:w="75" w:type="dxa"/>
              <w:right w:w="110" w:type="dxa"/>
            </w:tcMar>
          </w:tcPr>
          <w:p w14:paraId="2CF579EA" w14:textId="77777777" w:rsidR="00420A20" w:rsidRDefault="00000000">
            <w:pPr>
              <w:spacing w:line="250" w:lineRule="auto"/>
            </w:pPr>
            <w:r>
              <w:rPr>
                <w:b/>
                <w:bCs/>
                <w:sz w:val="18"/>
                <w:szCs w:val="18"/>
              </w:rPr>
              <w:t>The factor-of-two discrepancy between Strobl's and Gallagher's drug term.</w:t>
            </w:r>
          </w:p>
        </w:tc>
        <w:tc>
          <w:tcPr>
            <w:tcW w:w="5616" w:type="dxa"/>
            <w:shd w:val="clear" w:color="auto" w:fill="FFFFFF"/>
            <w:tcMar>
              <w:top w:w="75" w:type="dxa"/>
              <w:left w:w="110" w:type="dxa"/>
              <w:bottom w:w="75" w:type="dxa"/>
              <w:right w:w="110" w:type="dxa"/>
            </w:tcMar>
          </w:tcPr>
          <w:p w14:paraId="6052CA91" w14:textId="77777777" w:rsidR="00420A20" w:rsidRDefault="00000000">
            <w:pPr>
              <w:spacing w:line="250" w:lineRule="auto"/>
            </w:pPr>
            <w:r>
              <w:rPr>
                <w:sz w:val="18"/>
                <w:szCs w:val="18"/>
              </w:rPr>
              <w:t>Resolved in Week 1 against published code; E0 will not pass if it is wrong, which is the point of having a gate.</w:t>
            </w:r>
          </w:p>
        </w:tc>
      </w:tr>
      <w:tr w:rsidR="00420A20" w14:paraId="013E7111" w14:textId="77777777">
        <w:tblPrEx>
          <w:tblCellMar>
            <w:top w:w="0" w:type="dxa"/>
            <w:bottom w:w="0" w:type="dxa"/>
          </w:tblCellMar>
        </w:tblPrEx>
        <w:tc>
          <w:tcPr>
            <w:tcW w:w="3744" w:type="dxa"/>
            <w:shd w:val="clear" w:color="auto" w:fill="F4F6F7"/>
            <w:tcMar>
              <w:top w:w="75" w:type="dxa"/>
              <w:left w:w="110" w:type="dxa"/>
              <w:bottom w:w="75" w:type="dxa"/>
              <w:right w:w="110" w:type="dxa"/>
            </w:tcMar>
          </w:tcPr>
          <w:p w14:paraId="0FF30A4F" w14:textId="77777777" w:rsidR="00420A20" w:rsidRDefault="00000000">
            <w:pPr>
              <w:spacing w:line="250" w:lineRule="auto"/>
            </w:pPr>
            <w:r>
              <w:rPr>
                <w:b/>
                <w:bCs/>
                <w:sz w:val="18"/>
                <w:szCs w:val="18"/>
              </w:rPr>
              <w:t>Progression checked only at decision points would let a fast-growing tumour progress and recover unobserved, silently overstating TTP.</w:t>
            </w:r>
          </w:p>
        </w:tc>
        <w:tc>
          <w:tcPr>
            <w:tcW w:w="5616" w:type="dxa"/>
            <w:shd w:val="clear" w:color="auto" w:fill="F4F6F7"/>
            <w:tcMar>
              <w:top w:w="75" w:type="dxa"/>
              <w:left w:w="110" w:type="dxa"/>
              <w:bottom w:w="75" w:type="dxa"/>
              <w:right w:w="110" w:type="dxa"/>
            </w:tcMar>
          </w:tcPr>
          <w:p w14:paraId="79DF2940" w14:textId="77777777" w:rsidR="00420A20" w:rsidRDefault="00000000">
            <w:pPr>
              <w:spacing w:line="250" w:lineRule="auto"/>
            </w:pPr>
            <w:r>
              <w:rPr>
                <w:sz w:val="18"/>
                <w:szCs w:val="18"/>
              </w:rPr>
              <w:t>Progression is checked at every integration step, not at decision points. Implemented from day one.</w:t>
            </w:r>
          </w:p>
        </w:tc>
      </w:tr>
      <w:tr w:rsidR="00420A20" w14:paraId="2A332067" w14:textId="77777777">
        <w:tblPrEx>
          <w:tblCellMar>
            <w:top w:w="0" w:type="dxa"/>
            <w:bottom w:w="0" w:type="dxa"/>
          </w:tblCellMar>
        </w:tblPrEx>
        <w:tc>
          <w:tcPr>
            <w:tcW w:w="3744" w:type="dxa"/>
            <w:shd w:val="clear" w:color="auto" w:fill="FFFFFF"/>
            <w:tcMar>
              <w:top w:w="75" w:type="dxa"/>
              <w:left w:w="110" w:type="dxa"/>
              <w:bottom w:w="75" w:type="dxa"/>
              <w:right w:w="110" w:type="dxa"/>
            </w:tcMar>
          </w:tcPr>
          <w:p w14:paraId="5384538B" w14:textId="77777777" w:rsidR="00420A20" w:rsidRDefault="00000000">
            <w:pPr>
              <w:spacing w:line="250" w:lineRule="auto"/>
            </w:pPr>
            <w:r>
              <w:rPr>
                <w:b/>
                <w:bCs/>
                <w:sz w:val="18"/>
                <w:szCs w:val="18"/>
              </w:rPr>
              <w:t>Raw population counts will not train.</w:t>
            </w:r>
          </w:p>
        </w:tc>
        <w:tc>
          <w:tcPr>
            <w:tcW w:w="5616" w:type="dxa"/>
            <w:shd w:val="clear" w:color="auto" w:fill="FFFFFF"/>
            <w:tcMar>
              <w:top w:w="75" w:type="dxa"/>
              <w:left w:w="110" w:type="dxa"/>
              <w:bottom w:w="75" w:type="dxa"/>
              <w:right w:w="110" w:type="dxa"/>
            </w:tcMar>
          </w:tcPr>
          <w:p w14:paraId="1685E872" w14:textId="77777777" w:rsidR="00420A20" w:rsidRDefault="00000000">
            <w:pPr>
              <w:spacing w:line="250" w:lineRule="auto"/>
            </w:pPr>
            <w:r>
              <w:rPr>
                <w:sz w:val="18"/>
                <w:szCs w:val="18"/>
              </w:rPr>
              <w:t>The network is fed N/N₀ and S/K, R/K rather than absolute counts.</w:t>
            </w:r>
          </w:p>
        </w:tc>
      </w:tr>
      <w:tr w:rsidR="00420A20" w14:paraId="54FF8A06" w14:textId="77777777">
        <w:tblPrEx>
          <w:tblCellMar>
            <w:top w:w="0" w:type="dxa"/>
            <w:bottom w:w="0" w:type="dxa"/>
          </w:tblCellMar>
        </w:tblPrEx>
        <w:tc>
          <w:tcPr>
            <w:tcW w:w="3744" w:type="dxa"/>
            <w:shd w:val="clear" w:color="auto" w:fill="F4F6F7"/>
            <w:tcMar>
              <w:top w:w="75" w:type="dxa"/>
              <w:left w:w="110" w:type="dxa"/>
              <w:bottom w:w="75" w:type="dxa"/>
              <w:right w:w="110" w:type="dxa"/>
            </w:tcMar>
          </w:tcPr>
          <w:p w14:paraId="066ED1BC" w14:textId="77777777" w:rsidR="00420A20" w:rsidRDefault="00000000">
            <w:pPr>
              <w:spacing w:line="250" w:lineRule="auto"/>
            </w:pPr>
            <w:r>
              <w:rPr>
                <w:b/>
                <w:bCs/>
                <w:sz w:val="18"/>
                <w:szCs w:val="18"/>
              </w:rPr>
              <w:t>PPO training proves unstable on E-ext within the window.</w:t>
            </w:r>
          </w:p>
        </w:tc>
        <w:tc>
          <w:tcPr>
            <w:tcW w:w="5616" w:type="dxa"/>
            <w:shd w:val="clear" w:color="auto" w:fill="F4F6F7"/>
            <w:tcMar>
              <w:top w:w="75" w:type="dxa"/>
              <w:left w:w="110" w:type="dxa"/>
              <w:bottom w:w="75" w:type="dxa"/>
              <w:right w:w="110" w:type="dxa"/>
            </w:tcMar>
          </w:tcPr>
          <w:p w14:paraId="6470C341" w14:textId="77777777" w:rsidR="00420A20" w:rsidRDefault="00000000">
            <w:pPr>
              <w:spacing w:line="250" w:lineRule="auto"/>
            </w:pPr>
            <w:r>
              <w:rPr>
                <w:sz w:val="18"/>
                <w:szCs w:val="18"/>
              </w:rPr>
              <w:t>Decision point at end of Week 4. Fall back to E-base with value iteration as the primary instrument and RL as a recovery check — a narrower but still complete and defensible result.</w:t>
            </w:r>
          </w:p>
        </w:tc>
      </w:tr>
    </w:tbl>
    <w:p w14:paraId="6A5EFA38" w14:textId="77777777" w:rsidR="00420A20" w:rsidRDefault="00000000">
      <w:pPr>
        <w:pStyle w:val="Heading1"/>
        <w:pBdr>
          <w:bottom w:val="single" w:sz="6" w:space="6" w:color="D8DDE2"/>
        </w:pBdr>
        <w:spacing w:before="340" w:after="130"/>
      </w:pPr>
      <w:r>
        <w:rPr>
          <w:b/>
          <w:bCs/>
          <w:color w:val="0F6E5F"/>
          <w:sz w:val="25"/>
          <w:szCs w:val="25"/>
        </w:rPr>
        <w:t xml:space="preserve">10.  </w:t>
      </w:r>
      <w:r>
        <w:rPr>
          <w:b/>
          <w:bCs/>
          <w:color w:val="1B2A4A"/>
          <w:sz w:val="25"/>
          <w:szCs w:val="25"/>
        </w:rPr>
        <w:t>Timeline and division of work</w:t>
      </w:r>
    </w:p>
    <w:p w14:paraId="58B221B7" w14:textId="77777777" w:rsidR="00420A20" w:rsidRDefault="00000000">
      <w:pPr>
        <w:spacing w:after="130" w:line="276" w:lineRule="auto"/>
        <w:jc w:val="both"/>
      </w:pPr>
      <w:r>
        <w:t>Eight weeks, two members. The split below assigns primary ownership; both members review each other's code, and the write-up is shared.</w:t>
      </w:r>
    </w:p>
    <w:tbl>
      <w:tblPr>
        <w:tblW w:w="9360" w:type="dxa"/>
        <w:tblBorders>
          <w:top w:val="single" w:sz="2" w:space="0" w:color="D8DDE2"/>
          <w:bottom w:val="single" w:sz="2" w:space="0" w:color="D8DDE2"/>
          <w:insideH w:val="single" w:sz="2" w:space="0" w:color="D8DDE2"/>
        </w:tblBorders>
        <w:tblCellMar>
          <w:left w:w="10" w:type="dxa"/>
          <w:right w:w="10" w:type="dxa"/>
        </w:tblCellMar>
        <w:tblLook w:val="0000" w:firstRow="0" w:lastRow="0" w:firstColumn="0" w:lastColumn="0" w:noHBand="0" w:noVBand="0"/>
      </w:tblPr>
      <w:tblGrid>
        <w:gridCol w:w="975"/>
        <w:gridCol w:w="4095"/>
        <w:gridCol w:w="2925"/>
        <w:gridCol w:w="1365"/>
      </w:tblGrid>
      <w:tr w:rsidR="00420A20" w14:paraId="5A829C9F" w14:textId="77777777">
        <w:tblPrEx>
          <w:tblCellMar>
            <w:top w:w="0" w:type="dxa"/>
            <w:bottom w:w="0" w:type="dxa"/>
          </w:tblCellMar>
        </w:tblPrEx>
        <w:trPr>
          <w:tblHeader/>
        </w:trPr>
        <w:tc>
          <w:tcPr>
            <w:tcW w:w="975" w:type="dxa"/>
            <w:shd w:val="clear" w:color="auto" w:fill="1B2A4A"/>
            <w:tcMar>
              <w:top w:w="75" w:type="dxa"/>
              <w:left w:w="110" w:type="dxa"/>
              <w:bottom w:w="75" w:type="dxa"/>
              <w:right w:w="110" w:type="dxa"/>
            </w:tcMar>
          </w:tcPr>
          <w:p w14:paraId="44C44E7C" w14:textId="77777777" w:rsidR="00420A20" w:rsidRDefault="00000000">
            <w:pPr>
              <w:spacing w:line="250" w:lineRule="auto"/>
            </w:pPr>
            <w:r>
              <w:rPr>
                <w:b/>
                <w:bCs/>
                <w:color w:val="FFFFFF"/>
                <w:sz w:val="18"/>
                <w:szCs w:val="18"/>
              </w:rPr>
              <w:t>Week</w:t>
            </w:r>
          </w:p>
        </w:tc>
        <w:tc>
          <w:tcPr>
            <w:tcW w:w="4095" w:type="dxa"/>
            <w:shd w:val="clear" w:color="auto" w:fill="1B2A4A"/>
            <w:tcMar>
              <w:top w:w="75" w:type="dxa"/>
              <w:left w:w="110" w:type="dxa"/>
              <w:bottom w:w="75" w:type="dxa"/>
              <w:right w:w="110" w:type="dxa"/>
            </w:tcMar>
          </w:tcPr>
          <w:p w14:paraId="3A03BF31" w14:textId="77777777" w:rsidR="00420A20" w:rsidRDefault="00000000">
            <w:pPr>
              <w:spacing w:line="250" w:lineRule="auto"/>
            </w:pPr>
            <w:r>
              <w:rPr>
                <w:b/>
                <w:bCs/>
                <w:color w:val="FFFFFF"/>
                <w:sz w:val="18"/>
                <w:szCs w:val="18"/>
              </w:rPr>
              <w:t>Work</w:t>
            </w:r>
          </w:p>
        </w:tc>
        <w:tc>
          <w:tcPr>
            <w:tcW w:w="2925" w:type="dxa"/>
            <w:shd w:val="clear" w:color="auto" w:fill="1B2A4A"/>
            <w:tcMar>
              <w:top w:w="75" w:type="dxa"/>
              <w:left w:w="110" w:type="dxa"/>
              <w:bottom w:w="75" w:type="dxa"/>
              <w:right w:w="110" w:type="dxa"/>
            </w:tcMar>
          </w:tcPr>
          <w:p w14:paraId="3CCA93F7" w14:textId="77777777" w:rsidR="00420A20" w:rsidRDefault="00000000">
            <w:pPr>
              <w:spacing w:line="250" w:lineRule="auto"/>
            </w:pPr>
            <w:r>
              <w:rPr>
                <w:b/>
                <w:bCs/>
                <w:color w:val="FFFFFF"/>
                <w:sz w:val="18"/>
                <w:szCs w:val="18"/>
              </w:rPr>
              <w:t>Deliverable</w:t>
            </w:r>
          </w:p>
        </w:tc>
        <w:tc>
          <w:tcPr>
            <w:tcW w:w="1365" w:type="dxa"/>
            <w:shd w:val="clear" w:color="auto" w:fill="1B2A4A"/>
            <w:tcMar>
              <w:top w:w="75" w:type="dxa"/>
              <w:left w:w="110" w:type="dxa"/>
              <w:bottom w:w="75" w:type="dxa"/>
              <w:right w:w="110" w:type="dxa"/>
            </w:tcMar>
          </w:tcPr>
          <w:p w14:paraId="429B4A6A" w14:textId="77777777" w:rsidR="00420A20" w:rsidRDefault="00000000">
            <w:pPr>
              <w:spacing w:line="250" w:lineRule="auto"/>
            </w:pPr>
            <w:r>
              <w:rPr>
                <w:b/>
                <w:bCs/>
                <w:color w:val="FFFFFF"/>
                <w:sz w:val="18"/>
                <w:szCs w:val="18"/>
              </w:rPr>
              <w:t>Lead</w:t>
            </w:r>
          </w:p>
        </w:tc>
      </w:tr>
      <w:tr w:rsidR="00420A20" w14:paraId="4CDFE68D" w14:textId="77777777">
        <w:tblPrEx>
          <w:tblCellMar>
            <w:top w:w="0" w:type="dxa"/>
            <w:bottom w:w="0" w:type="dxa"/>
          </w:tblCellMar>
        </w:tblPrEx>
        <w:tc>
          <w:tcPr>
            <w:tcW w:w="975" w:type="dxa"/>
            <w:shd w:val="clear" w:color="auto" w:fill="FFFFFF"/>
            <w:tcMar>
              <w:top w:w="75" w:type="dxa"/>
              <w:left w:w="110" w:type="dxa"/>
              <w:bottom w:w="75" w:type="dxa"/>
              <w:right w:w="110" w:type="dxa"/>
            </w:tcMar>
          </w:tcPr>
          <w:p w14:paraId="5FBF70FA" w14:textId="77777777" w:rsidR="00420A20" w:rsidRDefault="00000000">
            <w:pPr>
              <w:spacing w:line="250" w:lineRule="auto"/>
            </w:pPr>
            <w:r>
              <w:rPr>
                <w:b/>
                <w:bCs/>
                <w:sz w:val="18"/>
                <w:szCs w:val="18"/>
              </w:rPr>
              <w:t>1</w:t>
            </w:r>
          </w:p>
        </w:tc>
        <w:tc>
          <w:tcPr>
            <w:tcW w:w="4095" w:type="dxa"/>
            <w:shd w:val="clear" w:color="auto" w:fill="FFFFFF"/>
            <w:tcMar>
              <w:top w:w="75" w:type="dxa"/>
              <w:left w:w="110" w:type="dxa"/>
              <w:bottom w:w="75" w:type="dxa"/>
              <w:right w:w="110" w:type="dxa"/>
            </w:tcMar>
          </w:tcPr>
          <w:p w14:paraId="4E5E1244" w14:textId="77777777" w:rsidR="00420A20" w:rsidRDefault="00000000">
            <w:pPr>
              <w:spacing w:line="250" w:lineRule="auto"/>
            </w:pPr>
            <w:r>
              <w:rPr>
                <w:sz w:val="18"/>
                <w:szCs w:val="18"/>
              </w:rPr>
              <w:t>Environment implementation, parameter resolution, E0 correctness gate</w:t>
            </w:r>
          </w:p>
        </w:tc>
        <w:tc>
          <w:tcPr>
            <w:tcW w:w="2925" w:type="dxa"/>
            <w:shd w:val="clear" w:color="auto" w:fill="FFFFFF"/>
            <w:tcMar>
              <w:top w:w="75" w:type="dxa"/>
              <w:left w:w="110" w:type="dxa"/>
              <w:bottom w:w="75" w:type="dxa"/>
              <w:right w:w="110" w:type="dxa"/>
            </w:tcMar>
          </w:tcPr>
          <w:p w14:paraId="09EFA6AE" w14:textId="77777777" w:rsidR="00420A20" w:rsidRDefault="00000000">
            <w:pPr>
              <w:spacing w:line="250" w:lineRule="auto"/>
            </w:pPr>
            <w:r>
              <w:rPr>
                <w:sz w:val="18"/>
                <w:szCs w:val="18"/>
              </w:rPr>
              <w:t>Published benchmark reproduced</w:t>
            </w:r>
          </w:p>
        </w:tc>
        <w:tc>
          <w:tcPr>
            <w:tcW w:w="1365" w:type="dxa"/>
            <w:shd w:val="clear" w:color="auto" w:fill="FFFFFF"/>
            <w:tcMar>
              <w:top w:w="75" w:type="dxa"/>
              <w:left w:w="110" w:type="dxa"/>
              <w:bottom w:w="75" w:type="dxa"/>
              <w:right w:w="110" w:type="dxa"/>
            </w:tcMar>
          </w:tcPr>
          <w:p w14:paraId="49DA0ADF" w14:textId="77777777" w:rsidR="00420A20" w:rsidRDefault="00000000">
            <w:pPr>
              <w:spacing w:line="250" w:lineRule="auto"/>
            </w:pPr>
            <w:r>
              <w:rPr>
                <w:sz w:val="18"/>
                <w:szCs w:val="18"/>
              </w:rPr>
              <w:t>Arnav</w:t>
            </w:r>
          </w:p>
        </w:tc>
      </w:tr>
      <w:tr w:rsidR="00420A20" w14:paraId="16BFB934" w14:textId="77777777">
        <w:tblPrEx>
          <w:tblCellMar>
            <w:top w:w="0" w:type="dxa"/>
            <w:bottom w:w="0" w:type="dxa"/>
          </w:tblCellMar>
        </w:tblPrEx>
        <w:tc>
          <w:tcPr>
            <w:tcW w:w="975" w:type="dxa"/>
            <w:shd w:val="clear" w:color="auto" w:fill="F4F6F7"/>
            <w:tcMar>
              <w:top w:w="75" w:type="dxa"/>
              <w:left w:w="110" w:type="dxa"/>
              <w:bottom w:w="75" w:type="dxa"/>
              <w:right w:w="110" w:type="dxa"/>
            </w:tcMar>
          </w:tcPr>
          <w:p w14:paraId="449C8B62" w14:textId="77777777" w:rsidR="00420A20" w:rsidRDefault="00000000">
            <w:pPr>
              <w:spacing w:line="250" w:lineRule="auto"/>
            </w:pPr>
            <w:r>
              <w:rPr>
                <w:b/>
                <w:bCs/>
                <w:sz w:val="18"/>
                <w:szCs w:val="18"/>
              </w:rPr>
              <w:t>2</w:t>
            </w:r>
          </w:p>
        </w:tc>
        <w:tc>
          <w:tcPr>
            <w:tcW w:w="4095" w:type="dxa"/>
            <w:shd w:val="clear" w:color="auto" w:fill="F4F6F7"/>
            <w:tcMar>
              <w:top w:w="75" w:type="dxa"/>
              <w:left w:w="110" w:type="dxa"/>
              <w:bottom w:w="75" w:type="dxa"/>
              <w:right w:w="110" w:type="dxa"/>
            </w:tcMar>
          </w:tcPr>
          <w:p w14:paraId="449C187A" w14:textId="77777777" w:rsidR="00420A20" w:rsidRDefault="00000000">
            <w:pPr>
              <w:spacing w:line="250" w:lineRule="auto"/>
            </w:pPr>
            <w:r>
              <w:rPr>
                <w:sz w:val="18"/>
                <w:szCs w:val="18"/>
              </w:rPr>
              <w:t>Baseline suite (E1); value iteration harness (E2) begun</w:t>
            </w:r>
          </w:p>
        </w:tc>
        <w:tc>
          <w:tcPr>
            <w:tcW w:w="2925" w:type="dxa"/>
            <w:shd w:val="clear" w:color="auto" w:fill="F4F6F7"/>
            <w:tcMar>
              <w:top w:w="75" w:type="dxa"/>
              <w:left w:w="110" w:type="dxa"/>
              <w:bottom w:w="75" w:type="dxa"/>
              <w:right w:w="110" w:type="dxa"/>
            </w:tcMar>
          </w:tcPr>
          <w:p w14:paraId="3363CD0C" w14:textId="77777777" w:rsidR="00420A20" w:rsidRDefault="00000000">
            <w:pPr>
              <w:spacing w:line="250" w:lineRule="auto"/>
            </w:pPr>
            <w:r>
              <w:rPr>
                <w:sz w:val="18"/>
                <w:szCs w:val="18"/>
              </w:rPr>
              <w:t>Baseline comparison table</w:t>
            </w:r>
          </w:p>
        </w:tc>
        <w:tc>
          <w:tcPr>
            <w:tcW w:w="1365" w:type="dxa"/>
            <w:shd w:val="clear" w:color="auto" w:fill="F4F6F7"/>
            <w:tcMar>
              <w:top w:w="75" w:type="dxa"/>
              <w:left w:w="110" w:type="dxa"/>
              <w:bottom w:w="75" w:type="dxa"/>
              <w:right w:w="110" w:type="dxa"/>
            </w:tcMar>
          </w:tcPr>
          <w:p w14:paraId="16BE1F34" w14:textId="77777777" w:rsidR="00420A20" w:rsidRDefault="00000000">
            <w:pPr>
              <w:spacing w:line="250" w:lineRule="auto"/>
            </w:pPr>
            <w:r>
              <w:rPr>
                <w:sz w:val="18"/>
                <w:szCs w:val="18"/>
              </w:rPr>
              <w:t>Arnav</w:t>
            </w:r>
          </w:p>
        </w:tc>
      </w:tr>
      <w:tr w:rsidR="00420A20" w14:paraId="373F642C" w14:textId="77777777">
        <w:tblPrEx>
          <w:tblCellMar>
            <w:top w:w="0" w:type="dxa"/>
            <w:bottom w:w="0" w:type="dxa"/>
          </w:tblCellMar>
        </w:tblPrEx>
        <w:tc>
          <w:tcPr>
            <w:tcW w:w="975" w:type="dxa"/>
            <w:shd w:val="clear" w:color="auto" w:fill="FFFFFF"/>
            <w:tcMar>
              <w:top w:w="75" w:type="dxa"/>
              <w:left w:w="110" w:type="dxa"/>
              <w:bottom w:w="75" w:type="dxa"/>
              <w:right w:w="110" w:type="dxa"/>
            </w:tcMar>
          </w:tcPr>
          <w:p w14:paraId="5430B2EA" w14:textId="77777777" w:rsidR="00420A20" w:rsidRDefault="00000000">
            <w:pPr>
              <w:spacing w:line="250" w:lineRule="auto"/>
            </w:pPr>
            <w:r>
              <w:rPr>
                <w:b/>
                <w:bCs/>
                <w:sz w:val="18"/>
                <w:szCs w:val="18"/>
              </w:rPr>
              <w:t>2–3</w:t>
            </w:r>
          </w:p>
        </w:tc>
        <w:tc>
          <w:tcPr>
            <w:tcW w:w="4095" w:type="dxa"/>
            <w:shd w:val="clear" w:color="auto" w:fill="FFFFFF"/>
            <w:tcMar>
              <w:top w:w="75" w:type="dxa"/>
              <w:left w:w="110" w:type="dxa"/>
              <w:bottom w:w="75" w:type="dxa"/>
              <w:right w:w="110" w:type="dxa"/>
            </w:tcMar>
          </w:tcPr>
          <w:p w14:paraId="6B4CAF98" w14:textId="77777777" w:rsidR="00420A20" w:rsidRDefault="00000000">
            <w:pPr>
              <w:spacing w:line="250" w:lineRule="auto"/>
            </w:pPr>
            <w:r>
              <w:rPr>
                <w:sz w:val="18"/>
                <w:szCs w:val="18"/>
              </w:rPr>
              <w:t>E-ext: graded dosing, observation intervals, noise, belief state</w:t>
            </w:r>
          </w:p>
        </w:tc>
        <w:tc>
          <w:tcPr>
            <w:tcW w:w="2925" w:type="dxa"/>
            <w:shd w:val="clear" w:color="auto" w:fill="FFFFFF"/>
            <w:tcMar>
              <w:top w:w="75" w:type="dxa"/>
              <w:left w:w="110" w:type="dxa"/>
              <w:bottom w:w="75" w:type="dxa"/>
              <w:right w:w="110" w:type="dxa"/>
            </w:tcMar>
          </w:tcPr>
          <w:p w14:paraId="77F94C55" w14:textId="77777777" w:rsidR="00420A20" w:rsidRDefault="00000000">
            <w:pPr>
              <w:spacing w:line="250" w:lineRule="auto"/>
            </w:pPr>
            <w:r>
              <w:rPr>
                <w:sz w:val="18"/>
                <w:szCs w:val="18"/>
              </w:rPr>
              <w:t>Extended environment, tested</w:t>
            </w:r>
          </w:p>
        </w:tc>
        <w:tc>
          <w:tcPr>
            <w:tcW w:w="1365" w:type="dxa"/>
            <w:shd w:val="clear" w:color="auto" w:fill="FFFFFF"/>
            <w:tcMar>
              <w:top w:w="75" w:type="dxa"/>
              <w:left w:w="110" w:type="dxa"/>
              <w:bottom w:w="75" w:type="dxa"/>
              <w:right w:w="110" w:type="dxa"/>
            </w:tcMar>
          </w:tcPr>
          <w:p w14:paraId="31F24B4C" w14:textId="77777777" w:rsidR="00420A20" w:rsidRDefault="00000000">
            <w:pPr>
              <w:spacing w:line="250" w:lineRule="auto"/>
            </w:pPr>
            <w:r>
              <w:rPr>
                <w:sz w:val="18"/>
                <w:szCs w:val="18"/>
              </w:rPr>
              <w:t>Rohit</w:t>
            </w:r>
          </w:p>
        </w:tc>
      </w:tr>
      <w:tr w:rsidR="00420A20" w14:paraId="4A43F1C8" w14:textId="77777777">
        <w:tblPrEx>
          <w:tblCellMar>
            <w:top w:w="0" w:type="dxa"/>
            <w:bottom w:w="0" w:type="dxa"/>
          </w:tblCellMar>
        </w:tblPrEx>
        <w:tc>
          <w:tcPr>
            <w:tcW w:w="975" w:type="dxa"/>
            <w:shd w:val="clear" w:color="auto" w:fill="F4F6F7"/>
            <w:tcMar>
              <w:top w:w="75" w:type="dxa"/>
              <w:left w:w="110" w:type="dxa"/>
              <w:bottom w:w="75" w:type="dxa"/>
              <w:right w:w="110" w:type="dxa"/>
            </w:tcMar>
          </w:tcPr>
          <w:p w14:paraId="15F2C35B" w14:textId="77777777" w:rsidR="00420A20" w:rsidRDefault="00000000">
            <w:pPr>
              <w:spacing w:line="250" w:lineRule="auto"/>
            </w:pPr>
            <w:r>
              <w:rPr>
                <w:b/>
                <w:bCs/>
                <w:sz w:val="18"/>
                <w:szCs w:val="18"/>
              </w:rPr>
              <w:t>3–4</w:t>
            </w:r>
          </w:p>
        </w:tc>
        <w:tc>
          <w:tcPr>
            <w:tcW w:w="4095" w:type="dxa"/>
            <w:shd w:val="clear" w:color="auto" w:fill="F4F6F7"/>
            <w:tcMar>
              <w:top w:w="75" w:type="dxa"/>
              <w:left w:w="110" w:type="dxa"/>
              <w:bottom w:w="75" w:type="dxa"/>
              <w:right w:w="110" w:type="dxa"/>
            </w:tcMar>
          </w:tcPr>
          <w:p w14:paraId="1D3D2598" w14:textId="77777777" w:rsidR="00420A20" w:rsidRDefault="00000000">
            <w:pPr>
              <w:spacing w:line="250" w:lineRule="auto"/>
            </w:pPr>
            <w:r>
              <w:rPr>
                <w:sz w:val="18"/>
                <w:szCs w:val="18"/>
              </w:rPr>
              <w:t>PPO training harness; R1 trained, 10 seeds</w:t>
            </w:r>
          </w:p>
        </w:tc>
        <w:tc>
          <w:tcPr>
            <w:tcW w:w="2925" w:type="dxa"/>
            <w:shd w:val="clear" w:color="auto" w:fill="F4F6F7"/>
            <w:tcMar>
              <w:top w:w="75" w:type="dxa"/>
              <w:left w:w="110" w:type="dxa"/>
              <w:bottom w:w="75" w:type="dxa"/>
              <w:right w:w="110" w:type="dxa"/>
            </w:tcMar>
          </w:tcPr>
          <w:p w14:paraId="4DD80026" w14:textId="77777777" w:rsidR="00420A20" w:rsidRDefault="00000000">
            <w:pPr>
              <w:spacing w:line="250" w:lineRule="auto"/>
            </w:pPr>
            <w:r>
              <w:rPr>
                <w:sz w:val="18"/>
                <w:szCs w:val="18"/>
              </w:rPr>
              <w:t>R1 training stably</w:t>
            </w:r>
          </w:p>
        </w:tc>
        <w:tc>
          <w:tcPr>
            <w:tcW w:w="1365" w:type="dxa"/>
            <w:shd w:val="clear" w:color="auto" w:fill="F4F6F7"/>
            <w:tcMar>
              <w:top w:w="75" w:type="dxa"/>
              <w:left w:w="110" w:type="dxa"/>
              <w:bottom w:w="75" w:type="dxa"/>
              <w:right w:w="110" w:type="dxa"/>
            </w:tcMar>
          </w:tcPr>
          <w:p w14:paraId="728A9A07" w14:textId="77777777" w:rsidR="00420A20" w:rsidRDefault="00000000">
            <w:pPr>
              <w:spacing w:line="250" w:lineRule="auto"/>
            </w:pPr>
            <w:r>
              <w:rPr>
                <w:sz w:val="18"/>
                <w:szCs w:val="18"/>
              </w:rPr>
              <w:t>Rohit</w:t>
            </w:r>
          </w:p>
        </w:tc>
      </w:tr>
      <w:tr w:rsidR="00420A20" w14:paraId="525B87C0" w14:textId="77777777">
        <w:tblPrEx>
          <w:tblCellMar>
            <w:top w:w="0" w:type="dxa"/>
            <w:bottom w:w="0" w:type="dxa"/>
          </w:tblCellMar>
        </w:tblPrEx>
        <w:tc>
          <w:tcPr>
            <w:tcW w:w="975" w:type="dxa"/>
            <w:shd w:val="clear" w:color="auto" w:fill="FFFFFF"/>
            <w:tcMar>
              <w:top w:w="75" w:type="dxa"/>
              <w:left w:w="110" w:type="dxa"/>
              <w:bottom w:w="75" w:type="dxa"/>
              <w:right w:w="110" w:type="dxa"/>
            </w:tcMar>
          </w:tcPr>
          <w:p w14:paraId="2B9F6D95" w14:textId="77777777" w:rsidR="00420A20" w:rsidRDefault="00000000">
            <w:pPr>
              <w:spacing w:line="250" w:lineRule="auto"/>
            </w:pPr>
            <w:r>
              <w:rPr>
                <w:b/>
                <w:bCs/>
                <w:sz w:val="18"/>
                <w:szCs w:val="18"/>
              </w:rPr>
              <w:t>5</w:t>
            </w:r>
          </w:p>
        </w:tc>
        <w:tc>
          <w:tcPr>
            <w:tcW w:w="4095" w:type="dxa"/>
            <w:shd w:val="clear" w:color="auto" w:fill="FFFFFF"/>
            <w:tcMar>
              <w:top w:w="75" w:type="dxa"/>
              <w:left w:w="110" w:type="dxa"/>
              <w:bottom w:w="75" w:type="dxa"/>
              <w:right w:w="110" w:type="dxa"/>
            </w:tcMar>
          </w:tcPr>
          <w:p w14:paraId="1E3BC47F" w14:textId="77777777" w:rsidR="00420A20" w:rsidRDefault="00000000">
            <w:pPr>
              <w:spacing w:line="250" w:lineRule="auto"/>
            </w:pPr>
            <w:r>
              <w:rPr>
                <w:sz w:val="18"/>
                <w:szCs w:val="18"/>
              </w:rPr>
              <w:t>R4 implemented and trained, 10 seeds; value iteration completed</w:t>
            </w:r>
          </w:p>
        </w:tc>
        <w:tc>
          <w:tcPr>
            <w:tcW w:w="2925" w:type="dxa"/>
            <w:shd w:val="clear" w:color="auto" w:fill="FFFFFF"/>
            <w:tcMar>
              <w:top w:w="75" w:type="dxa"/>
              <w:left w:w="110" w:type="dxa"/>
              <w:bottom w:w="75" w:type="dxa"/>
              <w:right w:w="110" w:type="dxa"/>
            </w:tcMar>
          </w:tcPr>
          <w:p w14:paraId="75EE0E08" w14:textId="77777777" w:rsidR="00420A20" w:rsidRDefault="00000000">
            <w:pPr>
              <w:spacing w:line="250" w:lineRule="auto"/>
            </w:pPr>
            <w:r>
              <w:rPr>
                <w:sz w:val="18"/>
                <w:szCs w:val="18"/>
              </w:rPr>
              <w:t>Both objectives trained; ceilings computed</w:t>
            </w:r>
          </w:p>
        </w:tc>
        <w:tc>
          <w:tcPr>
            <w:tcW w:w="1365" w:type="dxa"/>
            <w:shd w:val="clear" w:color="auto" w:fill="FFFFFF"/>
            <w:tcMar>
              <w:top w:w="75" w:type="dxa"/>
              <w:left w:w="110" w:type="dxa"/>
              <w:bottom w:w="75" w:type="dxa"/>
              <w:right w:w="110" w:type="dxa"/>
            </w:tcMar>
          </w:tcPr>
          <w:p w14:paraId="489D3733" w14:textId="77777777" w:rsidR="00420A20" w:rsidRDefault="00000000">
            <w:pPr>
              <w:spacing w:line="250" w:lineRule="auto"/>
            </w:pPr>
            <w:r>
              <w:rPr>
                <w:sz w:val="18"/>
                <w:szCs w:val="18"/>
              </w:rPr>
              <w:t>Both</w:t>
            </w:r>
          </w:p>
        </w:tc>
      </w:tr>
      <w:tr w:rsidR="00420A20" w14:paraId="71C28710" w14:textId="77777777">
        <w:tblPrEx>
          <w:tblCellMar>
            <w:top w:w="0" w:type="dxa"/>
            <w:bottom w:w="0" w:type="dxa"/>
          </w:tblCellMar>
        </w:tblPrEx>
        <w:tc>
          <w:tcPr>
            <w:tcW w:w="975" w:type="dxa"/>
            <w:shd w:val="clear" w:color="auto" w:fill="F4F6F7"/>
            <w:tcMar>
              <w:top w:w="75" w:type="dxa"/>
              <w:left w:w="110" w:type="dxa"/>
              <w:bottom w:w="75" w:type="dxa"/>
              <w:right w:w="110" w:type="dxa"/>
            </w:tcMar>
          </w:tcPr>
          <w:p w14:paraId="1C73C3FE" w14:textId="77777777" w:rsidR="00420A20" w:rsidRDefault="00000000">
            <w:pPr>
              <w:spacing w:line="250" w:lineRule="auto"/>
            </w:pPr>
            <w:r>
              <w:rPr>
                <w:b/>
                <w:bCs/>
                <w:sz w:val="18"/>
                <w:szCs w:val="18"/>
              </w:rPr>
              <w:t>6</w:t>
            </w:r>
          </w:p>
        </w:tc>
        <w:tc>
          <w:tcPr>
            <w:tcW w:w="4095" w:type="dxa"/>
            <w:shd w:val="clear" w:color="auto" w:fill="F4F6F7"/>
            <w:tcMar>
              <w:top w:w="75" w:type="dxa"/>
              <w:left w:w="110" w:type="dxa"/>
              <w:bottom w:w="75" w:type="dxa"/>
              <w:right w:w="110" w:type="dxa"/>
            </w:tcMar>
          </w:tcPr>
          <w:p w14:paraId="2032A8B0" w14:textId="77777777" w:rsidR="00420A20" w:rsidRDefault="00000000">
            <w:pPr>
              <w:spacing w:line="250" w:lineRule="auto"/>
            </w:pPr>
            <w:r>
              <w:rPr>
                <w:sz w:val="18"/>
                <w:szCs w:val="18"/>
              </w:rPr>
              <w:t>Cohort runs across the 3 × 3 grid (E6); cross-evaluation (E4)</w:t>
            </w:r>
          </w:p>
        </w:tc>
        <w:tc>
          <w:tcPr>
            <w:tcW w:w="2925" w:type="dxa"/>
            <w:shd w:val="clear" w:color="auto" w:fill="F4F6F7"/>
            <w:tcMar>
              <w:top w:w="75" w:type="dxa"/>
              <w:left w:w="110" w:type="dxa"/>
              <w:bottom w:w="75" w:type="dxa"/>
              <w:right w:w="110" w:type="dxa"/>
            </w:tcMar>
          </w:tcPr>
          <w:p w14:paraId="527E315E" w14:textId="77777777" w:rsidR="00420A20" w:rsidRDefault="00000000">
            <w:pPr>
              <w:spacing w:line="250" w:lineRule="auto"/>
            </w:pPr>
            <w:r>
              <w:rPr>
                <w:sz w:val="18"/>
                <w:szCs w:val="18"/>
              </w:rPr>
              <w:t>Core result matrix</w:t>
            </w:r>
          </w:p>
        </w:tc>
        <w:tc>
          <w:tcPr>
            <w:tcW w:w="1365" w:type="dxa"/>
            <w:shd w:val="clear" w:color="auto" w:fill="F4F6F7"/>
            <w:tcMar>
              <w:top w:w="75" w:type="dxa"/>
              <w:left w:w="110" w:type="dxa"/>
              <w:bottom w:w="75" w:type="dxa"/>
              <w:right w:w="110" w:type="dxa"/>
            </w:tcMar>
          </w:tcPr>
          <w:p w14:paraId="4E38BD49" w14:textId="77777777" w:rsidR="00420A20" w:rsidRDefault="00000000">
            <w:pPr>
              <w:spacing w:line="250" w:lineRule="auto"/>
            </w:pPr>
            <w:r>
              <w:rPr>
                <w:sz w:val="18"/>
                <w:szCs w:val="18"/>
              </w:rPr>
              <w:t>Both</w:t>
            </w:r>
          </w:p>
        </w:tc>
      </w:tr>
      <w:tr w:rsidR="00420A20" w14:paraId="23FB5DC6" w14:textId="77777777">
        <w:tblPrEx>
          <w:tblCellMar>
            <w:top w:w="0" w:type="dxa"/>
            <w:bottom w:w="0" w:type="dxa"/>
          </w:tblCellMar>
        </w:tblPrEx>
        <w:tc>
          <w:tcPr>
            <w:tcW w:w="975" w:type="dxa"/>
            <w:shd w:val="clear" w:color="auto" w:fill="FFFFFF"/>
            <w:tcMar>
              <w:top w:w="75" w:type="dxa"/>
              <w:left w:w="110" w:type="dxa"/>
              <w:bottom w:w="75" w:type="dxa"/>
              <w:right w:w="110" w:type="dxa"/>
            </w:tcMar>
          </w:tcPr>
          <w:p w14:paraId="4EC46015" w14:textId="77777777" w:rsidR="00420A20" w:rsidRDefault="00000000">
            <w:pPr>
              <w:spacing w:line="250" w:lineRule="auto"/>
            </w:pPr>
            <w:r>
              <w:rPr>
                <w:b/>
                <w:bCs/>
                <w:sz w:val="18"/>
                <w:szCs w:val="18"/>
              </w:rPr>
              <w:t>7</w:t>
            </w:r>
          </w:p>
        </w:tc>
        <w:tc>
          <w:tcPr>
            <w:tcW w:w="4095" w:type="dxa"/>
            <w:shd w:val="clear" w:color="auto" w:fill="FFFFFF"/>
            <w:tcMar>
              <w:top w:w="75" w:type="dxa"/>
              <w:left w:w="110" w:type="dxa"/>
              <w:bottom w:w="75" w:type="dxa"/>
              <w:right w:w="110" w:type="dxa"/>
            </w:tcMar>
          </w:tcPr>
          <w:p w14:paraId="5EA6D56D" w14:textId="77777777" w:rsidR="00420A20" w:rsidRDefault="00000000">
            <w:pPr>
              <w:spacing w:line="250" w:lineRule="auto"/>
            </w:pPr>
            <w:r>
              <w:rPr>
                <w:sz w:val="18"/>
                <w:szCs w:val="18"/>
              </w:rPr>
              <w:t>Policy divergence (E5), statistics, figures</w:t>
            </w:r>
          </w:p>
        </w:tc>
        <w:tc>
          <w:tcPr>
            <w:tcW w:w="2925" w:type="dxa"/>
            <w:shd w:val="clear" w:color="auto" w:fill="FFFFFF"/>
            <w:tcMar>
              <w:top w:w="75" w:type="dxa"/>
              <w:left w:w="110" w:type="dxa"/>
              <w:bottom w:w="75" w:type="dxa"/>
              <w:right w:w="110" w:type="dxa"/>
            </w:tcMar>
          </w:tcPr>
          <w:p w14:paraId="4156A198" w14:textId="77777777" w:rsidR="00420A20" w:rsidRDefault="00000000">
            <w:pPr>
              <w:spacing w:line="250" w:lineRule="auto"/>
            </w:pPr>
            <w:r>
              <w:rPr>
                <w:sz w:val="18"/>
                <w:szCs w:val="18"/>
              </w:rPr>
              <w:t>Divergence figure and statistics</w:t>
            </w:r>
          </w:p>
        </w:tc>
        <w:tc>
          <w:tcPr>
            <w:tcW w:w="1365" w:type="dxa"/>
            <w:shd w:val="clear" w:color="auto" w:fill="FFFFFF"/>
            <w:tcMar>
              <w:top w:w="75" w:type="dxa"/>
              <w:left w:w="110" w:type="dxa"/>
              <w:bottom w:w="75" w:type="dxa"/>
              <w:right w:w="110" w:type="dxa"/>
            </w:tcMar>
          </w:tcPr>
          <w:p w14:paraId="33822CBF" w14:textId="77777777" w:rsidR="00420A20" w:rsidRDefault="00000000">
            <w:pPr>
              <w:spacing w:line="250" w:lineRule="auto"/>
            </w:pPr>
            <w:r>
              <w:rPr>
                <w:sz w:val="18"/>
                <w:szCs w:val="18"/>
              </w:rPr>
              <w:t>Arnav</w:t>
            </w:r>
          </w:p>
        </w:tc>
      </w:tr>
      <w:tr w:rsidR="00420A20" w14:paraId="39A525DB" w14:textId="77777777">
        <w:tblPrEx>
          <w:tblCellMar>
            <w:top w:w="0" w:type="dxa"/>
            <w:bottom w:w="0" w:type="dxa"/>
          </w:tblCellMar>
        </w:tblPrEx>
        <w:tc>
          <w:tcPr>
            <w:tcW w:w="975" w:type="dxa"/>
            <w:shd w:val="clear" w:color="auto" w:fill="F4F6F7"/>
            <w:tcMar>
              <w:top w:w="75" w:type="dxa"/>
              <w:left w:w="110" w:type="dxa"/>
              <w:bottom w:w="75" w:type="dxa"/>
              <w:right w:w="110" w:type="dxa"/>
            </w:tcMar>
          </w:tcPr>
          <w:p w14:paraId="7D494C38" w14:textId="77777777" w:rsidR="00420A20" w:rsidRDefault="00000000">
            <w:pPr>
              <w:spacing w:line="250" w:lineRule="auto"/>
            </w:pPr>
            <w:r>
              <w:rPr>
                <w:b/>
                <w:bCs/>
                <w:sz w:val="18"/>
                <w:szCs w:val="18"/>
              </w:rPr>
              <w:t>8</w:t>
            </w:r>
          </w:p>
        </w:tc>
        <w:tc>
          <w:tcPr>
            <w:tcW w:w="4095" w:type="dxa"/>
            <w:shd w:val="clear" w:color="auto" w:fill="F4F6F7"/>
            <w:tcMar>
              <w:top w:w="75" w:type="dxa"/>
              <w:left w:w="110" w:type="dxa"/>
              <w:bottom w:w="75" w:type="dxa"/>
              <w:right w:w="110" w:type="dxa"/>
            </w:tcMar>
          </w:tcPr>
          <w:p w14:paraId="7FFDF1A2" w14:textId="77777777" w:rsidR="00420A20" w:rsidRDefault="00000000">
            <w:pPr>
              <w:spacing w:line="250" w:lineRule="auto"/>
            </w:pPr>
            <w:r>
              <w:rPr>
                <w:sz w:val="18"/>
                <w:szCs w:val="18"/>
              </w:rPr>
              <w:t>Write-up, reproducibility package, presentation</w:t>
            </w:r>
          </w:p>
        </w:tc>
        <w:tc>
          <w:tcPr>
            <w:tcW w:w="2925" w:type="dxa"/>
            <w:shd w:val="clear" w:color="auto" w:fill="F4F6F7"/>
            <w:tcMar>
              <w:top w:w="75" w:type="dxa"/>
              <w:left w:w="110" w:type="dxa"/>
              <w:bottom w:w="75" w:type="dxa"/>
              <w:right w:w="110" w:type="dxa"/>
            </w:tcMar>
          </w:tcPr>
          <w:p w14:paraId="4C2BC644" w14:textId="77777777" w:rsidR="00420A20" w:rsidRDefault="00000000">
            <w:pPr>
              <w:spacing w:line="250" w:lineRule="auto"/>
            </w:pPr>
            <w:r>
              <w:rPr>
                <w:sz w:val="18"/>
                <w:szCs w:val="18"/>
              </w:rPr>
              <w:t>Final report, code release, deck</w:t>
            </w:r>
          </w:p>
        </w:tc>
        <w:tc>
          <w:tcPr>
            <w:tcW w:w="1365" w:type="dxa"/>
            <w:shd w:val="clear" w:color="auto" w:fill="F4F6F7"/>
            <w:tcMar>
              <w:top w:w="75" w:type="dxa"/>
              <w:left w:w="110" w:type="dxa"/>
              <w:bottom w:w="75" w:type="dxa"/>
              <w:right w:w="110" w:type="dxa"/>
            </w:tcMar>
          </w:tcPr>
          <w:p w14:paraId="466206A1" w14:textId="77777777" w:rsidR="00420A20" w:rsidRDefault="00000000">
            <w:pPr>
              <w:spacing w:line="250" w:lineRule="auto"/>
            </w:pPr>
            <w:r>
              <w:rPr>
                <w:sz w:val="18"/>
                <w:szCs w:val="18"/>
              </w:rPr>
              <w:t>Both</w:t>
            </w:r>
          </w:p>
        </w:tc>
      </w:tr>
    </w:tbl>
    <w:p w14:paraId="0FAA1475" w14:textId="77777777" w:rsidR="00420A20" w:rsidRDefault="00420A20">
      <w:pPr>
        <w:spacing w:after="150" w:line="276" w:lineRule="auto"/>
        <w:jc w:val="both"/>
      </w:pPr>
    </w:p>
    <w:p w14:paraId="0ADF9470" w14:textId="77777777" w:rsidR="00420A20" w:rsidRDefault="00000000">
      <w:pPr>
        <w:spacing w:after="130" w:line="276" w:lineRule="auto"/>
        <w:jc w:val="both"/>
      </w:pPr>
      <w:r>
        <w:rPr>
          <w:b/>
          <w:bCs/>
        </w:rPr>
        <w:t xml:space="preserve">Software. </w:t>
      </w:r>
      <w:r>
        <w:t>Python with a Gymnasium-compatible environment; PPO from Stable-Baselines3 with pinned versions; ODE integration by fixed-step RK4 for reproducibility; all seeds, configuration files and parameter sets committed. The reproducibility package is itself a deliverable, since the shared environment is the artefact that makes the four-objective study feasible beyond this course.</w:t>
      </w:r>
    </w:p>
    <w:p w14:paraId="3E4E4E8D" w14:textId="77777777" w:rsidR="00420A20" w:rsidRDefault="00000000">
      <w:pPr>
        <w:pStyle w:val="Heading1"/>
        <w:pBdr>
          <w:bottom w:val="single" w:sz="6" w:space="6" w:color="D8DDE2"/>
        </w:pBdr>
        <w:spacing w:before="340" w:after="130"/>
      </w:pPr>
      <w:r>
        <w:rPr>
          <w:b/>
          <w:bCs/>
          <w:color w:val="0F6E5F"/>
          <w:sz w:val="25"/>
          <w:szCs w:val="25"/>
        </w:rPr>
        <w:lastRenderedPageBreak/>
        <w:t xml:space="preserve">11.  </w:t>
      </w:r>
      <w:r>
        <w:rPr>
          <w:b/>
          <w:bCs/>
          <w:color w:val="1B2A4A"/>
          <w:sz w:val="25"/>
          <w:szCs w:val="25"/>
        </w:rPr>
        <w:t>Expected outcomes and limitations</w:t>
      </w:r>
    </w:p>
    <w:p w14:paraId="5D284419" w14:textId="77777777" w:rsidR="00420A20" w:rsidRDefault="00000000">
      <w:pPr>
        <w:pStyle w:val="Heading2"/>
        <w:spacing w:before="230" w:after="90"/>
      </w:pPr>
      <w:r>
        <w:rPr>
          <w:b/>
          <w:bCs/>
          <w:color w:val="1B2A4A"/>
          <w:sz w:val="21"/>
          <w:szCs w:val="21"/>
        </w:rPr>
        <w:t>What we expect to deliver</w:t>
      </w:r>
    </w:p>
    <w:p w14:paraId="6CC95ADB" w14:textId="77777777" w:rsidR="00420A20" w:rsidRDefault="00000000">
      <w:pPr>
        <w:pStyle w:val="ListParagraph"/>
        <w:numPr>
          <w:ilvl w:val="0"/>
          <w:numId w:val="2"/>
        </w:numPr>
        <w:spacing w:after="70" w:line="272" w:lineRule="auto"/>
      </w:pPr>
      <w:r>
        <w:t>A quantified answer — supported in either direction — to whether the choice of reward objective changes an adaptive-therapy policy in this model class, and by how much.</w:t>
      </w:r>
    </w:p>
    <w:p w14:paraId="03AF735B" w14:textId="77777777" w:rsidR="00420A20" w:rsidRDefault="00000000">
      <w:pPr>
        <w:pStyle w:val="ListParagraph"/>
        <w:numPr>
          <w:ilvl w:val="0"/>
          <w:numId w:val="2"/>
        </w:numPr>
        <w:spacing w:after="70" w:line="272" w:lineRule="auto"/>
      </w:pPr>
      <w:r>
        <w:t>A correctness-verified, shared environment in two tiers, with two ported objectives, per-objective value-iteration ceilings, and a reproducible cross-evaluation pipeline that extends to the remaining objectives beyond this course.</w:t>
      </w:r>
    </w:p>
    <w:p w14:paraId="7CE91DD5" w14:textId="77777777" w:rsidR="00420A20" w:rsidRDefault="00000000">
      <w:pPr>
        <w:pStyle w:val="ListParagraph"/>
        <w:numPr>
          <w:ilvl w:val="0"/>
          <w:numId w:val="2"/>
        </w:numPr>
        <w:spacing w:after="70" w:line="272" w:lineRule="auto"/>
      </w:pPr>
      <w:r>
        <w:t>A documented, falsifiable null-result path: if the objectives converge, that is reported as the finding rather than buried.</w:t>
      </w:r>
    </w:p>
    <w:p w14:paraId="162A61ED" w14:textId="77777777" w:rsidR="00420A20" w:rsidRDefault="00000000">
      <w:pPr>
        <w:pStyle w:val="Heading2"/>
        <w:spacing w:before="230" w:after="90"/>
      </w:pPr>
      <w:r>
        <w:rPr>
          <w:b/>
          <w:bCs/>
          <w:color w:val="1B2A4A"/>
          <w:sz w:val="21"/>
          <w:szCs w:val="21"/>
        </w:rPr>
        <w:t>What we do not claim</w:t>
      </w:r>
    </w:p>
    <w:p w14:paraId="72FB8A26" w14:textId="77777777" w:rsidR="00420A20" w:rsidRDefault="00000000">
      <w:pPr>
        <w:pStyle w:val="ListParagraph"/>
        <w:numPr>
          <w:ilvl w:val="0"/>
          <w:numId w:val="2"/>
        </w:numPr>
        <w:spacing w:after="70" w:line="272" w:lineRule="auto"/>
      </w:pPr>
      <w:r>
        <w:t>No clinical applicability. This is a simulation study on a virtual cohort; no real patient data is used and no treatment recommendation follows from it.</w:t>
      </w:r>
    </w:p>
    <w:p w14:paraId="36EFD7D4" w14:textId="77777777" w:rsidR="00420A20" w:rsidRDefault="00000000">
      <w:pPr>
        <w:pStyle w:val="ListParagraph"/>
        <w:numPr>
          <w:ilvl w:val="0"/>
          <w:numId w:val="2"/>
        </w:numPr>
        <w:spacing w:after="70" w:line="272" w:lineRule="auto"/>
      </w:pPr>
      <w:r>
        <w:t>Two objectives of at least four are compared, on a nine-patient virtual cohort. The remaining objectives — dose-and-time penalty, coexistence, toxicity — are ported but not trained within the eight weeks.</w:t>
      </w:r>
    </w:p>
    <w:p w14:paraId="2A37BBF4" w14:textId="77777777" w:rsidR="00420A20" w:rsidRDefault="00000000">
      <w:pPr>
        <w:pStyle w:val="ListParagraph"/>
        <w:numPr>
          <w:ilvl w:val="0"/>
          <w:numId w:val="2"/>
        </w:numPr>
        <w:spacing w:after="70" w:line="272" w:lineRule="auto"/>
      </w:pPr>
      <w:r>
        <w:t>The model omits spatial structure, pharmacokinetics, phenotypic switching and de novo mutation. Resistance is pre-existing, binary and irreversible by assumption.</w:t>
      </w:r>
    </w:p>
    <w:p w14:paraId="3732549C" w14:textId="77777777" w:rsidR="00420A20" w:rsidRDefault="00000000">
      <w:pPr>
        <w:pStyle w:val="ListParagraph"/>
        <w:numPr>
          <w:ilvl w:val="0"/>
          <w:numId w:val="2"/>
        </w:numPr>
        <w:spacing w:after="70" w:line="272" w:lineRule="auto"/>
      </w:pPr>
      <w:r>
        <w:t>A tumour with only two subpopulations cannot represent doubly resistant phenotypes; that requires a higher-dimensional simplex and is named future work.</w:t>
      </w:r>
    </w:p>
    <w:p w14:paraId="20E4BDC4" w14:textId="77777777" w:rsidR="00420A20" w:rsidRDefault="00000000">
      <w:pPr>
        <w:pStyle w:val="Heading2"/>
        <w:spacing w:before="230" w:after="90"/>
      </w:pPr>
      <w:r>
        <w:rPr>
          <w:b/>
          <w:bCs/>
          <w:color w:val="1B2A4A"/>
          <w:sz w:val="21"/>
          <w:szCs w:val="21"/>
        </w:rPr>
        <w:t>The translational path, stated plainly</w:t>
      </w:r>
    </w:p>
    <w:p w14:paraId="0250BA8F" w14:textId="77777777" w:rsidR="00420A20" w:rsidRDefault="00000000">
      <w:pPr>
        <w:spacing w:after="130" w:line="276" w:lineRule="auto"/>
        <w:jc w:val="both"/>
      </w:pPr>
      <w:r>
        <w:t>For this line of work to inform a trial, three things would have to become true: the environment would need to be fitted to longitudinal patient biomarkers rather than to a parameter grid, the policy would need to be validated against held-out patients rather than against its own simulator, and the objective itself would have to be chosen in consultation with clinicians rather than inherited from a previous paper. The last of those three is what this project is about, and it is the one that can be settled in silico. West et al. (2023) pose exactly this question — what should the control target be — in their survey of open problems in the field.</w:t>
      </w:r>
    </w:p>
    <w:p w14:paraId="6E11B5D2" w14:textId="77777777" w:rsidR="00420A20" w:rsidRDefault="00000000">
      <w:pPr>
        <w:pStyle w:val="Heading1"/>
        <w:pBdr>
          <w:bottom w:val="single" w:sz="6" w:space="6" w:color="D8DDE2"/>
        </w:pBdr>
        <w:spacing w:before="340" w:after="130"/>
      </w:pPr>
      <w:r>
        <w:rPr>
          <w:b/>
          <w:bCs/>
          <w:color w:val="0F6E5F"/>
          <w:sz w:val="25"/>
          <w:szCs w:val="25"/>
        </w:rPr>
        <w:t xml:space="preserve">12.  </w:t>
      </w:r>
      <w:r>
        <w:rPr>
          <w:b/>
          <w:bCs/>
          <w:color w:val="1B2A4A"/>
          <w:sz w:val="25"/>
          <w:szCs w:val="25"/>
        </w:rPr>
        <w:t>References</w:t>
      </w:r>
    </w:p>
    <w:p w14:paraId="38792A22" w14:textId="77777777" w:rsidR="00420A20" w:rsidRDefault="00000000">
      <w:pPr>
        <w:spacing w:after="80" w:line="262" w:lineRule="auto"/>
        <w:ind w:left="403" w:hanging="403"/>
        <w:jc w:val="both"/>
      </w:pPr>
      <w:r>
        <w:rPr>
          <w:sz w:val="18"/>
          <w:szCs w:val="18"/>
        </w:rPr>
        <w:t>Gatenby RA, Silva AS, Gillies RJ, Frieden BR. Adaptive therapy. Cancer Research. 2009;69(11):4894–4903.</w:t>
      </w:r>
    </w:p>
    <w:p w14:paraId="1B523A0A" w14:textId="77777777" w:rsidR="00420A20" w:rsidRDefault="00000000">
      <w:pPr>
        <w:spacing w:after="80" w:line="262" w:lineRule="auto"/>
        <w:ind w:left="403" w:hanging="403"/>
        <w:jc w:val="both"/>
      </w:pPr>
      <w:r>
        <w:rPr>
          <w:sz w:val="18"/>
          <w:szCs w:val="18"/>
        </w:rPr>
        <w:t>Zhang J, Cunningham JJ, Brown JS, Gatenby RA. Integrating evolutionary dynamics into treatment of metastatic castrate-resistant prostate cancer. Nature Communications. 2017;8(1):1816.</w:t>
      </w:r>
    </w:p>
    <w:p w14:paraId="3C894363" w14:textId="77777777" w:rsidR="00420A20" w:rsidRDefault="00000000">
      <w:pPr>
        <w:spacing w:after="80" w:line="262" w:lineRule="auto"/>
        <w:ind w:left="403" w:hanging="403"/>
        <w:jc w:val="both"/>
      </w:pPr>
      <w:r>
        <w:rPr>
          <w:sz w:val="18"/>
          <w:szCs w:val="18"/>
        </w:rPr>
        <w:t>Zhang J, Cunningham J, Brown J, Gatenby R. Evolution-based mathematical models significantly prolong response to abiraterone in metastatic castrate-resistant prostate cancer and identify strategies to further improve outcomes. eLife. 2022;11:e76284.</w:t>
      </w:r>
    </w:p>
    <w:p w14:paraId="78EAF7D1" w14:textId="77777777" w:rsidR="00420A20" w:rsidRDefault="00000000">
      <w:pPr>
        <w:spacing w:after="80" w:line="262" w:lineRule="auto"/>
        <w:ind w:left="403" w:hanging="403"/>
        <w:jc w:val="both"/>
      </w:pPr>
      <w:r>
        <w:rPr>
          <w:sz w:val="18"/>
          <w:szCs w:val="18"/>
        </w:rPr>
        <w:t>Strobl MAR, West J, Viossat Y, Damaghi M, Robertson-Tessi M, Brown JS, Gatenby RA, Maini PK, Anderson ARA. Turnover modulates the need for a cost of resistance in adaptive therapy. Cancer Research. 2021;81(4):1135–1147.</w:t>
      </w:r>
    </w:p>
    <w:p w14:paraId="6931F85F" w14:textId="77777777" w:rsidR="00420A20" w:rsidRDefault="00000000">
      <w:pPr>
        <w:spacing w:after="80" w:line="262" w:lineRule="auto"/>
        <w:ind w:left="403" w:hanging="403"/>
        <w:jc w:val="both"/>
      </w:pPr>
      <w:r>
        <w:rPr>
          <w:sz w:val="18"/>
          <w:szCs w:val="18"/>
        </w:rPr>
        <w:t>Gallagher K, Strobl M, Gatenby R, Maini P, Anderson A. Learning to adapt — deep reinforcement learning in treatment-resistant prostate cancer. bioRxiv. 2023. doi:10.1101/2023.04.28.538766</w:t>
      </w:r>
    </w:p>
    <w:p w14:paraId="3D1240A2" w14:textId="77777777" w:rsidR="00420A20" w:rsidRDefault="00000000">
      <w:pPr>
        <w:spacing w:after="80" w:line="262" w:lineRule="auto"/>
        <w:ind w:left="403" w:hanging="403"/>
        <w:jc w:val="both"/>
      </w:pPr>
      <w:r>
        <w:rPr>
          <w:sz w:val="18"/>
          <w:szCs w:val="18"/>
        </w:rPr>
        <w:t>Gallagher K, Strobl MAR, Park DS, Spoendlin FC, Gatenby RA, Maini PK, Anderson ARA. Mathematical model-driven deep learning enables personalized adaptive therapy. Cancer Research. 2024.</w:t>
      </w:r>
    </w:p>
    <w:p w14:paraId="004664D1" w14:textId="77777777" w:rsidR="00420A20" w:rsidRDefault="00000000">
      <w:pPr>
        <w:spacing w:after="80" w:line="262" w:lineRule="auto"/>
        <w:ind w:left="403" w:hanging="403"/>
        <w:jc w:val="both"/>
      </w:pPr>
      <w:r>
        <w:rPr>
          <w:sz w:val="18"/>
          <w:szCs w:val="18"/>
        </w:rPr>
        <w:t>Gluzman M, Scott JG, Vladimirsky A. Optimizing adaptive cancer therapy: dynamic programming and evolutionary game theory. Proceedings of the Royal Society B. 2020;287(1925):20192454.  [optimal control, not reinforcement learning]</w:t>
      </w:r>
    </w:p>
    <w:p w14:paraId="279650DD" w14:textId="77777777" w:rsidR="00420A20" w:rsidRDefault="00000000">
      <w:pPr>
        <w:spacing w:after="80" w:line="262" w:lineRule="auto"/>
        <w:ind w:left="403" w:hanging="403"/>
        <w:jc w:val="both"/>
      </w:pPr>
      <w:r>
        <w:rPr>
          <w:sz w:val="18"/>
          <w:szCs w:val="18"/>
        </w:rPr>
        <w:lastRenderedPageBreak/>
        <w:t>Weaver DT, King ES, Maltas J, Scott JG. Reinforcement learning informs optimal treatment strategies to limit antibiotic resistance. PNAS. 2024;121(16):e2303165121.</w:t>
      </w:r>
    </w:p>
    <w:p w14:paraId="4CA8E4D5" w14:textId="77777777" w:rsidR="00420A20" w:rsidRDefault="00000000">
      <w:pPr>
        <w:spacing w:after="80" w:line="262" w:lineRule="auto"/>
        <w:ind w:left="403" w:hanging="403"/>
        <w:jc w:val="both"/>
      </w:pPr>
      <w:r>
        <w:rPr>
          <w:sz w:val="18"/>
          <w:szCs w:val="18"/>
        </w:rPr>
        <w:t>Eastman B, Przedborski M, Kohandel M. Reinforcement learning derived chemotherapeutic schedules for robust patient-specific therapy. Scientific Reports. 2021;11:17882.</w:t>
      </w:r>
    </w:p>
    <w:p w14:paraId="065FB099" w14:textId="77777777" w:rsidR="00420A20" w:rsidRDefault="00000000">
      <w:pPr>
        <w:spacing w:after="80" w:line="262" w:lineRule="auto"/>
        <w:ind w:left="403" w:hanging="403"/>
        <w:jc w:val="both"/>
      </w:pPr>
      <w:r>
        <w:rPr>
          <w:sz w:val="18"/>
          <w:szCs w:val="18"/>
        </w:rPr>
        <w:t>Reinforcement learning for chemotherapy scheduling in a stochastic tumor evolution model. Physical Review E. 2026;113:064404. doi:10.1103/cbkw-5s4b  [entropy / coexistence objective]</w:t>
      </w:r>
    </w:p>
    <w:p w14:paraId="2006A2AB" w14:textId="77777777" w:rsidR="00420A20" w:rsidRDefault="00000000">
      <w:pPr>
        <w:spacing w:after="80" w:line="262" w:lineRule="auto"/>
        <w:ind w:left="403" w:hanging="403"/>
        <w:jc w:val="both"/>
      </w:pPr>
      <w:r>
        <w:rPr>
          <w:sz w:val="18"/>
          <w:szCs w:val="18"/>
        </w:rPr>
        <w:t>Kiram FME, et al. Recurrent deep reinforcement learning for chemotherapy control under partial observability. arXiv:2605.02552. 2026.</w:t>
      </w:r>
    </w:p>
    <w:p w14:paraId="399B3FBB" w14:textId="77777777" w:rsidR="00420A20" w:rsidRDefault="00000000">
      <w:pPr>
        <w:spacing w:after="80" w:line="262" w:lineRule="auto"/>
        <w:ind w:left="403" w:hanging="403"/>
        <w:jc w:val="both"/>
      </w:pPr>
      <w:r>
        <w:rPr>
          <w:sz w:val="18"/>
          <w:szCs w:val="18"/>
        </w:rPr>
        <w:t>Wang M, Scott JG, Vladimirsky A. Threshold-awareness in adaptive cancer therapy. PLOS Computational Biology. 2024;20(6):e1012165.</w:t>
      </w:r>
    </w:p>
    <w:p w14:paraId="13E8B8F6" w14:textId="77777777" w:rsidR="00420A20" w:rsidRDefault="00000000">
      <w:pPr>
        <w:spacing w:after="80" w:line="262" w:lineRule="auto"/>
        <w:ind w:left="403" w:hanging="403"/>
        <w:jc w:val="both"/>
      </w:pPr>
      <w:r>
        <w:rPr>
          <w:sz w:val="18"/>
          <w:szCs w:val="18"/>
        </w:rPr>
        <w:t>Viossat Y, Noble R. A theoretical analysis of tumour containment. Nature Ecology &amp; Evolution. 2021;5(6):826–835.</w:t>
      </w:r>
    </w:p>
    <w:p w14:paraId="620C688B" w14:textId="77777777" w:rsidR="00420A20" w:rsidRDefault="00000000">
      <w:pPr>
        <w:spacing w:after="80" w:line="262" w:lineRule="auto"/>
        <w:ind w:left="403" w:hanging="403"/>
        <w:jc w:val="both"/>
      </w:pPr>
      <w:r>
        <w:rPr>
          <w:sz w:val="18"/>
          <w:szCs w:val="18"/>
        </w:rPr>
        <w:t>West J, Adler F, Gallaher J, Strobl M, Brady-Nicholls R, Brown J, Robertson-Tessi M, Kim E, Noble R, Viossat Y, et al. A survey of open questions in adaptive therapy: bridging mathematics and clinical translation. eLife. 2023.</w:t>
      </w:r>
    </w:p>
    <w:p w14:paraId="111378A9" w14:textId="77777777" w:rsidR="00420A20" w:rsidRDefault="00000000">
      <w:pPr>
        <w:spacing w:after="80" w:line="262" w:lineRule="auto"/>
        <w:ind w:left="403" w:hanging="403"/>
        <w:jc w:val="both"/>
      </w:pPr>
      <w:r>
        <w:rPr>
          <w:sz w:val="18"/>
          <w:szCs w:val="18"/>
        </w:rPr>
        <w:t>Yao et al. Durability-oriented reward design for adaptive therapy. Briefings in Bioinformatics. 2024.  [to be verified in Week 1 — see §9]</w:t>
      </w:r>
    </w:p>
    <w:p w14:paraId="3308AEE8" w14:textId="77777777" w:rsidR="00420A20" w:rsidRDefault="00000000">
      <w:pPr>
        <w:spacing w:after="80" w:line="262" w:lineRule="auto"/>
        <w:ind w:left="403" w:hanging="403"/>
        <w:jc w:val="both"/>
      </w:pPr>
      <w:r>
        <w:rPr>
          <w:sz w:val="18"/>
          <w:szCs w:val="18"/>
        </w:rPr>
        <w:t>Ma et al. AT-PSC: a partial-cycle adaptive therapy protocol. PLOS Computational Biology. 2026;22(6):e1014457.</w:t>
      </w:r>
    </w:p>
    <w:p w14:paraId="6F2AC701" w14:textId="77777777" w:rsidR="00420A20" w:rsidRDefault="00000000">
      <w:pPr>
        <w:spacing w:after="80" w:line="262" w:lineRule="auto"/>
        <w:ind w:left="403" w:hanging="403"/>
        <w:jc w:val="both"/>
      </w:pPr>
      <w:r>
        <w:rPr>
          <w:sz w:val="18"/>
          <w:szCs w:val="18"/>
        </w:rPr>
        <w:t>Gevertz JL, et al. Toxicity-aware adaptive therapy scheduling. npj Systems Biology and Applications. 2026;12:11.  [not in corpus — optional fifth objective]</w:t>
      </w:r>
    </w:p>
    <w:sectPr w:rsidR="00420A20">
      <w:footerReference w:type="default" r:id="rId11"/>
      <w:pgSz w:w="12240" w:h="15840"/>
      <w:pgMar w:top="1300" w:right="1440" w:bottom="12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F2773A" w14:textId="77777777" w:rsidR="00C16A56" w:rsidRDefault="00C16A56">
      <w:r>
        <w:separator/>
      </w:r>
    </w:p>
  </w:endnote>
  <w:endnote w:type="continuationSeparator" w:id="0">
    <w:p w14:paraId="6E58EDCB" w14:textId="77777777" w:rsidR="00C16A56" w:rsidRDefault="00C16A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9A9B30" w14:textId="77777777" w:rsidR="00420A20" w:rsidRDefault="00000000">
    <w:pPr>
      <w:jc w:val="center"/>
    </w:pPr>
    <w:r>
      <w:rPr>
        <w:color w:val="6B6B6B"/>
        <w:sz w:val="16"/>
        <w:szCs w:val="16"/>
      </w:rPr>
      <w:t xml:space="preserve">What Should Adaptive Cancer Therapy Optimize?   ·   </w:t>
    </w:r>
    <w:r>
      <w:rPr>
        <w:color w:val="6B6B6B"/>
        <w:sz w:val="16"/>
        <w:szCs w:val="16"/>
      </w:rPr>
      <w:fldChar w:fldCharType="begin"/>
    </w:r>
    <w:r>
      <w:rPr>
        <w:color w:val="6B6B6B"/>
        <w:sz w:val="16"/>
        <w:szCs w:val="16"/>
      </w:rPr>
      <w:instrText>PAGE</w:instrText>
    </w:r>
    <w:r>
      <w:rPr>
        <w:color w:val="6B6B6B"/>
        <w:sz w:val="16"/>
        <w:szCs w:val="16"/>
      </w:rPr>
      <w:fldChar w:fldCharType="separate"/>
    </w:r>
    <w:r w:rsidR="008D474D">
      <w:rPr>
        <w:noProof/>
        <w:color w:val="6B6B6B"/>
        <w:sz w:val="16"/>
        <w:szCs w:val="16"/>
      </w:rPr>
      <w:t>1</w:t>
    </w:r>
    <w:r>
      <w:rPr>
        <w:color w:val="6B6B6B"/>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4A3B74" w14:textId="77777777" w:rsidR="00C16A56" w:rsidRDefault="00C16A56">
      <w:r>
        <w:separator/>
      </w:r>
    </w:p>
  </w:footnote>
  <w:footnote w:type="continuationSeparator" w:id="0">
    <w:p w14:paraId="637F2894" w14:textId="77777777" w:rsidR="00C16A56" w:rsidRDefault="00C16A5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500CE"/>
    <w:multiLevelType w:val="hybridMultilevel"/>
    <w:tmpl w:val="A536AFDA"/>
    <w:lvl w:ilvl="0" w:tplc="A982951A">
      <w:start w:val="1"/>
      <w:numFmt w:val="bullet"/>
      <w:lvlText w:val="●"/>
      <w:lvlJc w:val="left"/>
      <w:pPr>
        <w:ind w:left="720" w:hanging="360"/>
      </w:pPr>
    </w:lvl>
    <w:lvl w:ilvl="1" w:tplc="B024F774">
      <w:start w:val="1"/>
      <w:numFmt w:val="bullet"/>
      <w:lvlText w:val="○"/>
      <w:lvlJc w:val="left"/>
      <w:pPr>
        <w:ind w:left="1440" w:hanging="360"/>
      </w:pPr>
    </w:lvl>
    <w:lvl w:ilvl="2" w:tplc="CE04FE4C">
      <w:start w:val="1"/>
      <w:numFmt w:val="bullet"/>
      <w:lvlText w:val="■"/>
      <w:lvlJc w:val="left"/>
      <w:pPr>
        <w:ind w:left="2160" w:hanging="360"/>
      </w:pPr>
    </w:lvl>
    <w:lvl w:ilvl="3" w:tplc="5A7CB83A">
      <w:start w:val="1"/>
      <w:numFmt w:val="bullet"/>
      <w:lvlText w:val="●"/>
      <w:lvlJc w:val="left"/>
      <w:pPr>
        <w:ind w:left="2880" w:hanging="360"/>
      </w:pPr>
    </w:lvl>
    <w:lvl w:ilvl="4" w:tplc="2A0A098C">
      <w:start w:val="1"/>
      <w:numFmt w:val="bullet"/>
      <w:lvlText w:val="○"/>
      <w:lvlJc w:val="left"/>
      <w:pPr>
        <w:ind w:left="3600" w:hanging="360"/>
      </w:pPr>
    </w:lvl>
    <w:lvl w:ilvl="5" w:tplc="BE9E596E">
      <w:start w:val="1"/>
      <w:numFmt w:val="bullet"/>
      <w:lvlText w:val="■"/>
      <w:lvlJc w:val="left"/>
      <w:pPr>
        <w:ind w:left="4320" w:hanging="360"/>
      </w:pPr>
    </w:lvl>
    <w:lvl w:ilvl="6" w:tplc="3DCC1B26">
      <w:start w:val="1"/>
      <w:numFmt w:val="bullet"/>
      <w:lvlText w:val="●"/>
      <w:lvlJc w:val="left"/>
      <w:pPr>
        <w:ind w:left="5040" w:hanging="360"/>
      </w:pPr>
    </w:lvl>
    <w:lvl w:ilvl="7" w:tplc="DB0E23C0">
      <w:start w:val="1"/>
      <w:numFmt w:val="bullet"/>
      <w:lvlText w:val="●"/>
      <w:lvlJc w:val="left"/>
      <w:pPr>
        <w:ind w:left="5760" w:hanging="360"/>
      </w:pPr>
    </w:lvl>
    <w:lvl w:ilvl="8" w:tplc="EBD25F6A">
      <w:start w:val="1"/>
      <w:numFmt w:val="bullet"/>
      <w:lvlText w:val="●"/>
      <w:lvlJc w:val="left"/>
      <w:pPr>
        <w:ind w:left="6480" w:hanging="360"/>
      </w:pPr>
    </w:lvl>
  </w:abstractNum>
  <w:abstractNum w:abstractNumId="1" w15:restartNumberingAfterBreak="0">
    <w:nsid w:val="5D945251"/>
    <w:multiLevelType w:val="hybridMultilevel"/>
    <w:tmpl w:val="81B8EE2A"/>
    <w:lvl w:ilvl="0" w:tplc="4B80E64A">
      <w:start w:val="1"/>
      <w:numFmt w:val="bullet"/>
      <w:lvlText w:val="•"/>
      <w:lvlJc w:val="left"/>
      <w:pPr>
        <w:ind w:left="431" w:hanging="259"/>
      </w:pPr>
    </w:lvl>
    <w:lvl w:ilvl="1" w:tplc="2916A162">
      <w:numFmt w:val="decimal"/>
      <w:lvlText w:val=""/>
      <w:lvlJc w:val="left"/>
    </w:lvl>
    <w:lvl w:ilvl="2" w:tplc="BB1248B6">
      <w:numFmt w:val="decimal"/>
      <w:lvlText w:val=""/>
      <w:lvlJc w:val="left"/>
    </w:lvl>
    <w:lvl w:ilvl="3" w:tplc="C798CD8E">
      <w:numFmt w:val="decimal"/>
      <w:lvlText w:val=""/>
      <w:lvlJc w:val="left"/>
    </w:lvl>
    <w:lvl w:ilvl="4" w:tplc="51824084">
      <w:numFmt w:val="decimal"/>
      <w:lvlText w:val=""/>
      <w:lvlJc w:val="left"/>
    </w:lvl>
    <w:lvl w:ilvl="5" w:tplc="795E9390">
      <w:numFmt w:val="decimal"/>
      <w:lvlText w:val=""/>
      <w:lvlJc w:val="left"/>
    </w:lvl>
    <w:lvl w:ilvl="6" w:tplc="9B429A92">
      <w:numFmt w:val="decimal"/>
      <w:lvlText w:val=""/>
      <w:lvlJc w:val="left"/>
    </w:lvl>
    <w:lvl w:ilvl="7" w:tplc="4992FABC">
      <w:numFmt w:val="decimal"/>
      <w:lvlText w:val=""/>
      <w:lvlJc w:val="left"/>
    </w:lvl>
    <w:lvl w:ilvl="8" w:tplc="86FAC69E">
      <w:numFmt w:val="decimal"/>
      <w:lvlText w:val=""/>
      <w:lvlJc w:val="left"/>
    </w:lvl>
  </w:abstractNum>
  <w:num w:numId="1" w16cid:durableId="1079979438">
    <w:abstractNumId w:val="0"/>
    <w:lvlOverride w:ilvl="0">
      <w:startOverride w:val="1"/>
    </w:lvlOverride>
  </w:num>
  <w:num w:numId="2" w16cid:durableId="3690205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0A20"/>
    <w:rsid w:val="00420A20"/>
    <w:rsid w:val="008D474D"/>
    <w:rsid w:val="009357B2"/>
    <w:rsid w:val="00C16A56"/>
  </w:rsids>
  <m:mathPr>
    <m:mathFont m:val="Cambria Math"/>
    <m:brkBin m:val="before"/>
    <m:brkBinSub m:val="--"/>
    <m:smallFrac m:val="0"/>
    <m:dispDef/>
    <m:lMargin m:val="0"/>
    <m:rMargin m:val="0"/>
    <m:defJc m:val="centerGroup"/>
    <m:wrapIndent m:val="1440"/>
    <m:intLim m:val="subSup"/>
    <m:naryLim m:val="undOvr"/>
  </m:mathPr>
  <w:themeFontLang w:val="en-IN"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8812C2"/>
  <w15:docId w15:val="{4D8D2BDE-4E92-4677-9CD2-99BDD6061A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A2A2A"/>
        <w:lang w:val="en-IN"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3727</Words>
  <Characters>21244</Characters>
  <Application>Microsoft Office Word</Application>
  <DocSecurity>0</DocSecurity>
  <Lines>177</Lines>
  <Paragraphs>49</Paragraphs>
  <ScaleCrop>false</ScaleCrop>
  <Company/>
  <LinksUpToDate>false</LinksUpToDate>
  <CharactersWithSpaces>24922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 Should Adaptive Cancer Therapy Optimize?</dc:title>
  <dc:creator>Arnav Kumar, Rohit Satish Chipde</dc:creator>
  <dc:description>AI in Medicine course project proposal, IIT Madras</dc:description>
  <cp:lastModifiedBy>ARNAV KUMAR</cp:lastModifiedBy>
  <cp:revision>2</cp:revision>
  <dcterms:created xsi:type="dcterms:W3CDTF">2026-09-21T10:59:00Z</dcterms:created>
  <dcterms:modified xsi:type="dcterms:W3CDTF">2026-09-21T11:19:00Z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2734239c-fefb-441f-b7b1-382e7b46cb9f</vt:lpwstr>
  </property>
</Properties>
</file>