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What Should Adaptive Cancer Therapy Optimize? A Cross-Evaluation of Reinforcement-Learning Reward Objectives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AI in Medicine — Course Project Proposal   |   Team: [Names]   |   Institution: [Institution]   |   Instructor: [Instructor]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1. Clinical Problem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Adaptive therapy withholds cancer drugs at intervals to preserve drug-sensitive cells, which compete with resistant cells and delay treatment failure — an alternative to continuous maximum-tolerated-dose (MTD) therapy, whose Darwinian selection for resistance drives most relapses.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2. Research Problem / Objective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Six recent RL papers each train adaptive-therapy policies under a different reward objective (survival time, dose minimization, population-diversity/coexistence, treatment durability), each in its own bespoke simulation environment. None compares its objective against another. This project asks: does the choice of reward objective change the resulting treatment policy, and if so, by how much and at what cost?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3. Why Is This Important?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If different objectives converge on the same policy, the field's reward-design debate is decorative and effort should shift to environment realism. If they diverge, clinicians and modelers need to know which objective a given policy was optimized for before trusting its recommendation — a distinction current single-objective papers cannot make.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4. Dataset / Simulation Environment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No real patient dataset is used. The environment is the 2-population Lotka-Volterra tumor model (Strobl et al., Cancer Res. 2021), with growth/turnover/competition parameters originally fit to 67 real patients. Training data is generated on-the-fly by simulating the ODE; the MVP uses one proof-of-principle patient (Gallagher et al.), with cohort-level generalization as a stretch goal. Exact parameters reproducing the AT50 = 672-day benchmark sit in a supplementary file not present in our corpus and will be pulled from the original authors' public repository before Week 2 — flagged as not yet verified.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5. AI Task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Input: normalized tumor state (sensitive/resistant subpopulation sizes, total burden) at each decision interval  →  Model: PPO reinforcement-learning agent  →  Output: treat / withhold-treatment decision. Task type: sequential decision-making (Markov decision process control), not classification or regression — the reward function itself is the variable under study.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6. Proposed Methodology (MVP scope)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Reproduce the environment and its published benchmark (AT50 = 672 d) as a correctness gate before any RL training.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Implement two objectives from the literature — survival+holiday (Gallagher) and coexistence/entropy (Giles &amp; Newton) — the sharpest contrast available, each trained for 10 random seeds.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Compute a per-objective optimality ceiling via value iteration on a discretized state grid (not a borrowed HJB solution).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Cross-evaluate every trained agent on every objective's own metric, and compare policies directly via a fitted treatment-switching threshold and pairwise KL divergence.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7. Baseline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Two tiers: (a) the field-default reward objective (Gallagher et al., survival+holiday) is retained as one of the compared arms, not superseded; (b) performance is benchmarked against non-RL clinical rules (no-treatment, continuous MTD, fixed-threshold adaptive therapy, a tuned withdrawal-threshold sweep) and against each objective's own value-iteration ceiling — beating MTD alone is treated as necessary, not sufficient.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8. Evaluation Metrics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Time-to-progression, mean/terminal resistant-cell fraction, cumulative drug dose, treatment-switching threshold (sigmoid fit), and pairwise KL divergence between learned policies. Median and full seed-distribution reported, never mean alone; a cross-objective difference is only claimed if it exceeds the within-objective seed-to-seed spread.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9. Expected Outcomes</w:t>
      </w:r>
    </w:p>
    <w:p>
      <w:pPr>
        <w:spacing w:after="60"/>
      </w:pPr>
      <w:r>
        <w:rPr>
          <w:rFonts w:ascii="Calibri" w:cs="Calibri" w:eastAsia="Calibri" w:hAnsi="Calibri"/>
          <w:color w:val="202020"/>
          <w:sz w:val="17"/>
          <w:szCs w:val="17"/>
        </w:rPr>
        <w:t xml:space="preserve">A quantified answer — supported either way — to whether reward-objective choice changes adaptive-therapy policy in this model class, plus a documented artifact (correctness-verified environment, four ported objectives, reproducible cross-evaluation pipeline) reusable for the full four-objective study beyond this course.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2A4A"/>
          <w:sz w:val="18"/>
          <w:szCs w:val="18"/>
        </w:rPr>
        <w:t xml:space="preserve">10. Key References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Gallagher et al., bioRxiv 2023 (DRL for adaptive therapy, reward design) · Strobl et al., Cancer Res. 2021;81(4):1135 (LV model, patient fits) · Giles &amp; Newton, Phys. Rev. E 2026;113:064404 (entropy/coexistence reward) · Ma et al., PLOS Comput. Biol. 2026;22(6):e1014457 (AT-PSC protocol) · Gluzman et al., Proc. R. Soc. B 2020;287:20192454 (dose-penalty objective, EGT) · Yao et al., Brief. Bioinform. 2024 (durability/regrowth reward) · Gevertz et al., npj Syst. Biol. Appl. 2026;12:11 (toxicity model) · West et al. (open-questions survey, control-target framing).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Work item</w:t>
            </w:r>
          </w:p>
        </w:tc>
        <w:tc>
          <w:tcPr>
            <w:tcW w:type="dxa" w:w="25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020"/>
                <w:sz w:val="15"/>
                <w:szCs w:val="15"/>
              </w:rPr>
              <w:t xml:space="preserve">Environment implementation, correctness check (E0), baselines (E1)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020"/>
                <w:sz w:val="15"/>
                <w:szCs w:val="15"/>
              </w:rPr>
              <w:t xml:space="preserve">Member 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020"/>
                <w:sz w:val="15"/>
                <w:szCs w:val="15"/>
              </w:rPr>
              <w:t xml:space="preserve">Value iteration (E2), RL training harness, R1 + R3 objectives (E3)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020"/>
                <w:sz w:val="15"/>
                <w:szCs w:val="15"/>
              </w:rPr>
              <w:t xml:space="preserve">Member 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020"/>
                <w:sz w:val="15"/>
                <w:szCs w:val="15"/>
              </w:rPr>
              <w:t xml:space="preserve">Cross-evaluation (E4), policy divergence (E5), statistics, figures, writing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020"/>
                <w:sz w:val="15"/>
                <w:szCs w:val="15"/>
              </w:rPr>
              <w:t xml:space="preserve">Member C</w:t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11. Division of Work (flexible; adapt to actual team size)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2026-09-20T02:53:57.313Z</dcterms:created>
  <dcterms:modified xsi:type="dcterms:W3CDTF">2026-09-20T02:53:57.321Z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