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 w:line="1360" w:lineRule="atLeast"/>
        <w:ind w:left="0" w:right="3689" w:firstLine="0"/>
        <w:jc w:val="left"/>
        <w:outlineLvl w:val="9"/>
        <w:rPr>
          <w:rFonts w:ascii="Times New Roman" w:eastAsia="Times New Roman" w:hAnsi="Times New Roman" w:cs="Times New Roman"/>
          <w:sz w:val="136"/>
          <w:szCs w:val="1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36"/>
          <w:szCs w:val="136"/>
          <w:u w:val="none"/>
          <w:rtl w:val="0"/>
        </w:rPr>
        <w:t>flag flag Affix Affix</w:t>
      </w:r>
    </w:p>
    <w:sectPr>
      <w:headerReference w:type="default" r:id="rId4"/>
      <w:footerReference w:type="default" r:id="rId5"/>
      <w:pgSz w:w="11340" w:h="11340"/>
      <w:pgMar w:top="465" w:right="2880" w:bottom="640" w:left="567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12055" cy="2723943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2055" cy="272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8.文字-8.1.4.字形变换 CT_CGTransform</dc:title>
  <dc:subject>数科网维</dc:subject>
  <dc:creator>数科网维</dc:creator>
  <cp:keywords>用于测试文字对象的字形变换。</cp:keywords>
  <cp:revision>0</cp:revision>
</cp:coreProperties>
</file>