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DNSentinel — Entropy-based DNS Tunneling Detection with Risk Scoring</w:t>
      </w:r>
    </w:p>
    <w:p/>
    <w:p>
      <w:pPr>
        <w:jc w:val="center"/>
      </w:pPr>
      <w:r>
        <w:rPr>
          <w:b/>
          <w:sz w:val="28"/>
        </w:rPr>
        <w:t>USE-CASE DOCUMENTATION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Ananya Gupta — Roll 24B01010YY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Use-Case Diagram</w:t>
      </w:r>
    </w:p>
    <w:p>
      <w:r>
        <w:rPr>
          <w:b w:val="0"/>
        </w:rPr>
        <w:t>[Use-case diagram: Analyst generates traffic, runs scoring, views dashboard, blocks a domain; the Resolver supplies queries]</w:t>
      </w:r>
    </w:p>
    <w:p>
      <w:r>
        <w:rPr>
          <w:b w:val="0"/>
        </w:rPr>
        <w:t>Actors: Security Analyst (primary), Infected Host/Generator, DNS Resolver (secondary).</w:t>
      </w:r>
    </w:p>
    <w:p>
      <w:pPr>
        <w:pStyle w:val="Heading1"/>
      </w:pPr>
      <w:r>
        <w:rPr>
          <w:color w:val="1F4E78"/>
        </w:rPr>
        <w:t>2. Use-Case Descriptions</w:t>
      </w:r>
    </w:p>
    <w:p>
      <w:pPr>
        <w:pStyle w:val="Heading2"/>
      </w:pPr>
      <w:r>
        <w:rPr>
          <w:color w:val="1F4E78"/>
        </w:rPr>
        <w:t>UC-01 — Score DNS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Score DNS Traffic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Analyst; DNS Resolver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Analyst runs the scorer over captured DNS; each query gets a risk score.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 DNS capture exists; scoring thresholds set.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runs the scorer.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Analyst runs scorer. 2. System reads the capture. 3. System computes length, frequency, entropy. 4. System assigns a score and category per query.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2a. Empty capture → report nothing to score.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3a. Malformed query → skip and continue.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Scored queries stored and shown.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rPr>
          <w:color w:val="1F4E78"/>
        </w:rPr>
        <w:t>UC-02 — Block Flagged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Block Flagged Domain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4320"/>
          </w:tcPr>
          <w:p>
            <w:r>
              <w:t>Security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Analyst reviews High/Critical results and marks a domain to block.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At least one query scored High/Critical.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Analyst opens the dashboard.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Dashboard shows scored queries colour-coded. 2. Analyst selects a High/Critical domain. 3. Analyst marks it to block. 4. System records the block decision.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</w:t>
            </w:r>
          </w:p>
        </w:tc>
        <w:tc>
          <w:tcPr>
            <w:tcW w:type="dxa" w:w="4320"/>
          </w:tcPr>
          <w:p>
            <w:r>
              <w:t>2a. No High/Critical → nothing to block.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Flow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Block decision recorded.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