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96.7997741699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362343" cy="561036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62343" cy="5610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9296875" w:line="240" w:lineRule="auto"/>
        <w:ind w:left="2212.2743225097656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Departamento de Engenharia e Tecnologias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7.518310546875" w:line="240" w:lineRule="auto"/>
        <w:ind w:left="3685.6800842285156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DOSIFICAÇÃO</w:t>
      </w:r>
    </w:p>
    <w:tbl>
      <w:tblPr>
        <w:tblStyle w:val="Table1"/>
        <w:tblW w:w="9326.400604248047" w:type="dxa"/>
        <w:jc w:val="left"/>
        <w:tblInd w:w="3.0517578125E-4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80.7997131347656"/>
        <w:gridCol w:w="3398.3999633789062"/>
        <w:gridCol w:w="815.999755859375"/>
        <w:gridCol w:w="1027.200927734375"/>
        <w:gridCol w:w="1704.000244140625"/>
        <w:tblGridChange w:id="0">
          <w:tblGrid>
            <w:gridCol w:w="2380.7997131347656"/>
            <w:gridCol w:w="3398.3999633789062"/>
            <w:gridCol w:w="815.999755859375"/>
            <w:gridCol w:w="1027.200927734375"/>
            <w:gridCol w:w="1704.000244140625"/>
          </w:tblGrid>
        </w:tblGridChange>
      </w:tblGrid>
      <w:tr>
        <w:trPr>
          <w:cantSplit w:val="0"/>
          <w:trHeight w:val="230.40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ffc000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ffc000" w:val="clear"/>
                <w:vertAlign w:val="baseline"/>
                <w:rtl w:val="0"/>
              </w:rPr>
              <w:t xml:space="preserve">CURSO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ffc000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ffc000" w:val="clear"/>
                <w:vertAlign w:val="baseline"/>
                <w:rtl w:val="0"/>
              </w:rPr>
              <w:t xml:space="preserve">UNIDADE CURRICULAR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ffc000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ffc000" w:val="clear"/>
                <w:vertAlign w:val="baseline"/>
                <w:rtl w:val="0"/>
              </w:rPr>
              <w:t xml:space="preserve">ANO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ffc000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ffc000" w:val="clear"/>
                <w:vertAlign w:val="baseline"/>
                <w:rtl w:val="0"/>
              </w:rPr>
              <w:t xml:space="preserve">SEMESTRE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ffc000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ffc000" w:val="clear"/>
                <w:vertAlign w:val="baseline"/>
                <w:rtl w:val="0"/>
              </w:rPr>
              <w:t xml:space="preserve">HORAS/SEMANA</w:t>
            </w:r>
          </w:p>
        </w:tc>
      </w:tr>
      <w:tr>
        <w:trPr>
          <w:cantSplit w:val="0"/>
          <w:trHeight w:val="403.20068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Engenharia Informática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Computação Paralela e Distribuída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3º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6º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26.400451660156" w:type="dxa"/>
        <w:jc w:val="left"/>
        <w:tblInd w:w="4.57763671875E-4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03.199462890625"/>
        <w:gridCol w:w="2976.0000610351562"/>
        <w:gridCol w:w="3547.200927734375"/>
        <w:tblGridChange w:id="0">
          <w:tblGrid>
            <w:gridCol w:w="2803.199462890625"/>
            <w:gridCol w:w="2976.0000610351562"/>
            <w:gridCol w:w="3547.200927734375"/>
          </w:tblGrid>
        </w:tblGridChange>
      </w:tblGrid>
      <w:tr>
        <w:trPr>
          <w:cantSplit w:val="0"/>
          <w:trHeight w:val="259.20043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88.5629272460938" w:firstLine="0"/>
              <w:jc w:val="righ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ffc000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ffc000" w:val="clear"/>
                <w:vertAlign w:val="baseline"/>
                <w:rtl w:val="0"/>
              </w:rPr>
              <w:t xml:space="preserve">TOTAL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ffc000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ffc000" w:val="clear"/>
                <w:vertAlign w:val="baseline"/>
                <w:rtl w:val="0"/>
              </w:rPr>
              <w:t xml:space="preserve">TEÓRICO-PRÁTICAS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ffc000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ffc000" w:val="clear"/>
                <w:vertAlign w:val="baseline"/>
                <w:rtl w:val="0"/>
              </w:rPr>
              <w:t xml:space="preserve">PRÁTICA</w:t>
            </w:r>
          </w:p>
        </w:tc>
      </w:tr>
      <w:tr>
        <w:trPr>
          <w:cantSplit w:val="0"/>
          <w:trHeight w:val="292.8002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22.8909301757812" w:firstLine="0"/>
              <w:jc w:val="righ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58 HORAS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42 HORAS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16 HORAS</w:t>
            </w:r>
          </w:p>
        </w:tc>
      </w:tr>
    </w:tbl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26.400451660156" w:type="dxa"/>
        <w:jc w:val="left"/>
        <w:tblInd w:w="4.57763671875E-4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03.9993286132812"/>
        <w:gridCol w:w="849.6002197265625"/>
        <w:gridCol w:w="7372.8009033203125"/>
        <w:tblGridChange w:id="0">
          <w:tblGrid>
            <w:gridCol w:w="1103.9993286132812"/>
            <w:gridCol w:w="849.6002197265625"/>
            <w:gridCol w:w="7372.8009033203125"/>
          </w:tblGrid>
        </w:tblGridChange>
      </w:tblGrid>
      <w:tr>
        <w:trPr>
          <w:cantSplit w:val="0"/>
          <w:trHeight w:val="230.40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ffc000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ffc000" w:val="clear"/>
                <w:vertAlign w:val="baseline"/>
                <w:rtl w:val="0"/>
              </w:rPr>
              <w:t xml:space="preserve">Semana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ffc000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ffc000" w:val="clear"/>
                <w:vertAlign w:val="baseline"/>
                <w:rtl w:val="0"/>
              </w:rPr>
              <w:t xml:space="preserve">Aula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ffc000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ffc000" w:val="clear"/>
                <w:vertAlign w:val="baseline"/>
                <w:rtl w:val="0"/>
              </w:rPr>
              <w:t xml:space="preserve">Conteúdos</w:t>
            </w:r>
          </w:p>
        </w:tc>
      </w:tr>
      <w:tr>
        <w:trPr>
          <w:cantSplit w:val="0"/>
          <w:trHeight w:val="1555.20019531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541259765625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04/03  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5406494140625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à  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5400390625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09/03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987060546875" w:right="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Introdução 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5400390625" w:line="248.54856491088867" w:lineRule="auto"/>
              <w:ind w:left="844.4351196289062" w:right="53.397216796875" w:hanging="354.13909912109375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single"/>
                <w:shd w:fill="auto" w:val="clear"/>
                <w:vertAlign w:val="baseline"/>
                <w:rtl w:val="0"/>
              </w:rPr>
              <w:t xml:space="preserve">Apresentação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: motivação, funcionamento da disciplina, objectivos,  avaliação, bibliografia, dosificação, etc. 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.21435546875" w:line="248.5499382019043" w:lineRule="auto"/>
              <w:ind w:left="848.8772583007812" w:right="228.314208984375" w:hanging="358.58123779296875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single"/>
                <w:shd w:fill="auto" w:val="clear"/>
                <w:vertAlign w:val="baseline"/>
                <w:rtl w:val="0"/>
              </w:rPr>
              <w:t xml:space="preserve">Introdução a programação e arquitecturas paralelas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: oportunidade de  paralelização; speedup e overheads; classificação de arquitecturas  paralelas (taxonomia de Flynn); modelos de programação.</w:t>
            </w:r>
          </w:p>
        </w:tc>
      </w:tr>
      <w:tr>
        <w:trPr>
          <w:cantSplit w:val="0"/>
          <w:trHeight w:val="1555.200195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6509399414062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Laboratório: 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5400390625" w:line="240" w:lineRule="auto"/>
              <w:ind w:left="490.296020507812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Introdução ao ambiente Unix 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4.3408203125" w:line="240" w:lineRule="auto"/>
              <w:ind w:left="130.6509399414062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Prática: 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5406494140625" w:line="497.09781646728516" w:lineRule="auto"/>
              <w:ind w:left="130.8306884765625" w:right="775.0006103515625" w:firstLine="359.46746826171875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c00000"/>
                <w:sz w:val="17.760000228881836"/>
                <w:szCs w:val="17.760000228881836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Conjunto de problemas sobre overheads em programas paralelos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c00000"/>
                <w:sz w:val="17.760000228881836"/>
                <w:szCs w:val="17.760000228881836"/>
                <w:highlight w:val="yellow"/>
                <w:u w:val="none"/>
                <w:vertAlign w:val="baseline"/>
                <w:rtl w:val="0"/>
              </w:rPr>
              <w:t xml:space="preserve">N.B.: Sexta-feira, 8/3/2024, é feriado (Dia Internacional da Mulher).</w:t>
            </w:r>
          </w:p>
        </w:tc>
      </w:tr>
      <w:tr>
        <w:trPr>
          <w:cantSplit w:val="0"/>
          <w:trHeight w:val="1555.20019531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5406494140625" w:line="240" w:lineRule="auto"/>
              <w:ind w:left="0" w:right="258.1886291503906" w:firstLine="0"/>
              <w:jc w:val="righ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11/03  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5406494140625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à  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5400390625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16/03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4622802734375" w:right="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Arquitecturas Paralelas 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5400390625" w:line="248.54902267456055" w:lineRule="auto"/>
              <w:ind w:left="844.4351196289062" w:right="257.642822265625" w:hanging="354.13909912109375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single"/>
                <w:shd w:fill="auto" w:val="clear"/>
                <w:vertAlign w:val="baseline"/>
                <w:rtl w:val="0"/>
              </w:rPr>
              <w:t xml:space="preserve">Arquitectura de Acesso Uniforma a Memória (UMA):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Revisão da  arquitectura de computadores; Arquitectura de memória partilhada vs  arquitectura de memória distribuída; Coerência e consistência de  memória da arquitectura UMA; Sincronização. 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.21435546875" w:line="248.549222946167" w:lineRule="auto"/>
              <w:ind w:left="844.6148681640625" w:right="150.313720703125" w:hanging="354.31671142578125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single"/>
                <w:shd w:fill="auto" w:val="clear"/>
                <w:vertAlign w:val="baseline"/>
                <w:rtl w:val="0"/>
              </w:rPr>
              <w:t xml:space="preserve">Sistema de memória distribuída: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NUMA e Multicomputadores; Topologias  de redes; Redução de latência.</w:t>
            </w:r>
          </w:p>
        </w:tc>
      </w:tr>
      <w:tr>
        <w:trPr>
          <w:cantSplit w:val="0"/>
          <w:trHeight w:val="916.799926757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6509399414062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Prática: 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5406494140625" w:line="248.549222946167" w:lineRule="auto"/>
              <w:ind w:left="849.5855712890625" w:right="326.2353515625" w:hanging="359.28955078125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Conjunto de problemas relacion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highlight w:val="white"/>
                <w:u w:val="none"/>
                <w:vertAlign w:val="baseline"/>
                <w:rtl w:val="0"/>
              </w:rPr>
              <w:t xml:space="preserve">ados a lei de Amdahl e ocupação de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 barramento em sistemas de me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highlight w:val="white"/>
                <w:u w:val="none"/>
                <w:vertAlign w:val="baseline"/>
                <w:rtl w:val="0"/>
              </w:rPr>
              <w:t xml:space="preserve">mória partilhada.</w:t>
            </w:r>
          </w:p>
        </w:tc>
      </w:tr>
      <w:tr>
        <w:trPr>
          <w:cantSplit w:val="0"/>
          <w:trHeight w:val="1257.59948730468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5406494140625" w:line="240" w:lineRule="auto"/>
              <w:ind w:left="0" w:right="258.1886291503906" w:firstLine="0"/>
              <w:jc w:val="righ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18/03  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5406494140625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à  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5406494140625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23/03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76318359375" w:right="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Programação Concorrente com OpenMP 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5406494140625" w:line="248.549222946167" w:lineRule="auto"/>
              <w:ind w:left="490.2960205078125" w:right="218.04443359375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Programação concorrente de memória partilhada; Revisão de sistemas  operativos – PThread; OpenMP – Cláusulas paralelas, variáveis  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.2137451171875" w:line="240" w:lineRule="auto"/>
              <w:ind w:left="848.875122070312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privadas/partilhadas.</w:t>
            </w:r>
          </w:p>
        </w:tc>
      </w:tr>
      <w:tr>
        <w:trPr>
          <w:cantSplit w:val="0"/>
          <w:trHeight w:val="892.7999877929688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6509399414062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Laboratório: 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5406494140625" w:line="240" w:lineRule="auto"/>
              <w:ind w:left="490.296020507812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Introdução ao OpenMP. 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4.3408203125" w:line="240" w:lineRule="auto"/>
              <w:ind w:left="130.8285522460937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c00000"/>
                <w:sz w:val="17.760000228881836"/>
                <w:szCs w:val="17.760000228881836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c00000"/>
                <w:sz w:val="17.760000228881836"/>
                <w:szCs w:val="17.760000228881836"/>
                <w:highlight w:val="yellow"/>
                <w:u w:val="none"/>
                <w:vertAlign w:val="baseline"/>
                <w:rtl w:val="0"/>
              </w:rPr>
              <w:t xml:space="preserve">N.B.: Sábado, 23/3/2024, é feriado (Dia da Libertação da África Austral).</w:t>
            </w:r>
          </w:p>
        </w:tc>
      </w:tr>
      <w:tr>
        <w:trPr>
          <w:cantSplit w:val="0"/>
          <w:trHeight w:val="1334.40002441406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54095458984375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25/03  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5406494140625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à  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541259765625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30/03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76318359375" w:right="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Programação Concorrente com OpenMP (continuação) 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5406494140625" w:line="248.54907989501953" w:lineRule="auto"/>
              <w:ind w:left="844.7903442382812" w:right="401.673583984375" w:hanging="354.49432373046875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Sincronismo (nowait, barrier, critical, atomic); Paralelismo condicional;  Cláusula de redução; Opções de escalonamento; Directiva Task;  Paralelismo encadeado. 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.21466064453125" w:line="248.54890823364258" w:lineRule="auto"/>
              <w:ind w:left="844.6148681640625" w:right="160.401611328125" w:hanging="354.31671142578125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Debugging de programas OpenMP – detecção/predição de corrida de  dado; desempenho.</w:t>
            </w:r>
          </w:p>
        </w:tc>
      </w:tr>
      <w:tr>
        <w:trPr>
          <w:cantSplit w:val="0"/>
          <w:trHeight w:val="739.1995239257812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6509399414062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Laboratório: 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541107177734375" w:line="240" w:lineRule="auto"/>
              <w:ind w:left="490.296020507812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Testes e Optimizações de progamas OpenMP.</w:t>
            </w:r>
          </w:p>
        </w:tc>
      </w:tr>
    </w:tbl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15.3442382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96.79977416992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  <w:drawing>
          <wp:inline distB="19050" distT="19050" distL="19050" distR="19050">
            <wp:extent cx="1362343" cy="561036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62343" cy="5610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4"/>
        <w:tblW w:w="9326.40090942382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03.9997863769531"/>
        <w:gridCol w:w="849.6002197265625"/>
        <w:gridCol w:w="7372.8009033203125"/>
        <w:tblGridChange w:id="0">
          <w:tblGrid>
            <w:gridCol w:w="1103.9997863769531"/>
            <w:gridCol w:w="849.6002197265625"/>
            <w:gridCol w:w="7372.8009033203125"/>
          </w:tblGrid>
        </w:tblGridChange>
      </w:tblGrid>
      <w:tr>
        <w:trPr>
          <w:cantSplit w:val="0"/>
          <w:trHeight w:val="230.40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ffc000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ffc000" w:val="clear"/>
                <w:vertAlign w:val="baseline"/>
                <w:rtl w:val="0"/>
              </w:rPr>
              <w:t xml:space="preserve">Semana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ffc000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ffc000" w:val="clear"/>
                <w:vertAlign w:val="baseline"/>
                <w:rtl w:val="0"/>
              </w:rPr>
              <w:t xml:space="preserve">Aula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ffc000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ffc000" w:val="clear"/>
                <w:vertAlign w:val="baseline"/>
                <w:rtl w:val="0"/>
              </w:rPr>
              <w:t xml:space="preserve">Conteúdos</w:t>
            </w:r>
          </w:p>
        </w:tc>
      </w:tr>
      <w:tr>
        <w:trPr>
          <w:cantSplit w:val="0"/>
          <w:trHeight w:val="743.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ffc000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ffc000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8285522460937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c00000"/>
                <w:sz w:val="17.760000228881836"/>
                <w:szCs w:val="17.760000228881836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c00000"/>
                <w:sz w:val="17.760000228881836"/>
                <w:szCs w:val="17.760000228881836"/>
                <w:highlight w:val="yellow"/>
                <w:u w:val="none"/>
                <w:vertAlign w:val="baseline"/>
                <w:rtl w:val="0"/>
              </w:rPr>
              <w:t xml:space="preserve">N.B.: Sexta-feira, 29/3/2024, é feriado (Sexta-feira Santa).</w:t>
            </w:r>
          </w:p>
        </w:tc>
      </w:tr>
      <w:tr>
        <w:trPr>
          <w:cantSplit w:val="0"/>
          <w:trHeight w:val="1776.00097656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5400390625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01/04 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5400390625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à  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541259765625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06/04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9951171875" w:right="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Monitores e Memória Transacional de Software 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5400390625" w:line="248.549222946167" w:lineRule="auto"/>
              <w:ind w:left="844.2575073242188" w:right="258.564453125" w:hanging="353.96148681640625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Corridas, deadlock e livelock em programação paralela com memória  partilhada; Programação paralela em Java (Monitores vs Semáforos); Memória transacional de software vs sincronização baseado em locks – commit/abort; Operações atómicas combináveis; Região crítica  condicional. 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8.013916015625" w:line="240" w:lineRule="auto"/>
              <w:ind w:left="125.1455688476562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c00000"/>
                <w:sz w:val="17.760000228881836"/>
                <w:szCs w:val="17.760000228881836"/>
                <w:highlight w:val="green"/>
                <w:u w:val="none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c00000"/>
                <w:sz w:val="17.760000228881836"/>
                <w:szCs w:val="17.760000228881836"/>
                <w:highlight w:val="green"/>
                <w:u w:val="none"/>
                <w:vertAlign w:val="baseline"/>
                <w:rtl w:val="0"/>
              </w:rPr>
              <w:t xml:space="preserve">Obs.: PP1</w:t>
            </w:r>
          </w:p>
        </w:tc>
      </w:tr>
      <w:tr>
        <w:trPr>
          <w:cantSplit w:val="0"/>
          <w:trHeight w:val="1771.199951171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c00000"/>
                <w:sz w:val="17.760000228881836"/>
                <w:szCs w:val="17.760000228881836"/>
                <w:highlight w:val="green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6509399414062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Laboratório: 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5400390625" w:line="240" w:lineRule="auto"/>
              <w:ind w:left="490.296020507812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Apoio ao projecto. 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4.3408203125" w:line="240" w:lineRule="auto"/>
              <w:ind w:left="130.8285522460937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c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c00000"/>
                <w:sz w:val="17.760000228881836"/>
                <w:szCs w:val="17.760000228881836"/>
                <w:highlight w:val="yellow"/>
                <w:u w:val="none"/>
                <w:vertAlign w:val="baseline"/>
                <w:rtl w:val="0"/>
              </w:rPr>
              <w:t xml:space="preserve">N.B.: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c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5400390625" w:line="240" w:lineRule="auto"/>
              <w:ind w:left="490.296020507812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c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c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c00000"/>
                <w:sz w:val="17.760000228881836"/>
                <w:szCs w:val="17.760000228881836"/>
                <w:highlight w:val="yellow"/>
                <w:u w:val="none"/>
                <w:vertAlign w:val="baseline"/>
                <w:rtl w:val="0"/>
              </w:rPr>
              <w:t xml:space="preserve">Quinta-feira, 4/4/2024, é feriado (Dia da Paz Angolana).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c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541259765625" w:line="240" w:lineRule="auto"/>
              <w:ind w:left="490.296020507812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c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c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c00000"/>
                <w:sz w:val="17.760000228881836"/>
                <w:szCs w:val="17.760000228881836"/>
                <w:highlight w:val="yellow"/>
                <w:u w:val="none"/>
                <w:vertAlign w:val="baseline"/>
                <w:rtl w:val="0"/>
              </w:rPr>
              <w:t xml:space="preserve">Sexta-feira, 5/4/2024, é feriado (Prolongado).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c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4.339599609375" w:line="240" w:lineRule="auto"/>
              <w:ind w:left="125.1455688476562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c00000"/>
                <w:sz w:val="17.760000228881836"/>
                <w:szCs w:val="17.760000228881836"/>
                <w:highlight w:val="green"/>
                <w:u w:val="none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c00000"/>
                <w:sz w:val="17.760000228881836"/>
                <w:szCs w:val="17.760000228881836"/>
                <w:highlight w:val="green"/>
                <w:u w:val="none"/>
                <w:vertAlign w:val="baseline"/>
                <w:rtl w:val="0"/>
              </w:rPr>
              <w:t xml:space="preserve">Obs.: PP1</w:t>
            </w:r>
          </w:p>
        </w:tc>
      </w:tr>
      <w:tr>
        <w:trPr>
          <w:cantSplit w:val="0"/>
          <w:trHeight w:val="921.59973144531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6 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541259765625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08/04  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5406494140625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à  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5400390625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13/04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54856491088867" w:lineRule="auto"/>
              <w:ind w:left="117.86376953125" w:right="501.649169921875" w:firstLine="1.5985107421875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Avaliação intermédia do projecto – versão serial e OMP (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ff0000"/>
                <w:sz w:val="17.760000228881836"/>
                <w:szCs w:val="17.760000228881836"/>
                <w:u w:val="single"/>
                <w:shd w:fill="auto" w:val="clear"/>
                <w:vertAlign w:val="baseline"/>
                <w:rtl w:val="0"/>
              </w:rPr>
              <w:t xml:space="preserve">Apresentação com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ff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ff0000"/>
                <w:sz w:val="17.760000228881836"/>
                <w:szCs w:val="17.760000228881836"/>
                <w:u w:val="single"/>
                <w:shd w:fill="auto" w:val="clear"/>
                <w:vertAlign w:val="baseline"/>
                <w:rtl w:val="0"/>
              </w:rPr>
              <w:t xml:space="preserve">testes e alteração do código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) 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8.0157470703125" w:line="240" w:lineRule="auto"/>
              <w:ind w:left="125.1455688476562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c00000"/>
                <w:sz w:val="17.760000228881836"/>
                <w:szCs w:val="17.760000228881836"/>
                <w:highlight w:val="green"/>
                <w:u w:val="none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c00000"/>
                <w:sz w:val="17.760000228881836"/>
                <w:szCs w:val="17.760000228881836"/>
                <w:highlight w:val="green"/>
                <w:u w:val="none"/>
                <w:vertAlign w:val="baseline"/>
                <w:rtl w:val="0"/>
              </w:rPr>
              <w:t xml:space="preserve">Obs.: PP1</w:t>
            </w:r>
          </w:p>
        </w:tc>
      </w:tr>
      <w:tr>
        <w:trPr>
          <w:cantSplit w:val="0"/>
          <w:trHeight w:val="672.000122070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c00000"/>
                <w:sz w:val="17.760000228881836"/>
                <w:szCs w:val="17.760000228881836"/>
                <w:highlight w:val="green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12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97.098445892334" w:lineRule="auto"/>
              <w:ind w:left="125.14556884765625" w:right="1344.149169921875" w:hanging="5.68328857421875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c00000"/>
                <w:sz w:val="17.760000228881836"/>
                <w:szCs w:val="17.760000228881836"/>
                <w:highlight w:val="green"/>
                <w:u w:val="none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Avaliação intermédia do projecto – versão serial e OMP (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ff0000"/>
                <w:sz w:val="17.760000228881836"/>
                <w:szCs w:val="17.760000228881836"/>
                <w:u w:val="single"/>
                <w:shd w:fill="auto" w:val="clear"/>
                <w:vertAlign w:val="baseline"/>
                <w:rtl w:val="0"/>
              </w:rPr>
              <w:t xml:space="preserve">Discussão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)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c00000"/>
                <w:sz w:val="17.760000228881836"/>
                <w:szCs w:val="17.760000228881836"/>
                <w:highlight w:val="green"/>
                <w:u w:val="none"/>
                <w:vertAlign w:val="baseline"/>
                <w:rtl w:val="0"/>
              </w:rPr>
              <w:t xml:space="preserve">Obs.: PP1</w:t>
            </w:r>
          </w:p>
        </w:tc>
      </w:tr>
      <w:tr>
        <w:trPr>
          <w:cantSplit w:val="0"/>
          <w:trHeight w:val="1334.39941406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7 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5406494140625" w:line="240" w:lineRule="auto"/>
              <w:ind w:left="0" w:right="258.1886291503906" w:firstLine="0"/>
              <w:jc w:val="righ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15/04  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5406494140625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à  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5400390625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20/04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9951171875" w:right="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Metodologia de Foster 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5406494140625" w:line="248.54890823364258" w:lineRule="auto"/>
              <w:ind w:left="848.697509765625" w:right="601.14501953125" w:hanging="358.4014892578125"/>
              <w:jc w:val="both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Programação de sistemas de memória distribuída; Metodologia de  projecto de Foster: particionamento, comunicação, aglomeração,  mapeamento; Exemplos de aplicação.</w:t>
            </w:r>
          </w:p>
        </w:tc>
      </w:tr>
      <w:tr>
        <w:trPr>
          <w:cantSplit w:val="0"/>
          <w:trHeight w:val="916.80053710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9951171875" w:right="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MPI (Message Passing Interface) 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5400390625" w:line="248.549222946167" w:lineRule="auto"/>
              <w:ind w:left="848.8751220703125" w:right="337.91259765625" w:hanging="358.5791015625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Contexto; bases; Comunicadores; Mensagens (ponto-a-ponto e muito para-muitos); Aplicações básicas.</w:t>
            </w:r>
          </w:p>
        </w:tc>
      </w:tr>
      <w:tr>
        <w:trPr>
          <w:cantSplit w:val="0"/>
          <w:trHeight w:val="916.79992675781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8 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.340087890625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22/04  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5406494140625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à  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5406494140625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27/04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6509399414062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Prática: 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5406494140625" w:line="240" w:lineRule="auto"/>
              <w:ind w:left="490.296020507812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Exemplos de aplicação (desenho e implementação).</w:t>
            </w:r>
          </w:p>
        </w:tc>
      </w:tr>
      <w:tr>
        <w:trPr>
          <w:cantSplit w:val="0"/>
          <w:trHeight w:val="1372.7993774414062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16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6509399414062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Laboratório: 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5406494140625" w:line="240" w:lineRule="auto"/>
              <w:ind w:left="490.296020507812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Introdução ao MPI.</w:t>
            </w:r>
          </w:p>
        </w:tc>
      </w:tr>
      <w:tr>
        <w:trPr>
          <w:cantSplit w:val="0"/>
          <w:trHeight w:val="1113.6001586914062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9 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3.94073486328125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29/04 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54095458984375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à  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5406494140625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04/05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4622802734375" w:right="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Análise de Desempenho de Programas Paralelos 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5406494140625" w:line="248.54890823364258" w:lineRule="auto"/>
              <w:ind w:left="844.6127319335938" w:right="73.28857421875" w:hanging="354.31671142578125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Análise de desempenho; Speedup e eficiência; Fórmulas de predição de  desempenho; Exercícios de aplicação. 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8.0145263671875" w:line="240" w:lineRule="auto"/>
              <w:ind w:left="130.8285522460937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c00000"/>
                <w:sz w:val="17.760000228881836"/>
                <w:szCs w:val="17.760000228881836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c00000"/>
                <w:sz w:val="17.760000228881836"/>
                <w:szCs w:val="17.760000228881836"/>
                <w:highlight w:val="yellow"/>
                <w:u w:val="none"/>
                <w:vertAlign w:val="baseline"/>
                <w:rtl w:val="0"/>
              </w:rPr>
              <w:t xml:space="preserve">N.B.: Quarta-feira, 1/5/2024, é feriado (Dia do Trabalhador).</w:t>
            </w:r>
          </w:p>
        </w:tc>
      </w:tr>
      <w:tr>
        <w:trPr>
          <w:cantSplit w:val="0"/>
          <w:trHeight w:val="916.799926757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c00000"/>
                <w:sz w:val="17.760000228881836"/>
                <w:szCs w:val="17.760000228881836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6509399414062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Prática: 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5406494140625" w:line="240" w:lineRule="auto"/>
              <w:ind w:left="490.296020507812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Exemplo de aplicação (análise de desempenho).</w:t>
            </w:r>
          </w:p>
        </w:tc>
      </w:tr>
      <w:tr>
        <w:trPr>
          <w:cantSplit w:val="0"/>
          <w:trHeight w:val="916.799621582031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10 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8.74069213867188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06/05  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54034423828125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à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549222946167" w:lineRule="auto"/>
              <w:ind w:left="490.2960205078125" w:right="200.39794921875" w:hanging="360.5328369140625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Balanceamento de Carga, Detecção de Término e Optimizações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Balanceamento de carga – estático e dinâmico; Detecção de término;  Debugging. 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.213897705078125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OpenMP vs MPI; Programação híbrida – OpenMP e MPI combinados</w:t>
            </w:r>
          </w:p>
        </w:tc>
      </w:tr>
    </w:tbl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15.776367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96.79977416992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  <w:drawing>
          <wp:inline distB="19050" distT="19050" distL="19050" distR="19050">
            <wp:extent cx="1362343" cy="561036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62343" cy="5610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5"/>
        <w:tblW w:w="9326.40090942382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03.9997863769531"/>
        <w:gridCol w:w="849.6002197265625"/>
        <w:gridCol w:w="7372.8009033203125"/>
        <w:tblGridChange w:id="0">
          <w:tblGrid>
            <w:gridCol w:w="1103.9997863769531"/>
            <w:gridCol w:w="849.6002197265625"/>
            <w:gridCol w:w="7372.8009033203125"/>
          </w:tblGrid>
        </w:tblGridChange>
      </w:tblGrid>
      <w:tr>
        <w:trPr>
          <w:cantSplit w:val="0"/>
          <w:trHeight w:val="230.40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ffc000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ffc000" w:val="clear"/>
                <w:vertAlign w:val="baseline"/>
                <w:rtl w:val="0"/>
              </w:rPr>
              <w:t xml:space="preserve">Semana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ffc000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ffc000" w:val="clear"/>
                <w:vertAlign w:val="baseline"/>
                <w:rtl w:val="0"/>
              </w:rPr>
              <w:t xml:space="preserve">Aula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ffc000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ffc000" w:val="clear"/>
                <w:vertAlign w:val="baseline"/>
                <w:rtl w:val="0"/>
              </w:rPr>
              <w:t xml:space="preserve">Conteúdos</w:t>
            </w:r>
          </w:p>
        </w:tc>
      </w:tr>
      <w:tr>
        <w:trPr>
          <w:cantSplit w:val="0"/>
          <w:trHeight w:val="916.79931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11/05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6509399414062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Laboratório: 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541259765625" w:line="240" w:lineRule="auto"/>
              <w:ind w:left="490.296020507812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Apoio ao projecto.</w:t>
            </w:r>
          </w:p>
        </w:tc>
      </w:tr>
      <w:tr>
        <w:trPr>
          <w:cantSplit w:val="0"/>
          <w:trHeight w:val="916.799316406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11 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01.54052734375" w:line="240" w:lineRule="auto"/>
              <w:ind w:left="0" w:right="258.1886291503906" w:firstLine="0"/>
              <w:jc w:val="righ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13/05  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5400390625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à  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541259765625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18/05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21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7903442382812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Caso de estudo</w:t>
            </w:r>
          </w:p>
        </w:tc>
      </w:tr>
      <w:tr>
        <w:trPr>
          <w:cantSplit w:val="0"/>
          <w:trHeight w:val="542.401123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22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6509399414062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Laboratório: 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5400390625" w:line="240" w:lineRule="auto"/>
              <w:ind w:left="490.296020507812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Apoio ao projecto.</w:t>
            </w:r>
          </w:p>
        </w:tc>
      </w:tr>
      <w:tr>
        <w:trPr>
          <w:cantSplit w:val="0"/>
          <w:trHeight w:val="916.799316406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12 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3.9404296875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20/05  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541259765625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à  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5400390625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25/05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7903442382812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Caso de estudo 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4.3408203125" w:line="240" w:lineRule="auto"/>
              <w:ind w:left="125.1455688476562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c00000"/>
                <w:sz w:val="17.760000228881836"/>
                <w:szCs w:val="17.760000228881836"/>
                <w:highlight w:val="green"/>
                <w:u w:val="none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c00000"/>
                <w:sz w:val="17.760000228881836"/>
                <w:szCs w:val="17.760000228881836"/>
                <w:highlight w:val="green"/>
                <w:u w:val="none"/>
                <w:vertAlign w:val="baseline"/>
                <w:rtl w:val="0"/>
              </w:rPr>
              <w:t xml:space="preserve">Obs.: PP2</w:t>
            </w:r>
          </w:p>
        </w:tc>
      </w:tr>
      <w:tr>
        <w:trPr>
          <w:cantSplit w:val="0"/>
          <w:trHeight w:val="916.80053710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c00000"/>
                <w:sz w:val="17.760000228881836"/>
                <w:szCs w:val="17.760000228881836"/>
                <w:highlight w:val="green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7903442382812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Caso de estudo 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4.339599609375" w:line="240" w:lineRule="auto"/>
              <w:ind w:left="125.1455688476562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c00000"/>
                <w:sz w:val="17.760000228881836"/>
                <w:szCs w:val="17.760000228881836"/>
                <w:highlight w:val="green"/>
                <w:u w:val="none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c00000"/>
                <w:sz w:val="17.760000228881836"/>
                <w:szCs w:val="17.760000228881836"/>
                <w:highlight w:val="green"/>
                <w:u w:val="none"/>
                <w:vertAlign w:val="baseline"/>
                <w:rtl w:val="0"/>
              </w:rPr>
              <w:t xml:space="preserve">Obs.: PP2</w:t>
            </w:r>
          </w:p>
        </w:tc>
      </w:tr>
      <w:tr>
        <w:trPr>
          <w:cantSplit w:val="0"/>
          <w:trHeight w:val="921.59973144531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13 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96.74072265625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27/05  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5406494140625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à  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5406494140625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01/06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54856491088867" w:lineRule="auto"/>
              <w:ind w:left="122.83660888671875" w:right="489.31640625" w:hanging="3.37432861328125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Avaliação final do projecto – versão serial e MPI (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ff0000"/>
                <w:sz w:val="17.760000228881836"/>
                <w:szCs w:val="17.760000228881836"/>
                <w:u w:val="single"/>
                <w:shd w:fill="auto" w:val="clear"/>
                <w:vertAlign w:val="baseline"/>
                <w:rtl w:val="0"/>
              </w:rPr>
              <w:t xml:space="preserve">Apresentação com testes e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ff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ff0000"/>
                <w:sz w:val="17.760000228881836"/>
                <w:szCs w:val="17.760000228881836"/>
                <w:u w:val="single"/>
                <w:shd w:fill="auto" w:val="clear"/>
                <w:vertAlign w:val="baseline"/>
                <w:rtl w:val="0"/>
              </w:rPr>
              <w:t xml:space="preserve">alteração do código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) 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8.01513671875" w:line="240" w:lineRule="auto"/>
              <w:ind w:left="125.1455688476562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c00000"/>
                <w:sz w:val="17.760000228881836"/>
                <w:szCs w:val="17.760000228881836"/>
                <w:highlight w:val="green"/>
                <w:u w:val="none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c00000"/>
                <w:sz w:val="17.760000228881836"/>
                <w:szCs w:val="17.760000228881836"/>
                <w:highlight w:val="green"/>
                <w:u w:val="none"/>
                <w:vertAlign w:val="baseline"/>
                <w:rtl w:val="0"/>
              </w:rPr>
              <w:t xml:space="preserve">Obs.: PP2</w:t>
            </w:r>
          </w:p>
        </w:tc>
      </w:tr>
      <w:tr>
        <w:trPr>
          <w:cantSplit w:val="0"/>
          <w:trHeight w:val="916.799926757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c00000"/>
                <w:sz w:val="17.760000228881836"/>
                <w:szCs w:val="17.760000228881836"/>
                <w:highlight w:val="green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462280273437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Avaliação final do projecto – versão serial e MPI (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ff0000"/>
                <w:sz w:val="17.760000228881836"/>
                <w:szCs w:val="17.760000228881836"/>
                <w:u w:val="single"/>
                <w:shd w:fill="auto" w:val="clear"/>
                <w:vertAlign w:val="baseline"/>
                <w:rtl w:val="0"/>
              </w:rPr>
              <w:t xml:space="preserve">Discussão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) 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4.3402099609375" w:line="240" w:lineRule="auto"/>
              <w:ind w:left="125.1455688476562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c00000"/>
                <w:sz w:val="17.760000228881836"/>
                <w:szCs w:val="17.760000228881836"/>
                <w:highlight w:val="green"/>
                <w:u w:val="none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c00000"/>
                <w:sz w:val="17.760000228881836"/>
                <w:szCs w:val="17.760000228881836"/>
                <w:highlight w:val="green"/>
                <w:u w:val="none"/>
                <w:vertAlign w:val="baseline"/>
                <w:rtl w:val="0"/>
              </w:rPr>
              <w:t xml:space="preserve">Obs.: PP2</w:t>
            </w:r>
          </w:p>
        </w:tc>
      </w:tr>
      <w:tr>
        <w:trPr>
          <w:cantSplit w:val="0"/>
          <w:trHeight w:val="916.8005371093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14 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01.54052734375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03/06  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5406494140625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à  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5400390625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08/06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27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7903442382812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Caso de estudo</w:t>
            </w:r>
          </w:p>
        </w:tc>
      </w:tr>
      <w:tr>
        <w:trPr>
          <w:cantSplit w:val="0"/>
          <w:trHeight w:val="916.799926757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28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7903442382812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Caso de estudo</w:t>
            </w:r>
          </w:p>
        </w:tc>
      </w:tr>
      <w:tr>
        <w:trPr>
          <w:cantSplit w:val="0"/>
          <w:trHeight w:val="916.79992675781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15 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5406494140625" w:line="240" w:lineRule="auto"/>
              <w:ind w:left="0" w:right="258.1886291503906" w:firstLine="0"/>
              <w:jc w:val="righ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ff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ff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10/06  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5406494140625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ff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ff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à  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5406494140625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ff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ff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15/06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29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8285522460937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Exercícios de aplicação (preparação para o exame).</w:t>
            </w:r>
          </w:p>
        </w:tc>
      </w:tr>
      <w:tr>
        <w:trPr>
          <w:cantSplit w:val="0"/>
          <w:trHeight w:val="916.799926757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30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8285522460937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Exercícios de aplicação (preparação para o exame).</w:t>
            </w:r>
          </w:p>
        </w:tc>
      </w:tr>
      <w:tr>
        <w:trPr>
          <w:cantSplit w:val="0"/>
          <w:trHeight w:val="921.59973144531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16 </w:t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5406494140625" w:line="240" w:lineRule="auto"/>
              <w:ind w:left="0" w:right="258.1886291503906" w:firstLine="0"/>
              <w:jc w:val="righ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ff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ff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17/06  </w:t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54095458984375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ff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ff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à  </w:t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5406494140625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ff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ff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22/06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31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8285522460937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Exercícios de aplicação (preparação para o exame).</w:t>
            </w:r>
          </w:p>
        </w:tc>
      </w:tr>
      <w:tr>
        <w:trPr>
          <w:cantSplit w:val="0"/>
          <w:trHeight w:val="916.799926757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32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8285522460937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Exercícios de aplicação (preparação para o exame).</w:t>
            </w:r>
          </w:p>
        </w:tc>
      </w:tr>
    </w:tbl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1.53457641601562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Elaborado por: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Prof. João José da Costa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1348876953125" w:line="240" w:lineRule="auto"/>
        <w:ind w:left="119.92340087890625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Ano lectivo 2023-24.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6.7337036132812" w:line="240" w:lineRule="auto"/>
        <w:ind w:left="0" w:right="716.856079101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3 </w:t>
      </w:r>
    </w:p>
    <w:sectPr>
      <w:pgSz w:h="16820" w:w="11900" w:orient="portrait"/>
      <w:pgMar w:bottom="1511.6226196289062" w:top="551.77490234375" w:left="1581.8840026855469" w:right="997.227783203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