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40"/>
      </w:pPr>
      <w:r>
        <w:rPr>
          <w:rFonts w:ascii="Arial" w:cs="Arial" w:eastAsia="Arial" w:hAnsi="Arial"/>
          <w:b/>
          <w:bCs/>
          <w:color w:val="2E75B6"/>
          <w:sz w:val="20"/>
          <w:szCs w:val="20"/>
        </w:rPr>
        <w:t xml:space="preserve">CASE STUDY</w:t>
      </w:r>
    </w:p>
    <w:p>
      <w:pPr>
        <w:spacing w:after="60" w:before="60"/>
      </w:pPr>
      <w:r>
        <w:rPr>
          <w:rFonts w:ascii="Arial" w:cs="Arial" w:eastAsia="Arial" w:hAnsi="Arial"/>
          <w:b/>
          <w:bCs/>
          <w:color w:val="0D2B55"/>
          <w:sz w:val="42"/>
          <w:szCs w:val="42"/>
        </w:rPr>
        <w:t xml:space="preserve">How Nexus Lending Group Reduced Loan Default Rates by 34%</w:t>
      </w:r>
    </w:p>
    <w:p>
      <w:pPr>
        <w:spacing w:after="40" w:before="0"/>
      </w:pPr>
      <w:r>
        <w:rPr>
          <w:rFonts w:ascii="Arial" w:cs="Arial" w:eastAsia="Arial" w:hAnsi="Arial"/>
          <w:i/>
          <w:iCs/>
          <w:color w:val="1A56A0"/>
          <w:sz w:val="26"/>
          <w:szCs w:val="26"/>
        </w:rPr>
        <w:t xml:space="preserve">Using AI-Powered Credit Risk Scoring to Improve Portfolio Quality and Expand Access to Credit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8EE" w:sz="1"/>
              <w:left w:val="single" w:color="C5D8EE" w:sz="1"/>
              <w:bottom w:val="single" w:color="C5D8EE" w:sz="1"/>
              <w:right w:val="single" w:color="C5D8EE" w:sz="1"/>
            </w:tcBorders>
            <w:shd w:fill="0D2B5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Client</w:t>
            </w:r>
          </w:p>
        </w:tc>
        <w:tc>
          <w:tcPr>
            <w:tcW w:type="dxa" w:w="6960"/>
            <w:tcBorders>
              <w:top w:val="single" w:color="C5D8EE" w:sz="1"/>
              <w:left w:val="single" w:color="C5D8EE" w:sz="1"/>
              <w:bottom w:val="single" w:color="C5D8EE" w:sz="1"/>
              <w:right w:val="single" w:color="C5D8EE" w:sz="1"/>
            </w:tcBorders>
            <w:shd w:fill="EEF5FB" w:val="clear"/>
            <w:tcMar>
              <w:top w:type="dxa" w:w="100"/>
              <w:left w:type="dxa" w:w="140"/>
              <w:bottom w:type="dxa" w:w="100"/>
              <w:right w:type="dxa" w:w="140"/>
            </w:tcMar>
          </w:tcPr>
          <w:p>
            <w:pPr>
              <w:spacing w:after="0" w:before="0"/>
            </w:pPr>
            <w:r>
              <w:rPr>
                <w:rFonts w:ascii="Arial" w:cs="Arial" w:eastAsia="Arial" w:hAnsi="Arial"/>
                <w:sz w:val="20"/>
                <w:szCs w:val="20"/>
              </w:rPr>
              <w:t xml:space="preserve">Nexus Lending Group (NLG)</w:t>
            </w:r>
          </w:p>
        </w:tc>
      </w:tr>
      <w:tr>
        <w:tc>
          <w:tcPr>
            <w:tcW w:type="dxa" w:w="2400"/>
            <w:tcBorders>
              <w:top w:val="single" w:color="C5D8EE" w:sz="1"/>
              <w:left w:val="single" w:color="C5D8EE" w:sz="1"/>
              <w:bottom w:val="single" w:color="C5D8EE" w:sz="1"/>
              <w:right w:val="single" w:color="C5D8EE" w:sz="1"/>
            </w:tcBorders>
            <w:shd w:fill="0D2B5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Headquarters</w:t>
            </w:r>
          </w:p>
        </w:tc>
        <w:tc>
          <w:tcPr>
            <w:tcW w:type="dxa" w:w="6960"/>
            <w:tcBorders>
              <w:top w:val="single" w:color="C5D8EE" w:sz="1"/>
              <w:left w:val="single" w:color="C5D8EE" w:sz="1"/>
              <w:bottom w:val="single" w:color="C5D8EE" w:sz="1"/>
              <w:right w:val="single" w:color="C5D8EE" w:sz="1"/>
            </w:tcBorders>
            <w:shd w:fill="F2F5F8" w:val="clear"/>
            <w:tcMar>
              <w:top w:type="dxa" w:w="100"/>
              <w:left w:type="dxa" w:w="140"/>
              <w:bottom w:type="dxa" w:w="100"/>
              <w:right w:type="dxa" w:w="140"/>
            </w:tcMar>
          </w:tcPr>
          <w:p>
            <w:pPr>
              <w:spacing w:after="0" w:before="0"/>
            </w:pPr>
            <w:r>
              <w:rPr>
                <w:rFonts w:ascii="Arial" w:cs="Arial" w:eastAsia="Arial" w:hAnsi="Arial"/>
                <w:sz w:val="20"/>
                <w:szCs w:val="20"/>
              </w:rPr>
              <w:t xml:space="preserve">Austin, Texas, USA</w:t>
            </w:r>
          </w:p>
        </w:tc>
      </w:tr>
      <w:tr>
        <w:tc>
          <w:tcPr>
            <w:tcW w:type="dxa" w:w="2400"/>
            <w:tcBorders>
              <w:top w:val="single" w:color="C5D8EE" w:sz="1"/>
              <w:left w:val="single" w:color="C5D8EE" w:sz="1"/>
              <w:bottom w:val="single" w:color="C5D8EE" w:sz="1"/>
              <w:right w:val="single" w:color="C5D8EE" w:sz="1"/>
            </w:tcBorders>
            <w:shd w:fill="0D2B5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Industry</w:t>
            </w:r>
          </w:p>
        </w:tc>
        <w:tc>
          <w:tcPr>
            <w:tcW w:type="dxa" w:w="6960"/>
            <w:tcBorders>
              <w:top w:val="single" w:color="C5D8EE" w:sz="1"/>
              <w:left w:val="single" w:color="C5D8EE" w:sz="1"/>
              <w:bottom w:val="single" w:color="C5D8EE" w:sz="1"/>
              <w:right w:val="single" w:color="C5D8EE" w:sz="1"/>
            </w:tcBorders>
            <w:shd w:fill="EEF5FB" w:val="clear"/>
            <w:tcMar>
              <w:top w:type="dxa" w:w="100"/>
              <w:left w:type="dxa" w:w="140"/>
              <w:bottom w:type="dxa" w:w="100"/>
              <w:right w:type="dxa" w:w="140"/>
            </w:tcMar>
          </w:tcPr>
          <w:p>
            <w:pPr>
              <w:spacing w:after="0" w:before="0"/>
            </w:pPr>
            <w:r>
              <w:rPr>
                <w:rFonts w:ascii="Arial" w:cs="Arial" w:eastAsia="Arial" w:hAnsi="Arial"/>
                <w:sz w:val="20"/>
                <w:szCs w:val="20"/>
              </w:rPr>
              <w:t xml:space="preserve">Consumer &amp; Small Business Lending (Fintech)</w:t>
            </w:r>
          </w:p>
        </w:tc>
      </w:tr>
      <w:tr>
        <w:tc>
          <w:tcPr>
            <w:tcW w:type="dxa" w:w="2400"/>
            <w:tcBorders>
              <w:top w:val="single" w:color="C5D8EE" w:sz="1"/>
              <w:left w:val="single" w:color="C5D8EE" w:sz="1"/>
              <w:bottom w:val="single" w:color="C5D8EE" w:sz="1"/>
              <w:right w:val="single" w:color="C5D8EE" w:sz="1"/>
            </w:tcBorders>
            <w:shd w:fill="0D2B5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Founded</w:t>
            </w:r>
          </w:p>
        </w:tc>
        <w:tc>
          <w:tcPr>
            <w:tcW w:type="dxa" w:w="6960"/>
            <w:tcBorders>
              <w:top w:val="single" w:color="C5D8EE" w:sz="1"/>
              <w:left w:val="single" w:color="C5D8EE" w:sz="1"/>
              <w:bottom w:val="single" w:color="C5D8EE" w:sz="1"/>
              <w:right w:val="single" w:color="C5D8EE" w:sz="1"/>
            </w:tcBorders>
            <w:shd w:fill="F2F5F8" w:val="clear"/>
            <w:tcMar>
              <w:top w:type="dxa" w:w="100"/>
              <w:left w:type="dxa" w:w="140"/>
              <w:bottom w:type="dxa" w:w="100"/>
              <w:right w:type="dxa" w:w="140"/>
            </w:tcMar>
          </w:tcPr>
          <w:p>
            <w:pPr>
              <w:spacing w:after="0" w:before="0"/>
            </w:pPr>
            <w:r>
              <w:rPr>
                <w:rFonts w:ascii="Arial" w:cs="Arial" w:eastAsia="Arial" w:hAnsi="Arial"/>
                <w:sz w:val="20"/>
                <w:szCs w:val="20"/>
              </w:rPr>
              <w:t xml:space="preserve">2014</w:t>
            </w:r>
          </w:p>
        </w:tc>
      </w:tr>
      <w:tr>
        <w:tc>
          <w:tcPr>
            <w:tcW w:type="dxa" w:w="2400"/>
            <w:tcBorders>
              <w:top w:val="single" w:color="C5D8EE" w:sz="1"/>
              <w:left w:val="single" w:color="C5D8EE" w:sz="1"/>
              <w:bottom w:val="single" w:color="C5D8EE" w:sz="1"/>
              <w:right w:val="single" w:color="C5D8EE" w:sz="1"/>
            </w:tcBorders>
            <w:shd w:fill="0D2B5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Portfolio AUM</w:t>
            </w:r>
          </w:p>
        </w:tc>
        <w:tc>
          <w:tcPr>
            <w:tcW w:type="dxa" w:w="6960"/>
            <w:tcBorders>
              <w:top w:val="single" w:color="C5D8EE" w:sz="1"/>
              <w:left w:val="single" w:color="C5D8EE" w:sz="1"/>
              <w:bottom w:val="single" w:color="C5D8EE" w:sz="1"/>
              <w:right w:val="single" w:color="C5D8EE" w:sz="1"/>
            </w:tcBorders>
            <w:shd w:fill="EEF5FB" w:val="clear"/>
            <w:tcMar>
              <w:top w:type="dxa" w:w="100"/>
              <w:left w:type="dxa" w:w="140"/>
              <w:bottom w:type="dxa" w:w="100"/>
              <w:right w:type="dxa" w:w="140"/>
            </w:tcMar>
          </w:tcPr>
          <w:p>
            <w:pPr>
              <w:spacing w:after="0" w:before="0"/>
            </w:pPr>
            <w:r>
              <w:rPr>
                <w:rFonts w:ascii="Arial" w:cs="Arial" w:eastAsia="Arial" w:hAnsi="Arial"/>
                <w:sz w:val="20"/>
                <w:szCs w:val="20"/>
              </w:rPr>
              <w:t xml:space="preserve">$2.1 billion under management</w:t>
            </w:r>
          </w:p>
        </w:tc>
      </w:tr>
      <w:tr>
        <w:tc>
          <w:tcPr>
            <w:tcW w:type="dxa" w:w="2400"/>
            <w:tcBorders>
              <w:top w:val="single" w:color="C5D8EE" w:sz="1"/>
              <w:left w:val="single" w:color="C5D8EE" w:sz="1"/>
              <w:bottom w:val="single" w:color="C5D8EE" w:sz="1"/>
              <w:right w:val="single" w:color="C5D8EE" w:sz="1"/>
            </w:tcBorders>
            <w:shd w:fill="0D2B5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Engagement</w:t>
            </w:r>
          </w:p>
        </w:tc>
        <w:tc>
          <w:tcPr>
            <w:tcW w:type="dxa" w:w="6960"/>
            <w:tcBorders>
              <w:top w:val="single" w:color="C5D8EE" w:sz="1"/>
              <w:left w:val="single" w:color="C5D8EE" w:sz="1"/>
              <w:bottom w:val="single" w:color="C5D8EE" w:sz="1"/>
              <w:right w:val="single" w:color="C5D8EE" w:sz="1"/>
            </w:tcBorders>
            <w:shd w:fill="F2F5F8" w:val="clear"/>
            <w:tcMar>
              <w:top w:type="dxa" w:w="100"/>
              <w:left w:type="dxa" w:w="140"/>
              <w:bottom w:type="dxa" w:w="100"/>
              <w:right w:type="dxa" w:w="140"/>
            </w:tcMar>
          </w:tcPr>
          <w:p>
            <w:pPr>
              <w:spacing w:after="0" w:before="0"/>
            </w:pPr>
            <w:r>
              <w:rPr>
                <w:rFonts w:ascii="Arial" w:cs="Arial" w:eastAsia="Arial" w:hAnsi="Arial"/>
                <w:sz w:val="20"/>
                <w:szCs w:val="20"/>
              </w:rPr>
              <w:t xml:space="preserve">January 2023 – December 2023 (12-month implementation)</w:t>
            </w:r>
          </w:p>
        </w:tc>
      </w:tr>
      <w:tr>
        <w:tc>
          <w:tcPr>
            <w:tcW w:type="dxa" w:w="2400"/>
            <w:tcBorders>
              <w:top w:val="single" w:color="C5D8EE" w:sz="1"/>
              <w:left w:val="single" w:color="C5D8EE" w:sz="1"/>
              <w:bottom w:val="single" w:color="C5D8EE" w:sz="1"/>
              <w:right w:val="single" w:color="C5D8EE" w:sz="1"/>
            </w:tcBorders>
            <w:shd w:fill="0D2B5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Prepared by</w:t>
            </w:r>
          </w:p>
        </w:tc>
        <w:tc>
          <w:tcPr>
            <w:tcW w:type="dxa" w:w="6960"/>
            <w:tcBorders>
              <w:top w:val="single" w:color="C5D8EE" w:sz="1"/>
              <w:left w:val="single" w:color="C5D8EE" w:sz="1"/>
              <w:bottom w:val="single" w:color="C5D8EE" w:sz="1"/>
              <w:right w:val="single" w:color="C5D8EE" w:sz="1"/>
            </w:tcBorders>
            <w:shd w:fill="EEF5FB" w:val="clear"/>
            <w:tcMar>
              <w:top w:type="dxa" w:w="100"/>
              <w:left w:type="dxa" w:w="140"/>
              <w:bottom w:type="dxa" w:w="100"/>
              <w:right w:type="dxa" w:w="140"/>
            </w:tcMar>
          </w:tcPr>
          <w:p>
            <w:pPr>
              <w:spacing w:after="0" w:before="0"/>
            </w:pPr>
            <w:r>
              <w:rPr>
                <w:rFonts w:ascii="Arial" w:cs="Arial" w:eastAsia="Arial" w:hAnsi="Arial"/>
                <w:sz w:val="20"/>
                <w:szCs w:val="20"/>
              </w:rPr>
              <w:t xml:space="preserve">Strategy &amp; Analytics Practice</w:t>
            </w:r>
          </w:p>
        </w:tc>
      </w:tr>
    </w:tbl>
    <w:p>
      <w:pPr>
        <w:spacing w:after="40" w:before="100"/>
      </w:pPr>
    </w:p>
    <w:p>
      <w:pPr>
        <w:pBdr>
          <w:bottom w:val="single" w:color="2E75B6" w:sz="6" w:space="1"/>
        </w:pBdr>
        <w:spacing w:after="200" w:before="200"/>
      </w:pPr>
    </w:p>
    <w:p>
      <w:pPr>
        <w:pStyle w:val="Heading1"/>
        <w:spacing w:after="140" w:before="360"/>
      </w:pPr>
      <w:r>
        <w:rPr>
          <w:rFonts w:ascii="Arial" w:cs="Arial" w:eastAsia="Arial" w:hAnsi="Arial"/>
          <w:b/>
          <w:bCs/>
          <w:color w:val="0D2B55"/>
          <w:sz w:val="34"/>
          <w:szCs w:val="34"/>
        </w:rPr>
        <w:t xml:space="preserve">Executive Summary</w:t>
      </w:r>
    </w:p>
    <w:p>
      <w:pPr>
        <w:spacing w:after="100" w:before="60"/>
      </w:pPr>
      <w:r>
        <w:rPr>
          <w:rFonts w:ascii="Arial" w:cs="Arial" w:eastAsia="Arial" w:hAnsi="Arial"/>
          <w:sz w:val="22"/>
          <w:szCs w:val="22"/>
        </w:rPr>
        <w:t xml:space="preserve">Nexus Lending Group (NLG) is a mid-market consumer and small business lender operating across 22 U.S. states. By 2022, the company faced mounting pressure from rising default rates and a tightening credit environment. Traditional FICO-based underwriting models had become insufficient — particularly for the growing segment of thin-file and non-traditional credit applicants.</w:t>
      </w:r>
    </w:p>
    <w:p>
      <w:pPr>
        <w:spacing w:after="100" w:before="60"/>
      </w:pPr>
      <w:r>
        <w:rPr>
          <w:rFonts w:ascii="Arial" w:cs="Arial" w:eastAsia="Arial" w:hAnsi="Arial"/>
          <w:sz w:val="22"/>
          <w:szCs w:val="22"/>
        </w:rPr>
        <w:t xml:space="preserve">In early 2023, NLG launched Project Meridian: a full redesign of its core credit risk infrastructure. The initiative replaced legacy scorecard models with a multi-layered machine learning credit risk platform incorporating alternative data signals, behavioral analytics, and dynamic repricing logic.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EEF5FB" w:val="clear"/>
            <w:tcMar>
              <w:top w:type="dxa" w:w="140"/>
              <w:left w:type="dxa" w:w="200"/>
              <w:bottom w:type="dxa" w:w="140"/>
              <w:right w:type="dxa" w:w="160"/>
            </w:tcMar>
          </w:tcPr>
          <w:p>
            <w:pPr>
              <w:spacing w:after="0" w:before="0"/>
            </w:pPr>
            <w:r>
              <w:rPr>
                <w:rFonts w:ascii="Arial" w:cs="Arial" w:eastAsia="Arial" w:hAnsi="Arial"/>
                <w:i/>
                <w:iCs/>
                <w:color w:val="0D2B55"/>
                <w:sz w:val="23"/>
                <w:szCs w:val="23"/>
              </w:rPr>
              <w:t xml:space="preserve">"Project Meridian fundamentally changed how we think about credit risk. We're not just avoiding bad loans — we're finding creditworthy borrowers that our old model was systematically rejecting."  — Chief Risk Officer, Nexus Lending Group</w:t>
            </w:r>
          </w:p>
        </w:tc>
      </w:tr>
    </w:tbl>
    <w:p>
      <w:pPr>
        <w:spacing w:after="80" w:before="80"/>
      </w:pPr>
    </w:p>
    <w:p>
      <w:pPr>
        <w:spacing w:after="100" w:before="60"/>
      </w:pPr>
      <w:r>
        <w:rPr>
          <w:rFonts w:ascii="Arial" w:cs="Arial" w:eastAsia="Arial" w:hAnsi="Arial"/>
          <w:sz w:val="22"/>
          <w:szCs w:val="22"/>
        </w:rPr>
        <w:t xml:space="preserve">By year-end 2023, NLG reported a 34% reduction in 90-day delinquency rates, a 19% improvement in loan approval rates for previously underserved segments, and an estimated $47 million reduction in annual charge-off exposure.</w:t>
      </w:r>
    </w:p>
    <w:p>
      <w:pPr>
        <w:pBdr>
          <w:bottom w:val="single" w:color="2E75B6" w:sz="6" w:space="1"/>
        </w:pBdr>
        <w:spacing w:after="200" w:before="200"/>
      </w:pPr>
    </w:p>
    <w:p>
      <w:pPr>
        <w:pStyle w:val="Heading1"/>
        <w:spacing w:after="140" w:before="360"/>
      </w:pPr>
      <w:r>
        <w:rPr>
          <w:rFonts w:ascii="Arial" w:cs="Arial" w:eastAsia="Arial" w:hAnsi="Arial"/>
          <w:b/>
          <w:bCs/>
          <w:color w:val="0D2B55"/>
          <w:sz w:val="34"/>
          <w:szCs w:val="34"/>
        </w:rPr>
        <w:t xml:space="preserve">Background and Challenge</w:t>
      </w:r>
    </w:p>
    <w:p>
      <w:pPr>
        <w:pStyle w:val="Heading2"/>
        <w:pBdr>
          <w:bottom w:val="single" w:color="D6E8F7" w:sz="3" w:space="4"/>
        </w:pBdr>
        <w:spacing w:after="100" w:before="280"/>
      </w:pPr>
      <w:r>
        <w:rPr>
          <w:rFonts w:ascii="Arial" w:cs="Arial" w:eastAsia="Arial" w:hAnsi="Arial"/>
          <w:b/>
          <w:bCs/>
          <w:color w:val="1A56A0"/>
          <w:sz w:val="26"/>
          <w:szCs w:val="26"/>
        </w:rPr>
        <w:t xml:space="preserve">Company Overview</w:t>
      </w:r>
    </w:p>
    <w:p>
      <w:pPr>
        <w:spacing w:after="100" w:before="60"/>
      </w:pPr>
      <w:r>
        <w:rPr>
          <w:rFonts w:ascii="Arial" w:cs="Arial" w:eastAsia="Arial" w:hAnsi="Arial"/>
          <w:sz w:val="22"/>
          <w:szCs w:val="22"/>
        </w:rPr>
        <w:t xml:space="preserve">Founded in 2014, Nexus Lending Group grew rapidly through the fintech lending boom of the mid-2010s, originating personal loans ($2,500–$50,000), auto refinance products, and small business term loans. By 2022, NLG managed a $2.1 billion portfolio across approximately 310,000 active borrowers, operating primarily through a direct-to-consumer digital channel.</w:t>
      </w:r>
    </w:p>
    <w:p>
      <w:pPr>
        <w:spacing w:after="100" w:before="60"/>
      </w:pPr>
      <w:r>
        <w:rPr>
          <w:rFonts w:ascii="Arial" w:cs="Arial" w:eastAsia="Arial" w:hAnsi="Arial"/>
          <w:sz w:val="22"/>
          <w:szCs w:val="22"/>
        </w:rPr>
        <w:t xml:space="preserve">NLG's competitive positioning relied on faster underwriting decisions (average 4.2 hours from application to offer) and broader approval criteria than traditional banks. However, by 2022, this strategy had begun to show structural cracks.</w:t>
      </w:r>
    </w:p>
    <w:p>
      <w:pPr>
        <w:pStyle w:val="Heading2"/>
        <w:pBdr>
          <w:bottom w:val="single" w:color="D6E8F7" w:sz="3" w:space="4"/>
        </w:pBdr>
        <w:spacing w:after="100" w:before="280"/>
      </w:pPr>
      <w:r>
        <w:rPr>
          <w:rFonts w:ascii="Arial" w:cs="Arial" w:eastAsia="Arial" w:hAnsi="Arial"/>
          <w:b/>
          <w:bCs/>
          <w:color w:val="1A56A0"/>
          <w:sz w:val="26"/>
          <w:szCs w:val="26"/>
        </w:rPr>
        <w:t xml:space="preserve">The Problem</w:t>
      </w:r>
    </w:p>
    <w:p>
      <w:pPr>
        <w:pStyle w:val="Heading3"/>
        <w:spacing w:after="80" w:before="200"/>
      </w:pPr>
      <w:r>
        <w:rPr>
          <w:rFonts w:ascii="Arial" w:cs="Arial" w:eastAsia="Arial" w:hAnsi="Arial"/>
          <w:b/>
          <w:bCs/>
          <w:color w:val="2E75B6"/>
          <w:sz w:val="23"/>
          <w:szCs w:val="23"/>
        </w:rPr>
        <w:t xml:space="preserve">1. Deteriorating Portfolio Quality</w:t>
      </w:r>
    </w:p>
    <w:p>
      <w:pPr>
        <w:spacing w:after="100" w:before="60"/>
      </w:pPr>
      <w:r>
        <w:rPr>
          <w:rFonts w:ascii="Arial" w:cs="Arial" w:eastAsia="Arial" w:hAnsi="Arial"/>
          <w:sz w:val="22"/>
          <w:szCs w:val="22"/>
        </w:rPr>
        <w:t xml:space="preserve">NLG's 90-day delinquency rate climbed from 3.1% in Q1 2021 to 5.8% by Q3 2022 — well above the 4.2% peer benchmark for comparable lenders. Charge-off rates increased in parallel, reaching 6.4% annualized in the personal loan segment. The deterioration was concentrated in two cohorts:</w:t>
      </w:r>
    </w:p>
    <w:p>
      <w:pPr>
        <w:pStyle w:val="ListParagraph"/>
        <w:numPr>
          <w:ilvl w:val="0"/>
          <w:numId w:val="2"/>
        </w:numPr>
        <w:spacing w:after="50" w:before="50"/>
      </w:pPr>
      <w:r>
        <w:rPr>
          <w:rFonts w:ascii="Arial" w:cs="Arial" w:eastAsia="Arial" w:hAnsi="Arial"/>
          <w:sz w:val="22"/>
          <w:szCs w:val="22"/>
        </w:rPr>
        <w:t xml:space="preserve">Borrowers approved in the 620–660 FICO band with limited credit history</w:t>
      </w:r>
    </w:p>
    <w:p>
      <w:pPr>
        <w:pStyle w:val="ListParagraph"/>
        <w:numPr>
          <w:ilvl w:val="0"/>
          <w:numId w:val="2"/>
        </w:numPr>
        <w:spacing w:after="50" w:before="50"/>
      </w:pPr>
      <w:r>
        <w:rPr>
          <w:rFonts w:ascii="Arial" w:cs="Arial" w:eastAsia="Arial" w:hAnsi="Arial"/>
          <w:sz w:val="22"/>
          <w:szCs w:val="22"/>
        </w:rPr>
        <w:t xml:space="preserve">Self-employed and gig-economy borrowers whose income was irregular or difficult to verify</w:t>
      </w:r>
    </w:p>
    <w:p>
      <w:pPr>
        <w:spacing w:after="80" w:before="40"/>
      </w:pPr>
    </w:p>
    <w:p>
      <w:pPr>
        <w:pStyle w:val="Heading3"/>
        <w:spacing w:after="80" w:before="200"/>
      </w:pPr>
      <w:r>
        <w:rPr>
          <w:rFonts w:ascii="Arial" w:cs="Arial" w:eastAsia="Arial" w:hAnsi="Arial"/>
          <w:b/>
          <w:bCs/>
          <w:color w:val="2E75B6"/>
          <w:sz w:val="23"/>
          <w:szCs w:val="23"/>
        </w:rPr>
        <w:t xml:space="preserve">2. Limitations of Legacy Underwriting</w:t>
      </w:r>
    </w:p>
    <w:p>
      <w:pPr>
        <w:spacing w:after="100" w:before="60"/>
      </w:pPr>
      <w:r>
        <w:rPr>
          <w:rFonts w:ascii="Arial" w:cs="Arial" w:eastAsia="Arial" w:hAnsi="Arial"/>
          <w:sz w:val="22"/>
          <w:szCs w:val="22"/>
        </w:rPr>
        <w:t xml:space="preserve">NLG's underwriting relied on a scorecard model built in 2017 that incorporated FICO score, debt-to-income ratio (DTI), employment status, and loan purpose. The model had not been substantially retrained since 2019 and showed measurable performance degradation (Gini coefficient declining from 0.61 to 0.47 over the same period). Key limitations included:</w:t>
      </w:r>
    </w:p>
    <w:p>
      <w:pPr>
        <w:pStyle w:val="ListParagraph"/>
        <w:numPr>
          <w:ilvl w:val="0"/>
          <w:numId w:val="2"/>
        </w:numPr>
        <w:spacing w:after="50" w:before="50"/>
      </w:pPr>
      <w:r>
        <w:rPr>
          <w:rFonts w:ascii="Arial" w:cs="Arial" w:eastAsia="Arial" w:hAnsi="Arial"/>
          <w:sz w:val="22"/>
          <w:szCs w:val="22"/>
        </w:rPr>
        <w:t xml:space="preserve">Static weight structure — no dynamic response to macroeconomic regime shifts</w:t>
      </w:r>
    </w:p>
    <w:p>
      <w:pPr>
        <w:pStyle w:val="ListParagraph"/>
        <w:numPr>
          <w:ilvl w:val="0"/>
          <w:numId w:val="2"/>
        </w:numPr>
        <w:spacing w:after="50" w:before="50"/>
      </w:pPr>
      <w:r>
        <w:rPr>
          <w:rFonts w:ascii="Arial" w:cs="Arial" w:eastAsia="Arial" w:hAnsi="Arial"/>
          <w:sz w:val="22"/>
          <w:szCs w:val="22"/>
        </w:rPr>
        <w:t xml:space="preserve">Binary employment classification — inadequate for gig, contract, and self-employment income</w:t>
      </w:r>
    </w:p>
    <w:p>
      <w:pPr>
        <w:pStyle w:val="ListParagraph"/>
        <w:numPr>
          <w:ilvl w:val="0"/>
          <w:numId w:val="2"/>
        </w:numPr>
        <w:spacing w:after="50" w:before="50"/>
      </w:pPr>
      <w:r>
        <w:rPr>
          <w:rFonts w:ascii="Arial" w:cs="Arial" w:eastAsia="Arial" w:hAnsi="Arial"/>
          <w:sz w:val="22"/>
          <w:szCs w:val="22"/>
        </w:rPr>
        <w:t xml:space="preserve">FICO dependency — approximately 18% of applicants had insufficient FICO history for reliable scoring</w:t>
      </w:r>
    </w:p>
    <w:p>
      <w:pPr>
        <w:pStyle w:val="ListParagraph"/>
        <w:numPr>
          <w:ilvl w:val="0"/>
          <w:numId w:val="2"/>
        </w:numPr>
        <w:spacing w:after="50" w:before="50"/>
      </w:pPr>
      <w:r>
        <w:rPr>
          <w:rFonts w:ascii="Arial" w:cs="Arial" w:eastAsia="Arial" w:hAnsi="Arial"/>
          <w:sz w:val="22"/>
          <w:szCs w:val="22"/>
        </w:rPr>
        <w:t xml:space="preserve">No behavioral signals — application-stage model with no post-origination feedback loop</w:t>
      </w:r>
    </w:p>
    <w:p>
      <w:pPr>
        <w:pStyle w:val="Heading3"/>
        <w:spacing w:after="80" w:before="200"/>
      </w:pPr>
      <w:r>
        <w:rPr>
          <w:rFonts w:ascii="Arial" w:cs="Arial" w:eastAsia="Arial" w:hAnsi="Arial"/>
          <w:b/>
          <w:bCs/>
          <w:color w:val="2E75B6"/>
          <w:sz w:val="23"/>
          <w:szCs w:val="23"/>
        </w:rPr>
        <w:t xml:space="preserve">3. Regulatory and Competitive Pressure</w:t>
      </w:r>
    </w:p>
    <w:p>
      <w:pPr>
        <w:spacing w:after="100" w:before="60"/>
      </w:pPr>
      <w:r>
        <w:rPr>
          <w:rFonts w:ascii="Arial" w:cs="Arial" w:eastAsia="Arial" w:hAnsi="Arial"/>
          <w:sz w:val="22"/>
          <w:szCs w:val="22"/>
        </w:rPr>
        <w:t xml:space="preserve">Simultaneously, NLG faced increasing regulatory scrutiny over fair lending compliance, with the CFPB issuing guidance on algorithmic model explainability. Competitors had begun deploying more sophisticated risk architectures and were beginning to undercut NLG on pricing for lower-risk segments — a phenomenon NLG's risk team termed adverse selection drift.</w:t>
      </w:r>
    </w:p>
    <w:p>
      <w:pPr>
        <w:pBdr>
          <w:bottom w:val="single" w:color="2E75B6" w:sz="6" w:space="1"/>
        </w:pBdr>
        <w:spacing w:after="200" w:before="200"/>
      </w:pPr>
    </w:p>
    <w:p>
      <w:pPr>
        <w:pStyle w:val="Heading1"/>
        <w:spacing w:after="140" w:before="360"/>
      </w:pPr>
      <w:r>
        <w:rPr>
          <w:rFonts w:ascii="Arial" w:cs="Arial" w:eastAsia="Arial" w:hAnsi="Arial"/>
          <w:b/>
          <w:bCs/>
          <w:color w:val="0D2B55"/>
          <w:sz w:val="34"/>
          <w:szCs w:val="34"/>
        </w:rPr>
        <w:t xml:space="preserve">Solution: Project Meridian</w:t>
      </w:r>
    </w:p>
    <w:p>
      <w:pPr>
        <w:pStyle w:val="Heading2"/>
        <w:pBdr>
          <w:bottom w:val="single" w:color="D6E8F7" w:sz="3" w:space="4"/>
        </w:pBdr>
        <w:spacing w:after="100" w:before="280"/>
      </w:pPr>
      <w:r>
        <w:rPr>
          <w:rFonts w:ascii="Arial" w:cs="Arial" w:eastAsia="Arial" w:hAnsi="Arial"/>
          <w:b/>
          <w:bCs/>
          <w:color w:val="1A56A0"/>
          <w:sz w:val="26"/>
          <w:szCs w:val="26"/>
        </w:rPr>
        <w:t xml:space="preserve">Strategic Objectives</w:t>
      </w:r>
    </w:p>
    <w:p>
      <w:pPr>
        <w:spacing w:after="100" w:before="60"/>
      </w:pPr>
      <w:r>
        <w:rPr>
          <w:rFonts w:ascii="Arial" w:cs="Arial" w:eastAsia="Arial" w:hAnsi="Arial"/>
          <w:sz w:val="22"/>
          <w:szCs w:val="22"/>
        </w:rPr>
        <w:t xml:space="preserve">Project Meridian was scoped with three primary objectives:</w:t>
      </w:r>
    </w:p>
    <w:p>
      <w:pPr>
        <w:pStyle w:val="ListParagraph"/>
        <w:numPr>
          <w:ilvl w:val="0"/>
          <w:numId w:val="3"/>
        </w:numPr>
        <w:spacing w:after="60" w:before="60"/>
      </w:pPr>
      <w:r>
        <w:rPr>
          <w:rFonts w:ascii="Arial" w:cs="Arial" w:eastAsia="Arial" w:hAnsi="Arial"/>
          <w:b/>
          <w:bCs/>
          <w:sz w:val="22"/>
          <w:szCs w:val="22"/>
        </w:rPr>
        <w:t xml:space="preserve">Reduce default risk: </w:t>
      </w:r>
      <w:r>
        <w:rPr>
          <w:rFonts w:ascii="Arial" w:cs="Arial" w:eastAsia="Arial" w:hAnsi="Arial"/>
          <w:sz w:val="22"/>
          <w:szCs w:val="22"/>
        </w:rPr>
        <w:t xml:space="preserve">Lower 90-day delinquency rates to at or below the peer benchmark of 4.2% within 12 months.</w:t>
      </w:r>
    </w:p>
    <w:p>
      <w:pPr>
        <w:pStyle w:val="ListParagraph"/>
        <w:numPr>
          <w:ilvl w:val="0"/>
          <w:numId w:val="3"/>
        </w:numPr>
        <w:spacing w:after="60" w:before="60"/>
      </w:pPr>
      <w:r>
        <w:rPr>
          <w:rFonts w:ascii="Arial" w:cs="Arial" w:eastAsia="Arial" w:hAnsi="Arial"/>
          <w:b/>
          <w:bCs/>
          <w:sz w:val="22"/>
          <w:szCs w:val="22"/>
        </w:rPr>
        <w:t xml:space="preserve">Expand creditworthy approvals: </w:t>
      </w:r>
      <w:r>
        <w:rPr>
          <w:rFonts w:ascii="Arial" w:cs="Arial" w:eastAsia="Arial" w:hAnsi="Arial"/>
          <w:sz w:val="22"/>
          <w:szCs w:val="22"/>
        </w:rPr>
        <w:t xml:space="preserve">Improve approval rates for thin-file and non-traditional income borrowers without increasing portfolio risk.</w:t>
      </w:r>
    </w:p>
    <w:p>
      <w:pPr>
        <w:pStyle w:val="ListParagraph"/>
        <w:numPr>
          <w:ilvl w:val="0"/>
          <w:numId w:val="3"/>
        </w:numPr>
        <w:spacing w:after="60" w:before="60"/>
      </w:pPr>
      <w:r>
        <w:rPr>
          <w:rFonts w:ascii="Arial" w:cs="Arial" w:eastAsia="Arial" w:hAnsi="Arial"/>
          <w:b/>
          <w:bCs/>
          <w:sz w:val="22"/>
          <w:szCs w:val="22"/>
        </w:rPr>
        <w:t xml:space="preserve">Ensure explainability: </w:t>
      </w:r>
      <w:r>
        <w:rPr>
          <w:rFonts w:ascii="Arial" w:cs="Arial" w:eastAsia="Arial" w:hAnsi="Arial"/>
          <w:sz w:val="22"/>
          <w:szCs w:val="22"/>
        </w:rPr>
        <w:t xml:space="preserve">Maintain CFPB-compliant model documentation and adverse action reason codes for all automated decisions.</w:t>
      </w:r>
    </w:p>
    <w:p>
      <w:pPr>
        <w:spacing w:after="80" w:before="80"/>
      </w:pPr>
    </w:p>
    <w:p>
      <w:pPr>
        <w:pStyle w:val="Heading2"/>
        <w:pBdr>
          <w:bottom w:val="single" w:color="D6E8F7" w:sz="3" w:space="4"/>
        </w:pBdr>
        <w:spacing w:after="100" w:before="280"/>
      </w:pPr>
      <w:r>
        <w:rPr>
          <w:rFonts w:ascii="Arial" w:cs="Arial" w:eastAsia="Arial" w:hAnsi="Arial"/>
          <w:b/>
          <w:bCs/>
          <w:color w:val="1A56A0"/>
          <w:sz w:val="26"/>
          <w:szCs w:val="26"/>
        </w:rPr>
        <w:t xml:space="preserve">Architecture Overview</w:t>
      </w:r>
    </w:p>
    <w:p>
      <w:pPr>
        <w:spacing w:after="100" w:before="60"/>
      </w:pPr>
      <w:r>
        <w:rPr>
          <w:rFonts w:ascii="Arial" w:cs="Arial" w:eastAsia="Arial" w:hAnsi="Arial"/>
          <w:sz w:val="22"/>
          <w:szCs w:val="22"/>
        </w:rPr>
        <w:t xml:space="preserve">The redesigned credit risk platform comprised four integrated components:</w:t>
      </w:r>
    </w:p>
    <w:p>
      <w:pPr>
        <w:pStyle w:val="Heading3"/>
        <w:spacing w:after="80" w:before="200"/>
      </w:pPr>
      <w:r>
        <w:rPr>
          <w:rFonts w:ascii="Arial" w:cs="Arial" w:eastAsia="Arial" w:hAnsi="Arial"/>
          <w:b/>
          <w:bCs/>
          <w:color w:val="2E75B6"/>
          <w:sz w:val="23"/>
          <w:szCs w:val="23"/>
        </w:rPr>
        <w:t xml:space="preserve">Component 1: Alternative Data Ingestion Layer</w:t>
      </w:r>
    </w:p>
    <w:p>
      <w:pPr>
        <w:spacing w:after="100" w:before="60"/>
      </w:pPr>
      <w:r>
        <w:rPr>
          <w:rFonts w:ascii="Arial" w:cs="Arial" w:eastAsia="Arial" w:hAnsi="Arial"/>
          <w:sz w:val="22"/>
          <w:szCs w:val="22"/>
        </w:rPr>
        <w:t xml:space="preserve">NLG integrated three new data sources beyond traditional bureau data:</w:t>
      </w:r>
    </w:p>
    <w:p>
      <w:pPr>
        <w:pStyle w:val="ListParagraph"/>
        <w:numPr>
          <w:ilvl w:val="0"/>
          <w:numId w:val="2"/>
        </w:numPr>
        <w:spacing w:after="50" w:before="50"/>
      </w:pPr>
      <w:r>
        <w:rPr>
          <w:rFonts w:ascii="Arial" w:cs="Arial" w:eastAsia="Arial" w:hAnsi="Arial"/>
          <w:b/>
          <w:bCs/>
          <w:sz w:val="22"/>
          <w:szCs w:val="22"/>
        </w:rPr>
        <w:t xml:space="preserve">Bank account cash flow analysis: </w:t>
      </w:r>
      <w:r>
        <w:rPr>
          <w:rFonts w:ascii="Arial" w:cs="Arial" w:eastAsia="Arial" w:hAnsi="Arial"/>
          <w:sz w:val="22"/>
          <w:szCs w:val="22"/>
        </w:rPr>
        <w:t xml:space="preserve">Via open banking API (Plaid integration), enabling direct assessment of income regularity, expense patterns, and savings behavior for 73% of applicants who opted in.</w:t>
      </w:r>
    </w:p>
    <w:p>
      <w:pPr>
        <w:pStyle w:val="ListParagraph"/>
        <w:numPr>
          <w:ilvl w:val="0"/>
          <w:numId w:val="2"/>
        </w:numPr>
        <w:spacing w:after="50" w:before="50"/>
      </w:pPr>
      <w:r>
        <w:rPr>
          <w:rFonts w:ascii="Arial" w:cs="Arial" w:eastAsia="Arial" w:hAnsi="Arial"/>
          <w:b/>
          <w:bCs/>
          <w:sz w:val="22"/>
          <w:szCs w:val="22"/>
        </w:rPr>
        <w:t xml:space="preserve">Rental payment history: </w:t>
      </w:r>
      <w:r>
        <w:rPr>
          <w:rFonts w:ascii="Arial" w:cs="Arial" w:eastAsia="Arial" w:hAnsi="Arial"/>
          <w:sz w:val="22"/>
          <w:szCs w:val="22"/>
        </w:rPr>
        <w:t xml:space="preserve">Sourced from two rental payment reporting bureaus, providing payment track record for applicants with limited revolving credit history.</w:t>
      </w:r>
    </w:p>
    <w:p>
      <w:pPr>
        <w:pStyle w:val="ListParagraph"/>
        <w:numPr>
          <w:ilvl w:val="0"/>
          <w:numId w:val="2"/>
        </w:numPr>
        <w:spacing w:after="50" w:before="50"/>
      </w:pPr>
      <w:r>
        <w:rPr>
          <w:rFonts w:ascii="Arial" w:cs="Arial" w:eastAsia="Arial" w:hAnsi="Arial"/>
          <w:b/>
          <w:bCs/>
          <w:sz w:val="22"/>
          <w:szCs w:val="22"/>
        </w:rPr>
        <w:t xml:space="preserve">Telecom and utility payment data: </w:t>
      </w:r>
      <w:r>
        <w:rPr>
          <w:rFonts w:ascii="Arial" w:cs="Arial" w:eastAsia="Arial" w:hAnsi="Arial"/>
          <w:sz w:val="22"/>
          <w:szCs w:val="22"/>
        </w:rPr>
        <w:t xml:space="preserve">Sourced via opt-in bureau supplement, providing additional payment behavior signals for thin-file applicants.</w:t>
      </w:r>
    </w:p>
    <w:p>
      <w:pPr>
        <w:spacing w:after="100" w:before="60"/>
      </w:pPr>
      <w:r>
        <w:rPr>
          <w:rFonts w:ascii="Arial" w:cs="Arial" w:eastAsia="Arial" w:hAnsi="Arial"/>
          <w:sz w:val="22"/>
          <w:szCs w:val="22"/>
        </w:rPr>
        <w:t xml:space="preserve">Alternative data was incorporated for 61% of applications in the first 90 days, rising to 84% by month nine as integration coverage expanded.</w:t>
      </w:r>
    </w:p>
    <w:p>
      <w:pPr>
        <w:pStyle w:val="Heading3"/>
        <w:spacing w:after="80" w:before="200"/>
      </w:pPr>
      <w:r>
        <w:rPr>
          <w:rFonts w:ascii="Arial" w:cs="Arial" w:eastAsia="Arial" w:hAnsi="Arial"/>
          <w:b/>
          <w:bCs/>
          <w:color w:val="2E75B6"/>
          <w:sz w:val="23"/>
          <w:szCs w:val="23"/>
        </w:rPr>
        <w:t xml:space="preserve">Component 2: Gradient Boosting Risk Model (GBRM)</w:t>
      </w:r>
    </w:p>
    <w:p>
      <w:pPr>
        <w:spacing w:after="100" w:before="60"/>
      </w:pPr>
      <w:r>
        <w:rPr>
          <w:rFonts w:ascii="Arial" w:cs="Arial" w:eastAsia="Arial" w:hAnsi="Arial"/>
          <w:sz w:val="22"/>
          <w:szCs w:val="22"/>
        </w:rPr>
        <w:t xml:space="preserve">The core scoring model was rebuilt using a gradient boosting framework (XGBoost), trained on 48 months of origination and performance data (approximately 890,000 loan records). Key design decisions included:</w:t>
      </w:r>
    </w:p>
    <w:p>
      <w:pPr>
        <w:pStyle w:val="ListParagraph"/>
        <w:numPr>
          <w:ilvl w:val="0"/>
          <w:numId w:val="2"/>
        </w:numPr>
        <w:spacing w:after="50" w:before="50"/>
      </w:pPr>
      <w:r>
        <w:rPr>
          <w:rFonts w:ascii="Arial" w:cs="Arial" w:eastAsia="Arial" w:hAnsi="Arial"/>
          <w:sz w:val="22"/>
          <w:szCs w:val="22"/>
        </w:rPr>
        <w:t xml:space="preserve">Separate model tracks for traditional-file and thin-file applicants</w:t>
      </w:r>
    </w:p>
    <w:p>
      <w:pPr>
        <w:pStyle w:val="ListParagraph"/>
        <w:numPr>
          <w:ilvl w:val="0"/>
          <w:numId w:val="2"/>
        </w:numPr>
        <w:spacing w:after="50" w:before="50"/>
      </w:pPr>
      <w:r>
        <w:rPr>
          <w:rFonts w:ascii="Arial" w:cs="Arial" w:eastAsia="Arial" w:hAnsi="Arial"/>
          <w:sz w:val="22"/>
          <w:szCs w:val="22"/>
        </w:rPr>
        <w:t xml:space="preserve">Monthly model refresh cycle using recent origination vintages</w:t>
      </w:r>
    </w:p>
    <w:p>
      <w:pPr>
        <w:pStyle w:val="ListParagraph"/>
        <w:numPr>
          <w:ilvl w:val="0"/>
          <w:numId w:val="2"/>
        </w:numPr>
        <w:spacing w:after="50" w:before="50"/>
      </w:pPr>
      <w:r>
        <w:rPr>
          <w:rFonts w:ascii="Arial" w:cs="Arial" w:eastAsia="Arial" w:hAnsi="Arial"/>
          <w:sz w:val="22"/>
          <w:szCs w:val="22"/>
        </w:rPr>
        <w:t xml:space="preserve">Income volatility scoring as an independent sub-model for self-employed applicants</w:t>
      </w:r>
    </w:p>
    <w:p>
      <w:pPr>
        <w:pStyle w:val="ListParagraph"/>
        <w:numPr>
          <w:ilvl w:val="0"/>
          <w:numId w:val="2"/>
        </w:numPr>
        <w:spacing w:after="50" w:before="50"/>
      </w:pPr>
      <w:r>
        <w:rPr>
          <w:rFonts w:ascii="Arial" w:cs="Arial" w:eastAsia="Arial" w:hAnsi="Arial"/>
          <w:sz w:val="22"/>
          <w:szCs w:val="22"/>
        </w:rPr>
        <w:t xml:space="preserve">Macroeconomic regime variable (unemployment rate, consumer credit stress index) as a model feature</w:t>
      </w:r>
    </w:p>
    <w:p>
      <w:pPr>
        <w:spacing w:after="100" w:before="60"/>
      </w:pPr>
      <w:r>
        <w:rPr>
          <w:rFonts w:ascii="Arial" w:cs="Arial" w:eastAsia="Arial" w:hAnsi="Arial"/>
          <w:sz w:val="22"/>
          <w:szCs w:val="22"/>
        </w:rPr>
        <w:t xml:space="preserve">Model performance on the holdout validation set showed a Gini coefficient of 0.68 — a 45% improvement over the legacy scorecard.</w:t>
      </w:r>
    </w:p>
    <w:p>
      <w:pPr>
        <w:pStyle w:val="Heading3"/>
        <w:spacing w:after="80" w:before="200"/>
      </w:pPr>
      <w:r>
        <w:rPr>
          <w:rFonts w:ascii="Arial" w:cs="Arial" w:eastAsia="Arial" w:hAnsi="Arial"/>
          <w:b/>
          <w:bCs/>
          <w:color w:val="2E75B6"/>
          <w:sz w:val="23"/>
          <w:szCs w:val="23"/>
        </w:rPr>
        <w:t xml:space="preserve">Component 3: Dynamic Pricing and Loan Structuring Engine</w:t>
      </w:r>
    </w:p>
    <w:p>
      <w:pPr>
        <w:spacing w:after="100" w:before="60"/>
      </w:pPr>
      <w:r>
        <w:rPr>
          <w:rFonts w:ascii="Arial" w:cs="Arial" w:eastAsia="Arial" w:hAnsi="Arial"/>
          <w:sz w:val="22"/>
          <w:szCs w:val="22"/>
        </w:rPr>
        <w:t xml:space="preserve">Rather than a binary approve/decline decision, the new architecture introduced risk-tiered pricing. Applicants received personalized APR offers calculated from their risk score, with five pricing bands replacing the prior three-tier structure. This enabled NLG to:</w:t>
      </w:r>
    </w:p>
    <w:p>
      <w:pPr>
        <w:pStyle w:val="ListParagraph"/>
        <w:numPr>
          <w:ilvl w:val="0"/>
          <w:numId w:val="2"/>
        </w:numPr>
        <w:spacing w:after="50" w:before="50"/>
      </w:pPr>
      <w:r>
        <w:rPr>
          <w:rFonts w:ascii="Arial" w:cs="Arial" w:eastAsia="Arial" w:hAnsi="Arial"/>
          <w:sz w:val="22"/>
          <w:szCs w:val="22"/>
        </w:rPr>
        <w:t xml:space="preserve">Approve marginally higher-risk applicants at appropriately higher rates</w:t>
      </w:r>
    </w:p>
    <w:p>
      <w:pPr>
        <w:pStyle w:val="ListParagraph"/>
        <w:numPr>
          <w:ilvl w:val="0"/>
          <w:numId w:val="2"/>
        </w:numPr>
        <w:spacing w:after="50" w:before="50"/>
      </w:pPr>
      <w:r>
        <w:rPr>
          <w:rFonts w:ascii="Arial" w:cs="Arial" w:eastAsia="Arial" w:hAnsi="Arial"/>
          <w:sz w:val="22"/>
          <w:szCs w:val="22"/>
        </w:rPr>
        <w:t xml:space="preserve">Competitively price lower-risk applicants who had previously been cross-subsidizing defaults</w:t>
      </w:r>
    </w:p>
    <w:p>
      <w:pPr>
        <w:pStyle w:val="ListParagraph"/>
        <w:numPr>
          <w:ilvl w:val="0"/>
          <w:numId w:val="2"/>
        </w:numPr>
        <w:spacing w:after="50" w:before="50"/>
      </w:pPr>
      <w:r>
        <w:rPr>
          <w:rFonts w:ascii="Arial" w:cs="Arial" w:eastAsia="Arial" w:hAnsi="Arial"/>
          <w:sz w:val="22"/>
          <w:szCs w:val="22"/>
        </w:rPr>
        <w:t xml:space="preserve">Reduce adverse selection by offering risk-commensurate pricing rather than flat-rate products</w:t>
      </w:r>
    </w:p>
    <w:p>
      <w:pPr>
        <w:pStyle w:val="Heading3"/>
        <w:spacing w:after="80" w:before="200"/>
      </w:pPr>
      <w:r>
        <w:rPr>
          <w:rFonts w:ascii="Arial" w:cs="Arial" w:eastAsia="Arial" w:hAnsi="Arial"/>
          <w:b/>
          <w:bCs/>
          <w:color w:val="2E75B6"/>
          <w:sz w:val="23"/>
          <w:szCs w:val="23"/>
        </w:rPr>
        <w:t xml:space="preserve">Component 4: Explainability and Compliance Module</w:t>
      </w:r>
    </w:p>
    <w:p>
      <w:pPr>
        <w:spacing w:after="100" w:before="60"/>
      </w:pPr>
      <w:r>
        <w:rPr>
          <w:rFonts w:ascii="Arial" w:cs="Arial" w:eastAsia="Arial" w:hAnsi="Arial"/>
          <w:sz w:val="22"/>
          <w:szCs w:val="22"/>
        </w:rPr>
        <w:t xml:space="preserve">To satisfy CFPB adverse action requirements, NLG implemented SHAP (SHapley Additive exPlanations) value attribution for every model decision. Each adverse action notice was automatically populated with the top four contributing factors in plain-language format, reviewed and approved by NLG's compliance counsel.</w:t>
      </w:r>
    </w:p>
    <w:p>
      <w:pPr>
        <w:pBdr>
          <w:bottom w:val="single" w:color="2E75B6" w:sz="6" w:space="1"/>
        </w:pBdr>
        <w:spacing w:after="200" w:before="200"/>
      </w:pPr>
    </w:p>
    <w:p>
      <w:pPr>
        <w:pStyle w:val="Heading1"/>
        <w:spacing w:after="140" w:before="360"/>
      </w:pPr>
      <w:r>
        <w:rPr>
          <w:rFonts w:ascii="Arial" w:cs="Arial" w:eastAsia="Arial" w:hAnsi="Arial"/>
          <w:b/>
          <w:bCs/>
          <w:color w:val="0D2B55"/>
          <w:sz w:val="34"/>
          <w:szCs w:val="34"/>
        </w:rPr>
        <w:t xml:space="preserve">Implementation</w:t>
      </w:r>
    </w:p>
    <w:p>
      <w:pPr>
        <w:pStyle w:val="Heading2"/>
        <w:pBdr>
          <w:bottom w:val="single" w:color="D6E8F7" w:sz="3" w:space="4"/>
        </w:pBdr>
        <w:spacing w:after="100" w:before="280"/>
      </w:pPr>
      <w:r>
        <w:rPr>
          <w:rFonts w:ascii="Arial" w:cs="Arial" w:eastAsia="Arial" w:hAnsi="Arial"/>
          <w:b/>
          <w:bCs/>
          <w:color w:val="1A56A0"/>
          <w:sz w:val="26"/>
          <w:szCs w:val="26"/>
        </w:rPr>
        <w:t xml:space="preserve">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Phase</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Timeline</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Scope</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Key Milestone</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Phase 0: Audit &amp; Design</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Jan–Feb 2023</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Model audit, data sourcing, architecture design</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Legacy model documented; data vendor contracts signed</w:t>
            </w:r>
          </w:p>
        </w:tc>
      </w:tr>
      <w:tr>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Phase 1: Build &amp; Validate</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Mar–May 2023</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GBRM development, backtesting, compliance review</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Holdout Gini 0.68 achieved; adverse action language approved</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Phase 2: Shadow Deploy</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Jun–Jul 2023</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New model running in parallel, not yet decisioning</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Shadow vs. legacy: 31% fewer predicted defaults on same population</w:t>
            </w:r>
          </w:p>
        </w:tc>
      </w:tr>
      <w:tr>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Phase 3: Partial Go-Live</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Aug–Sep 2023</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New model live for 50% of volume (A/B split)</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First vintage performance confirms shadow model predictions</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Phase 4: Full Deployment</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Oct–Dec 2023</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100% of originations on new platform</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Full portfolio quality improvement visible in reporting</w:t>
            </w:r>
          </w:p>
        </w:tc>
      </w:tr>
    </w:tbl>
    <w:p>
      <w:pPr>
        <w:spacing w:after="80" w:before="80"/>
      </w:pPr>
    </w:p>
    <w:p>
      <w:pPr>
        <w:pStyle w:val="Heading2"/>
        <w:pBdr>
          <w:bottom w:val="single" w:color="D6E8F7" w:sz="3" w:space="4"/>
        </w:pBdr>
        <w:spacing w:after="100" w:before="280"/>
      </w:pPr>
      <w:r>
        <w:rPr>
          <w:rFonts w:ascii="Arial" w:cs="Arial" w:eastAsia="Arial" w:hAnsi="Arial"/>
          <w:b/>
          <w:bCs/>
          <w:color w:val="1A56A0"/>
          <w:sz w:val="26"/>
          <w:szCs w:val="26"/>
        </w:rPr>
        <w:t xml:space="preserve">Key Implementation Challenges</w:t>
      </w:r>
    </w:p>
    <w:p>
      <w:pPr>
        <w:pStyle w:val="Heading3"/>
        <w:spacing w:after="80" w:before="200"/>
      </w:pPr>
      <w:r>
        <w:rPr>
          <w:rFonts w:ascii="Arial" w:cs="Arial" w:eastAsia="Arial" w:hAnsi="Arial"/>
          <w:b/>
          <w:bCs/>
          <w:color w:val="2E75B6"/>
          <w:sz w:val="23"/>
          <w:szCs w:val="23"/>
        </w:rPr>
        <w:t xml:space="preserve">Data Quality and Coverage Gaps</w:t>
      </w:r>
    </w:p>
    <w:p>
      <w:pPr>
        <w:spacing w:after="100" w:before="60"/>
      </w:pPr>
      <w:r>
        <w:rPr>
          <w:rFonts w:ascii="Arial" w:cs="Arial" w:eastAsia="Arial" w:hAnsi="Arial"/>
          <w:sz w:val="22"/>
          <w:szCs w:val="22"/>
        </w:rPr>
        <w:t xml:space="preserve">Early in Phase 1, the team identified significant data quality issues in the rental payment bureau feeds — approximately 23% of records had incorrect property identifiers, leading to mismatched payment histories. Resolution required a three-week data remediation effort and delayed Phase 1 completion by two weeks.</w:t>
      </w:r>
    </w:p>
    <w:p>
      <w:pPr>
        <w:pStyle w:val="Heading3"/>
        <w:spacing w:after="80" w:before="200"/>
      </w:pPr>
      <w:r>
        <w:rPr>
          <w:rFonts w:ascii="Arial" w:cs="Arial" w:eastAsia="Arial" w:hAnsi="Arial"/>
          <w:b/>
          <w:bCs/>
          <w:color w:val="2E75B6"/>
          <w:sz w:val="23"/>
          <w:szCs w:val="23"/>
        </w:rPr>
        <w:t xml:space="preserve">Internal Adoption and Change Management</w:t>
      </w:r>
    </w:p>
    <w:p>
      <w:pPr>
        <w:spacing w:after="100" w:before="60"/>
      </w:pPr>
      <w:r>
        <w:rPr>
          <w:rFonts w:ascii="Arial" w:cs="Arial" w:eastAsia="Arial" w:hAnsi="Arial"/>
          <w:sz w:val="22"/>
          <w:szCs w:val="22"/>
        </w:rPr>
        <w:t xml:space="preserve">Loan operations and underwriting staff initially resisted the move to automated decisions for applications that previously required manual review. A structured change management program was implemented, including:</w:t>
      </w:r>
    </w:p>
    <w:p>
      <w:pPr>
        <w:pStyle w:val="ListParagraph"/>
        <w:numPr>
          <w:ilvl w:val="0"/>
          <w:numId w:val="2"/>
        </w:numPr>
        <w:spacing w:after="50" w:before="50"/>
      </w:pPr>
      <w:r>
        <w:rPr>
          <w:rFonts w:ascii="Arial" w:cs="Arial" w:eastAsia="Arial" w:hAnsi="Arial"/>
          <w:sz w:val="22"/>
          <w:szCs w:val="22"/>
        </w:rPr>
        <w:t xml:space="preserve">Role-specific training for underwriters on interpreting SHAP outputs and override protocols</w:t>
      </w:r>
    </w:p>
    <w:p>
      <w:pPr>
        <w:pStyle w:val="ListParagraph"/>
        <w:numPr>
          <w:ilvl w:val="0"/>
          <w:numId w:val="2"/>
        </w:numPr>
        <w:spacing w:after="50" w:before="50"/>
      </w:pPr>
      <w:r>
        <w:rPr>
          <w:rFonts w:ascii="Arial" w:cs="Arial" w:eastAsia="Arial" w:hAnsi="Arial"/>
          <w:sz w:val="22"/>
          <w:szCs w:val="22"/>
        </w:rPr>
        <w:t xml:space="preserve">A defined manual override policy (applied to fewer than 3% of applications) with documented rationale requirements</w:t>
      </w:r>
    </w:p>
    <w:p>
      <w:pPr>
        <w:pStyle w:val="ListParagraph"/>
        <w:numPr>
          <w:ilvl w:val="0"/>
          <w:numId w:val="2"/>
        </w:numPr>
        <w:spacing w:after="50" w:before="50"/>
      </w:pPr>
      <w:r>
        <w:rPr>
          <w:rFonts w:ascii="Arial" w:cs="Arial" w:eastAsia="Arial" w:hAnsi="Arial"/>
          <w:sz w:val="22"/>
          <w:szCs w:val="22"/>
        </w:rPr>
        <w:t xml:space="preserve">Weekly model performance dashboards shared with operations leadership</w:t>
      </w:r>
    </w:p>
    <w:p>
      <w:pPr>
        <w:pStyle w:val="Heading3"/>
        <w:spacing w:after="80" w:before="200"/>
      </w:pPr>
      <w:r>
        <w:rPr>
          <w:rFonts w:ascii="Arial" w:cs="Arial" w:eastAsia="Arial" w:hAnsi="Arial"/>
          <w:b/>
          <w:bCs/>
          <w:color w:val="2E75B6"/>
          <w:sz w:val="23"/>
          <w:szCs w:val="23"/>
        </w:rPr>
        <w:t xml:space="preserve">Model Monitoring Infrastructure</w:t>
      </w:r>
    </w:p>
    <w:p>
      <w:pPr>
        <w:spacing w:after="100" w:before="60"/>
      </w:pPr>
      <w:r>
        <w:rPr>
          <w:rFonts w:ascii="Arial" w:cs="Arial" w:eastAsia="Arial" w:hAnsi="Arial"/>
          <w:sz w:val="22"/>
          <w:szCs w:val="22"/>
        </w:rPr>
        <w:t xml:space="preserve">Building a production-grade model monitoring pipeline required more infrastructure investment than initially scoped. NLG's data engineering team built a feature drift detection system using Population Stability Index (PSI) monitoring on 22 key model inputs, with automated alerts for any feature showing PSI &gt; 0.2.</w:t>
      </w:r>
    </w:p>
    <w:p>
      <w:pPr>
        <w:pBdr>
          <w:bottom w:val="single" w:color="2E75B6" w:sz="6" w:space="1"/>
        </w:pBdr>
        <w:spacing w:after="200" w:before="200"/>
      </w:pPr>
    </w:p>
    <w:p>
      <w:pPr>
        <w:pStyle w:val="Heading1"/>
        <w:spacing w:after="140" w:before="360"/>
      </w:pPr>
      <w:r>
        <w:rPr>
          <w:rFonts w:ascii="Arial" w:cs="Arial" w:eastAsia="Arial" w:hAnsi="Arial"/>
          <w:b/>
          <w:bCs/>
          <w:color w:val="0D2B55"/>
          <w:sz w:val="34"/>
          <w:szCs w:val="34"/>
        </w:rPr>
        <w:t xml:space="preserve">Results and Impact</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E6F4ED" w:val="clear"/>
            <w:tcMar>
              <w:top w:type="dxa" w:w="160"/>
              <w:left w:type="dxa" w:w="160"/>
              <w:bottom w:type="dxa" w:w="160"/>
              <w:right w:type="dxa" w:w="160"/>
            </w:tcMar>
          </w:tcPr>
          <w:p>
            <w:pPr>
              <w:spacing w:after="40" w:before="0"/>
              <w:jc w:val="center"/>
            </w:pPr>
            <w:r>
              <w:rPr>
                <w:rFonts w:ascii="Arial" w:cs="Arial" w:eastAsia="Arial" w:hAnsi="Arial"/>
                <w:b/>
                <w:bCs/>
                <w:color w:val="1A7A4A"/>
                <w:sz w:val="52"/>
                <w:szCs w:val="52"/>
              </w:rPr>
              <w:t xml:space="preserve">34%</w:t>
            </w:r>
          </w:p>
          <w:p>
            <w:pPr>
              <w:spacing w:after="20" w:before="0"/>
              <w:jc w:val="center"/>
            </w:pPr>
            <w:r>
              <w:rPr>
                <w:rFonts w:ascii="Arial" w:cs="Arial" w:eastAsia="Arial" w:hAnsi="Arial"/>
                <w:b/>
                <w:bCs/>
                <w:color w:val="1A56A0"/>
                <w:sz w:val="18"/>
                <w:szCs w:val="18"/>
              </w:rPr>
              <w:t xml:space="preserve">Reduction in 90-Day Delinquency</w:t>
            </w:r>
          </w:p>
          <w:p>
            <w:pPr>
              <w:spacing w:after="0" w:before="0"/>
              <w:jc w:val="center"/>
            </w:pPr>
            <w:r>
              <w:rPr>
                <w:rFonts w:ascii="Arial" w:cs="Arial" w:eastAsia="Arial" w:hAnsi="Arial"/>
                <w:i/>
                <w:iCs/>
                <w:color w:val="595959"/>
                <w:sz w:val="17"/>
                <w:szCs w:val="17"/>
              </w:rPr>
              <w:t xml:space="preserve">5.8% to 3.8% (vs. 4.2% benchmark)</w:t>
            </w:r>
          </w:p>
        </w:tc>
        <w:tc>
          <w:tcPr>
            <w:tcW w:type="dxa" w:w="3120"/>
            <w:tcBorders>
              <w:top w:val="single" w:color="C5D8EE" w:sz="1"/>
              <w:left w:val="single" w:color="C5D8EE" w:sz="1"/>
              <w:bottom w:val="single" w:color="C5D8EE" w:sz="1"/>
              <w:right w:val="single" w:color="C5D8EE" w:sz="1"/>
            </w:tcBorders>
            <w:shd w:fill="EEF5FB" w:val="clear"/>
            <w:tcMar>
              <w:top w:type="dxa" w:w="160"/>
              <w:left w:type="dxa" w:w="160"/>
              <w:bottom w:type="dxa" w:w="160"/>
              <w:right w:type="dxa" w:w="160"/>
            </w:tcMar>
          </w:tcPr>
          <w:p>
            <w:pPr>
              <w:spacing w:after="40" w:before="0"/>
              <w:jc w:val="center"/>
            </w:pPr>
            <w:r>
              <w:rPr>
                <w:rFonts w:ascii="Arial" w:cs="Arial" w:eastAsia="Arial" w:hAnsi="Arial"/>
                <w:b/>
                <w:bCs/>
                <w:color w:val="1A56A0"/>
                <w:sz w:val="52"/>
                <w:szCs w:val="52"/>
              </w:rPr>
              <w:t xml:space="preserve">$47M</w:t>
            </w:r>
          </w:p>
          <w:p>
            <w:pPr>
              <w:spacing w:after="20" w:before="0"/>
              <w:jc w:val="center"/>
            </w:pPr>
            <w:r>
              <w:rPr>
                <w:rFonts w:ascii="Arial" w:cs="Arial" w:eastAsia="Arial" w:hAnsi="Arial"/>
                <w:b/>
                <w:bCs/>
                <w:color w:val="1A56A0"/>
                <w:sz w:val="18"/>
                <w:szCs w:val="18"/>
              </w:rPr>
              <w:t xml:space="preserve">Annual Charge-Off Reduction</w:t>
            </w:r>
          </w:p>
          <w:p>
            <w:pPr>
              <w:spacing w:after="0" w:before="0"/>
              <w:jc w:val="center"/>
            </w:pPr>
            <w:r>
              <w:rPr>
                <w:rFonts w:ascii="Arial" w:cs="Arial" w:eastAsia="Arial" w:hAnsi="Arial"/>
                <w:i/>
                <w:iCs/>
                <w:color w:val="595959"/>
                <w:sz w:val="17"/>
                <w:szCs w:val="17"/>
              </w:rPr>
              <w:t xml:space="preserve">Estimated avoided losses</w:t>
            </w:r>
          </w:p>
        </w:tc>
        <w:tc>
          <w:tcPr>
            <w:tcW w:type="dxa" w:w="3120"/>
            <w:tcBorders>
              <w:top w:val="single" w:color="C5D8EE" w:sz="1"/>
              <w:left w:val="single" w:color="C5D8EE" w:sz="1"/>
              <w:bottom w:val="single" w:color="C5D8EE" w:sz="1"/>
              <w:right w:val="single" w:color="C5D8EE" w:sz="1"/>
            </w:tcBorders>
            <w:shd w:fill="FEF3DC" w:val="clear"/>
            <w:tcMar>
              <w:top w:type="dxa" w:w="160"/>
              <w:left w:type="dxa" w:w="160"/>
              <w:bottom w:type="dxa" w:w="160"/>
              <w:right w:type="dxa" w:w="160"/>
            </w:tcMar>
          </w:tcPr>
          <w:p>
            <w:pPr>
              <w:spacing w:after="40" w:before="0"/>
              <w:jc w:val="center"/>
            </w:pPr>
            <w:r>
              <w:rPr>
                <w:rFonts w:ascii="Arial" w:cs="Arial" w:eastAsia="Arial" w:hAnsi="Arial"/>
                <w:b/>
                <w:bCs/>
                <w:color w:val="92600A"/>
                <w:sz w:val="52"/>
                <w:szCs w:val="52"/>
              </w:rPr>
              <w:t xml:space="preserve">+19%</w:t>
            </w:r>
          </w:p>
          <w:p>
            <w:pPr>
              <w:spacing w:after="20" w:before="0"/>
              <w:jc w:val="center"/>
            </w:pPr>
            <w:r>
              <w:rPr>
                <w:rFonts w:ascii="Arial" w:cs="Arial" w:eastAsia="Arial" w:hAnsi="Arial"/>
                <w:b/>
                <w:bCs/>
                <w:color w:val="1A56A0"/>
                <w:sz w:val="18"/>
                <w:szCs w:val="18"/>
              </w:rPr>
              <w:t xml:space="preserve">Approval Rate Improvement</w:t>
            </w:r>
          </w:p>
          <w:p>
            <w:pPr>
              <w:spacing w:after="0" w:before="0"/>
              <w:jc w:val="center"/>
            </w:pPr>
            <w:r>
              <w:rPr>
                <w:rFonts w:ascii="Arial" w:cs="Arial" w:eastAsia="Arial" w:hAnsi="Arial"/>
                <w:i/>
                <w:iCs/>
                <w:color w:val="595959"/>
                <w:sz w:val="17"/>
                <w:szCs w:val="17"/>
              </w:rPr>
              <w:t xml:space="preserve">Thin-file &amp; non-traditional segments</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EEF5FB" w:val="clear"/>
            <w:tcMar>
              <w:top w:type="dxa" w:w="160"/>
              <w:left w:type="dxa" w:w="160"/>
              <w:bottom w:type="dxa" w:w="160"/>
              <w:right w:type="dxa" w:w="160"/>
            </w:tcMar>
          </w:tcPr>
          <w:p>
            <w:pPr>
              <w:spacing w:after="40" w:before="0"/>
              <w:jc w:val="center"/>
            </w:pPr>
            <w:r>
              <w:rPr>
                <w:rFonts w:ascii="Arial" w:cs="Arial" w:eastAsia="Arial" w:hAnsi="Arial"/>
                <w:b/>
                <w:bCs/>
                <w:color w:val="0D2B55"/>
                <w:sz w:val="52"/>
                <w:szCs w:val="52"/>
              </w:rPr>
              <w:t xml:space="preserve">0.68</w:t>
            </w:r>
          </w:p>
          <w:p>
            <w:pPr>
              <w:spacing w:after="20" w:before="0"/>
              <w:jc w:val="center"/>
            </w:pPr>
            <w:r>
              <w:rPr>
                <w:rFonts w:ascii="Arial" w:cs="Arial" w:eastAsia="Arial" w:hAnsi="Arial"/>
                <w:b/>
                <w:bCs/>
                <w:color w:val="1A56A0"/>
                <w:sz w:val="18"/>
                <w:szCs w:val="18"/>
              </w:rPr>
              <w:t xml:space="preserve">Model Gini Improvement</w:t>
            </w:r>
          </w:p>
          <w:p>
            <w:pPr>
              <w:spacing w:after="0" w:before="0"/>
              <w:jc w:val="center"/>
            </w:pPr>
            <w:r>
              <w:rPr>
                <w:rFonts w:ascii="Arial" w:cs="Arial" w:eastAsia="Arial" w:hAnsi="Arial"/>
                <w:i/>
                <w:iCs/>
                <w:color w:val="595959"/>
                <w:sz w:val="17"/>
                <w:szCs w:val="17"/>
              </w:rPr>
              <w:t xml:space="preserve">vs. 0.47 legacy (45% uplift)</w:t>
            </w:r>
          </w:p>
        </w:tc>
        <w:tc>
          <w:tcPr>
            <w:tcW w:type="dxa" w:w="3120"/>
            <w:tcBorders>
              <w:top w:val="single" w:color="C5D8EE" w:sz="1"/>
              <w:left w:val="single" w:color="C5D8EE" w:sz="1"/>
              <w:bottom w:val="single" w:color="C5D8EE" w:sz="1"/>
              <w:right w:val="single" w:color="C5D8EE" w:sz="1"/>
            </w:tcBorders>
            <w:shd w:fill="EEF5FB" w:val="clear"/>
            <w:tcMar>
              <w:top w:type="dxa" w:w="160"/>
              <w:left w:type="dxa" w:w="160"/>
              <w:bottom w:type="dxa" w:w="160"/>
              <w:right w:type="dxa" w:w="160"/>
            </w:tcMar>
          </w:tcPr>
          <w:p>
            <w:pPr>
              <w:spacing w:after="40" w:before="0"/>
              <w:jc w:val="center"/>
            </w:pPr>
            <w:r>
              <w:rPr>
                <w:rFonts w:ascii="Arial" w:cs="Arial" w:eastAsia="Arial" w:hAnsi="Arial"/>
                <w:b/>
                <w:bCs/>
                <w:color w:val="1A56A0"/>
                <w:sz w:val="52"/>
                <w:szCs w:val="52"/>
              </w:rPr>
              <w:t xml:space="preserve">2.1 hrs</w:t>
            </w:r>
          </w:p>
          <w:p>
            <w:pPr>
              <w:spacing w:after="20" w:before="0"/>
              <w:jc w:val="center"/>
            </w:pPr>
            <w:r>
              <w:rPr>
                <w:rFonts w:ascii="Arial" w:cs="Arial" w:eastAsia="Arial" w:hAnsi="Arial"/>
                <w:b/>
                <w:bCs/>
                <w:color w:val="1A56A0"/>
                <w:sz w:val="18"/>
                <w:szCs w:val="18"/>
              </w:rPr>
              <w:t xml:space="preserve">Avg. Decision Time</w:t>
            </w:r>
          </w:p>
          <w:p>
            <w:pPr>
              <w:spacing w:after="0" w:before="0"/>
              <w:jc w:val="center"/>
            </w:pPr>
            <w:r>
              <w:rPr>
                <w:rFonts w:ascii="Arial" w:cs="Arial" w:eastAsia="Arial" w:hAnsi="Arial"/>
                <w:i/>
                <w:iCs/>
                <w:color w:val="595959"/>
                <w:sz w:val="17"/>
                <w:szCs w:val="17"/>
              </w:rPr>
              <w:t xml:space="preserve">vs. 4.2 hrs legacy (50% faster)</w:t>
            </w:r>
          </w:p>
        </w:tc>
        <w:tc>
          <w:tcPr>
            <w:tcW w:type="dxa" w:w="3120"/>
            <w:tcBorders>
              <w:top w:val="single" w:color="C5D8EE" w:sz="1"/>
              <w:left w:val="single" w:color="C5D8EE" w:sz="1"/>
              <w:bottom w:val="single" w:color="C5D8EE" w:sz="1"/>
              <w:right w:val="single" w:color="C5D8EE" w:sz="1"/>
            </w:tcBorders>
            <w:shd w:fill="EEF5FB" w:val="clear"/>
            <w:tcMar>
              <w:top w:type="dxa" w:w="160"/>
              <w:left w:type="dxa" w:w="160"/>
              <w:bottom w:type="dxa" w:w="160"/>
              <w:right w:type="dxa" w:w="160"/>
            </w:tcMar>
          </w:tcPr>
          <w:p>
            <w:pPr>
              <w:spacing w:after="40" w:before="0"/>
              <w:jc w:val="center"/>
            </w:pPr>
            <w:r>
              <w:rPr>
                <w:rFonts w:ascii="Arial" w:cs="Arial" w:eastAsia="Arial" w:hAnsi="Arial"/>
                <w:b/>
                <w:bCs/>
                <w:color w:val="0D2B55"/>
                <w:sz w:val="52"/>
                <w:szCs w:val="52"/>
              </w:rPr>
              <w:t xml:space="preserve">84%</w:t>
            </w:r>
          </w:p>
          <w:p>
            <w:pPr>
              <w:spacing w:after="20" w:before="0"/>
              <w:jc w:val="center"/>
            </w:pPr>
            <w:r>
              <w:rPr>
                <w:rFonts w:ascii="Arial" w:cs="Arial" w:eastAsia="Arial" w:hAnsi="Arial"/>
                <w:b/>
                <w:bCs/>
                <w:color w:val="1A56A0"/>
                <w:sz w:val="18"/>
                <w:szCs w:val="18"/>
              </w:rPr>
              <w:t xml:space="preserve">Alt. Data Coverage</w:t>
            </w:r>
          </w:p>
          <w:p>
            <w:pPr>
              <w:spacing w:after="0" w:before="0"/>
              <w:jc w:val="center"/>
            </w:pPr>
            <w:r>
              <w:rPr>
                <w:rFonts w:ascii="Arial" w:cs="Arial" w:eastAsia="Arial" w:hAnsi="Arial"/>
                <w:i/>
                <w:iCs/>
                <w:color w:val="595959"/>
                <w:sz w:val="17"/>
                <w:szCs w:val="17"/>
              </w:rPr>
              <w:t xml:space="preserve">of applications by month 9</w:t>
            </w:r>
          </w:p>
        </w:tc>
      </w:tr>
    </w:tbl>
    <w:p>
      <w:pPr>
        <w:spacing w:after="80" w:before="120"/>
      </w:pPr>
    </w:p>
    <w:p>
      <w:pPr>
        <w:pStyle w:val="Heading2"/>
        <w:pBdr>
          <w:bottom w:val="single" w:color="D6E8F7" w:sz="3" w:space="4"/>
        </w:pBdr>
        <w:spacing w:after="100" w:before="280"/>
      </w:pPr>
      <w:r>
        <w:rPr>
          <w:rFonts w:ascii="Arial" w:cs="Arial" w:eastAsia="Arial" w:hAnsi="Arial"/>
          <w:b/>
          <w:bCs/>
          <w:color w:val="1A56A0"/>
          <w:sz w:val="26"/>
          <w:szCs w:val="26"/>
        </w:rPr>
        <w:t xml:space="preserve">Portfolio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Metric</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Pre-Meridian (Q3 2022)</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Post-Meridian (Q4 2023)</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Change</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90-Day Delinquency Rate</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5.8%</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3.8%</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34% decrease</w:t>
            </w:r>
          </w:p>
        </w:tc>
      </w:tr>
      <w:tr>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Annualized Charge-Off Rate</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6.4%</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4.1%</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36% decrease</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Net Credit Loss (annual, $M)</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$138M</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$91M</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$47M reduction</w:t>
            </w:r>
          </w:p>
        </w:tc>
      </w:tr>
      <w:tr>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Average Loan APR (personal)</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18.4%</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17.1%</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1.3pp decrease</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Approval Rate (all segments)</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61.2%</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63.8%</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2.6pp increase</w:t>
            </w:r>
          </w:p>
        </w:tc>
      </w:tr>
    </w:tbl>
    <w:p>
      <w:pPr>
        <w:spacing w:after="80" w:before="80"/>
      </w:pPr>
    </w:p>
    <w:p>
      <w:pPr>
        <w:pStyle w:val="Heading2"/>
        <w:pBdr>
          <w:bottom w:val="single" w:color="D6E8F7" w:sz="3" w:space="4"/>
        </w:pBdr>
        <w:spacing w:after="100" w:before="280"/>
      </w:pPr>
      <w:r>
        <w:rPr>
          <w:rFonts w:ascii="Arial" w:cs="Arial" w:eastAsia="Arial" w:hAnsi="Arial"/>
          <w:b/>
          <w:bCs/>
          <w:color w:val="1A56A0"/>
          <w:sz w:val="26"/>
          <w:szCs w:val="26"/>
        </w:rPr>
        <w:t xml:space="preserve">Segment-Level Impact</w:t>
      </w:r>
    </w:p>
    <w:p>
      <w:pPr>
        <w:spacing w:after="100" w:before="60"/>
      </w:pPr>
      <w:r>
        <w:rPr>
          <w:rFonts w:ascii="Arial" w:cs="Arial" w:eastAsia="Arial" w:hAnsi="Arial"/>
          <w:sz w:val="22"/>
          <w:szCs w:val="22"/>
        </w:rPr>
        <w:t xml:space="preserve">The most pronounced improvements occurred in the two cohorts that had been highest-risk under the legacy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Borrower Segment</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Legacy Default Rate</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Meridian Default Rate</w:t>
            </w:r>
          </w:p>
        </w:tc>
        <w:tc>
          <w:tcPr>
            <w:tcW w:type="dxa" w:w="2340"/>
            <w:tcBorders>
              <w:top w:val="single" w:color="C5D8EE" w:sz="1"/>
              <w:left w:val="single" w:color="C5D8EE" w:sz="1"/>
              <w:bottom w:val="single" w:color="C5D8EE" w:sz="1"/>
              <w:right w:val="single" w:color="C5D8EE" w:sz="1"/>
            </w:tcBorders>
            <w:shd w:fill="0D2B55" w:val="clear"/>
            <w:tcMar>
              <w:top w:type="dxa" w:w="100"/>
              <w:left w:type="dxa" w:w="100"/>
              <w:bottom w:type="dxa" w:w="100"/>
              <w:right w:type="dxa" w:w="100"/>
            </w:tcMar>
          </w:tcPr>
          <w:p>
            <w:pPr>
              <w:spacing w:after="0" w:before="0"/>
              <w:jc w:val="center"/>
            </w:pPr>
            <w:r>
              <w:rPr>
                <w:rFonts w:ascii="Arial" w:cs="Arial" w:eastAsia="Arial" w:hAnsi="Arial"/>
                <w:b/>
                <w:bCs/>
                <w:color w:val="FFFFFF"/>
                <w:sz w:val="19"/>
                <w:szCs w:val="19"/>
              </w:rPr>
              <w:t xml:space="preserve">Approval Rate Change</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Thin-file (limited credit history)</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9.1%</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5.2%</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+19%</w:t>
            </w:r>
          </w:p>
        </w:tc>
      </w:tr>
      <w:tr>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Self-employed / gig income</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8.7%</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5.0%</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+14%</w:t>
            </w:r>
          </w:p>
        </w:tc>
      </w:tr>
      <w:tr>
        <w:tc>
          <w:tcPr>
            <w:tcW w:type="dxa" w:w="2340"/>
            <w:tcBorders>
              <w:top w:val="single" w:color="C5D8EE" w:sz="1"/>
              <w:left w:val="single" w:color="C5D8EE" w:sz="1"/>
              <w:bottom w:val="single" w:color="C5D8EE" w:sz="1"/>
              <w:right w:val="single" w:color="C5D8EE" w:sz="1"/>
            </w:tcBorders>
            <w:shd w:fill="D6E8F7"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Traditional file (FICO 620-700)</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5.2%</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3.9%</w:t>
            </w:r>
          </w:p>
        </w:tc>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+4%</w:t>
            </w:r>
          </w:p>
        </w:tc>
      </w:tr>
      <w:tr>
        <w:tc>
          <w:tcPr>
            <w:tcW w:type="dxa" w:w="2340"/>
            <w:tcBorders>
              <w:top w:val="single" w:color="C5D8EE" w:sz="1"/>
              <w:left w:val="single" w:color="C5D8EE" w:sz="1"/>
              <w:bottom w:val="single" w:color="C5D8EE" w:sz="1"/>
              <w:right w:val="single" w:color="C5D8EE" w:sz="1"/>
            </w:tcBorders>
            <w:shd w:fill="EEF5FB" w:val="clear"/>
            <w:tcMar>
              <w:top w:type="dxa" w:w="90"/>
              <w:left w:type="dxa" w:w="100"/>
              <w:bottom w:type="dxa" w:w="90"/>
              <w:right w:type="dxa" w:w="100"/>
            </w:tcMar>
          </w:tcPr>
          <w:p>
            <w:pPr>
              <w:spacing w:after="0" w:before="0"/>
              <w:jc w:val="left"/>
            </w:pPr>
            <w:r>
              <w:rPr>
                <w:rFonts w:ascii="Arial" w:cs="Arial" w:eastAsia="Arial" w:hAnsi="Arial"/>
                <w:b/>
                <w:bCs/>
                <w:sz w:val="19"/>
                <w:szCs w:val="19"/>
              </w:rPr>
              <w:t xml:space="preserve">Traditional file (FICO 700+)</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1.8%</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1.4%</w:t>
            </w:r>
          </w:p>
        </w:tc>
        <w:tc>
          <w:tcPr>
            <w:tcW w:type="dxa" w:w="2340"/>
            <w:tcBorders>
              <w:top w:val="single" w:color="C5D8EE" w:sz="1"/>
              <w:left w:val="single" w:color="C5D8EE" w:sz="1"/>
              <w:bottom w:val="single" w:color="C5D8EE" w:sz="1"/>
              <w:right w:val="single" w:color="C5D8EE" w:sz="1"/>
            </w:tcBorders>
            <w:shd w:fill="F2F5F8" w:val="clear"/>
            <w:tcMar>
              <w:top w:type="dxa" w:w="90"/>
              <w:left w:type="dxa" w:w="100"/>
              <w:bottom w:type="dxa" w:w="90"/>
              <w:right w:type="dxa" w:w="100"/>
            </w:tcMar>
          </w:tcPr>
          <w:p>
            <w:pPr>
              <w:spacing w:after="0" w:before="0"/>
              <w:jc w:val="center"/>
            </w:pPr>
            <w:r>
              <w:rPr>
                <w:rFonts w:ascii="Arial" w:cs="Arial" w:eastAsia="Arial" w:hAnsi="Arial"/>
                <w:b w:val="false"/>
                <w:bCs w:val="false"/>
                <w:sz w:val="19"/>
                <w:szCs w:val="19"/>
              </w:rPr>
              <w:t xml:space="preserve">-2% (tightened)</w:t>
            </w:r>
          </w:p>
        </w:tc>
      </w:tr>
    </w:tbl>
    <w:p>
      <w:pPr>
        <w:spacing w:after="80" w:before="80"/>
      </w:pPr>
    </w:p>
    <w:p>
      <w:pPr>
        <w:pStyle w:val="Heading2"/>
        <w:pBdr>
          <w:bottom w:val="single" w:color="D6E8F7" w:sz="3" w:space="4"/>
        </w:pBdr>
        <w:spacing w:after="100" w:before="280"/>
      </w:pPr>
      <w:r>
        <w:rPr>
          <w:rFonts w:ascii="Arial" w:cs="Arial" w:eastAsia="Arial" w:hAnsi="Arial"/>
          <w:b/>
          <w:bCs/>
          <w:color w:val="1A56A0"/>
          <w:sz w:val="26"/>
          <w:szCs w:val="26"/>
        </w:rPr>
        <w:t xml:space="preserve">Operational and Compliance Outcomes</w:t>
      </w:r>
    </w:p>
    <w:p>
      <w:pPr>
        <w:pStyle w:val="ListParagraph"/>
        <w:numPr>
          <w:ilvl w:val="0"/>
          <w:numId w:val="2"/>
        </w:numPr>
        <w:spacing w:after="50" w:before="50"/>
      </w:pPr>
      <w:r>
        <w:rPr>
          <w:rFonts w:ascii="Arial" w:cs="Arial" w:eastAsia="Arial" w:hAnsi="Arial"/>
          <w:sz w:val="22"/>
          <w:szCs w:val="22"/>
        </w:rPr>
        <w:t xml:space="preserve">Zero CFPB adverse action complaints in H2 2023 related to algorithmic decisions (vs. 3 in H1 2023 under the legacy model)</w:t>
      </w:r>
    </w:p>
    <w:p>
      <w:pPr>
        <w:pStyle w:val="ListParagraph"/>
        <w:numPr>
          <w:ilvl w:val="0"/>
          <w:numId w:val="2"/>
        </w:numPr>
        <w:spacing w:after="50" w:before="50"/>
      </w:pPr>
      <w:r>
        <w:rPr>
          <w:rFonts w:ascii="Arial" w:cs="Arial" w:eastAsia="Arial" w:hAnsi="Arial"/>
          <w:sz w:val="22"/>
          <w:szCs w:val="22"/>
        </w:rPr>
        <w:t xml:space="preserve">Manual override rate of 2.7% — below the 3% target — with no identified disparate impact patterns in quarterly fair lending analysis</w:t>
      </w:r>
    </w:p>
    <w:p>
      <w:pPr>
        <w:pStyle w:val="ListParagraph"/>
        <w:numPr>
          <w:ilvl w:val="0"/>
          <w:numId w:val="2"/>
        </w:numPr>
        <w:spacing w:after="50" w:before="50"/>
      </w:pPr>
      <w:r>
        <w:rPr>
          <w:rFonts w:ascii="Arial" w:cs="Arial" w:eastAsia="Arial" w:hAnsi="Arial"/>
          <w:sz w:val="22"/>
          <w:szCs w:val="22"/>
        </w:rPr>
        <w:t xml:space="preserve">Average time-to-decision reduced from 4.2 hours to 2.1 hours, improving funnel conversion by 8%</w:t>
      </w:r>
    </w:p>
    <w:p>
      <w:pPr>
        <w:pStyle w:val="ListParagraph"/>
        <w:numPr>
          <w:ilvl w:val="0"/>
          <w:numId w:val="2"/>
        </w:numPr>
        <w:spacing w:after="50" w:before="50"/>
      </w:pPr>
      <w:r>
        <w:rPr>
          <w:rFonts w:ascii="Arial" w:cs="Arial" w:eastAsia="Arial" w:hAnsi="Arial"/>
          <w:sz w:val="22"/>
          <w:szCs w:val="22"/>
        </w:rPr>
        <w:t xml:space="preserve">Model drift monitoring triggered 4 alerts in Q4 2023, all resolved through feature recalibration within 48 hours</w:t>
      </w:r>
    </w:p>
    <w:p>
      <w:pPr>
        <w:pBdr>
          <w:bottom w:val="single" w:color="2E75B6" w:sz="6" w:space="1"/>
        </w:pBdr>
        <w:spacing w:after="200" w:before="200"/>
      </w:pPr>
    </w:p>
    <w:p>
      <w:pPr>
        <w:pStyle w:val="Heading1"/>
        <w:spacing w:after="140" w:before="360"/>
      </w:pPr>
      <w:r>
        <w:rPr>
          <w:rFonts w:ascii="Arial" w:cs="Arial" w:eastAsia="Arial" w:hAnsi="Arial"/>
          <w:b/>
          <w:bCs/>
          <w:color w:val="0D2B55"/>
          <w:sz w:val="34"/>
          <w:szCs w:val="34"/>
        </w:rPr>
        <w:t xml:space="preserve">Lessons Learned</w:t>
      </w:r>
    </w:p>
    <w:p>
      <w:pPr>
        <w:pStyle w:val="Heading2"/>
        <w:pBdr>
          <w:bottom w:val="single" w:color="D6E8F7" w:sz="3" w:space="4"/>
        </w:pBdr>
        <w:spacing w:after="100" w:before="280"/>
      </w:pPr>
      <w:r>
        <w:rPr>
          <w:rFonts w:ascii="Arial" w:cs="Arial" w:eastAsia="Arial" w:hAnsi="Arial"/>
          <w:b/>
          <w:bCs/>
          <w:color w:val="1A56A0"/>
          <w:sz w:val="26"/>
          <w:szCs w:val="26"/>
        </w:rPr>
        <w:t xml:space="preserve">What Worked Well</w:t>
      </w:r>
    </w:p>
    <w:p>
      <w:pPr>
        <w:pStyle w:val="ListParagraph"/>
        <w:numPr>
          <w:ilvl w:val="0"/>
          <w:numId w:val="2"/>
        </w:numPr>
        <w:spacing w:after="50" w:before="50"/>
      </w:pPr>
      <w:r>
        <w:rPr>
          <w:rFonts w:ascii="Arial" w:cs="Arial" w:eastAsia="Arial" w:hAnsi="Arial"/>
          <w:sz w:val="22"/>
          <w:szCs w:val="22"/>
        </w:rPr>
        <w:t xml:space="preserve">Shadow deployment was critical: </w:t>
      </w:r>
      <w:r>
        <w:rPr>
          <w:rFonts w:ascii="Arial" w:cs="Arial" w:eastAsia="Arial" w:hAnsi="Arial"/>
          <w:sz w:val="22"/>
          <w:szCs w:val="22"/>
        </w:rPr>
        <w:t xml:space="preserve">Running the new model in parallel for two months before go-live provided high-confidence validation and allowed operations teams to build familiarity before the cutover.</w:t>
      </w:r>
    </w:p>
    <w:p>
      <w:pPr>
        <w:pStyle w:val="ListParagraph"/>
        <w:numPr>
          <w:ilvl w:val="0"/>
          <w:numId w:val="2"/>
        </w:numPr>
        <w:spacing w:after="50" w:before="50"/>
      </w:pPr>
      <w:r>
        <w:rPr>
          <w:rFonts w:ascii="Arial" w:cs="Arial" w:eastAsia="Arial" w:hAnsi="Arial"/>
          <w:sz w:val="22"/>
          <w:szCs w:val="22"/>
        </w:rPr>
        <w:t xml:space="preserve">Separate model tracks: </w:t>
      </w:r>
      <w:r>
        <w:rPr>
          <w:rFonts w:ascii="Arial" w:cs="Arial" w:eastAsia="Arial" w:hAnsi="Arial"/>
          <w:sz w:val="22"/>
          <w:szCs w:val="22"/>
        </w:rPr>
        <w:t xml:space="preserve">Keeping thin-file and traditional-file models distinct avoided the common pitfall of averaging performance across structurally different populations.</w:t>
      </w:r>
    </w:p>
    <w:p>
      <w:pPr>
        <w:pStyle w:val="ListParagraph"/>
        <w:numPr>
          <w:ilvl w:val="0"/>
          <w:numId w:val="2"/>
        </w:numPr>
        <w:spacing w:after="50" w:before="50"/>
      </w:pPr>
      <w:r>
        <w:rPr>
          <w:rFonts w:ascii="Arial" w:cs="Arial" w:eastAsia="Arial" w:hAnsi="Arial"/>
          <w:sz w:val="22"/>
          <w:szCs w:val="22"/>
        </w:rPr>
        <w:t xml:space="preserve">Early compliance engagement: </w:t>
      </w:r>
      <w:r>
        <w:rPr>
          <w:rFonts w:ascii="Arial" w:cs="Arial" w:eastAsia="Arial" w:hAnsi="Arial"/>
          <w:sz w:val="22"/>
          <w:szCs w:val="22"/>
        </w:rPr>
        <w:t xml:space="preserve">Involving compliance counsel in model design (not just review) significantly reduced back-and-forth on adverse action language.</w:t>
      </w:r>
    </w:p>
    <w:p>
      <w:pPr>
        <w:pStyle w:val="Heading2"/>
        <w:pBdr>
          <w:bottom w:val="single" w:color="D6E8F7" w:sz="3" w:space="4"/>
        </w:pBdr>
        <w:spacing w:after="100" w:before="280"/>
      </w:pPr>
      <w:r>
        <w:rPr>
          <w:rFonts w:ascii="Arial" w:cs="Arial" w:eastAsia="Arial" w:hAnsi="Arial"/>
          <w:b/>
          <w:bCs/>
          <w:color w:val="1A56A0"/>
          <w:sz w:val="26"/>
          <w:szCs w:val="26"/>
        </w:rPr>
        <w:t xml:space="preserve">What We Would Do Differently</w:t>
      </w:r>
    </w:p>
    <w:p>
      <w:pPr>
        <w:pStyle w:val="ListParagraph"/>
        <w:numPr>
          <w:ilvl w:val="0"/>
          <w:numId w:val="2"/>
        </w:numPr>
        <w:spacing w:after="50" w:before="50"/>
      </w:pPr>
      <w:r>
        <w:rPr>
          <w:rFonts w:ascii="Arial" w:cs="Arial" w:eastAsia="Arial" w:hAnsi="Arial"/>
          <w:sz w:val="22"/>
          <w:szCs w:val="22"/>
        </w:rPr>
        <w:t xml:space="preserve">Stronger data vendor due diligence: </w:t>
      </w:r>
      <w:r>
        <w:rPr>
          <w:rFonts w:ascii="Arial" w:cs="Arial" w:eastAsia="Arial" w:hAnsi="Arial"/>
          <w:sz w:val="22"/>
          <w:szCs w:val="22"/>
        </w:rPr>
        <w:t xml:space="preserve">The rental bureau data quality issues could have been surfaced earlier with a more rigorous pre-integration data assessment.</w:t>
      </w:r>
    </w:p>
    <w:p>
      <w:pPr>
        <w:pStyle w:val="ListParagraph"/>
        <w:numPr>
          <w:ilvl w:val="0"/>
          <w:numId w:val="2"/>
        </w:numPr>
        <w:spacing w:after="50" w:before="50"/>
      </w:pPr>
      <w:r>
        <w:rPr>
          <w:rFonts w:ascii="Arial" w:cs="Arial" w:eastAsia="Arial" w:hAnsi="Arial"/>
          <w:sz w:val="22"/>
          <w:szCs w:val="22"/>
        </w:rPr>
        <w:t xml:space="preserve">Earlier change management: </w:t>
      </w:r>
      <w:r>
        <w:rPr>
          <w:rFonts w:ascii="Arial" w:cs="Arial" w:eastAsia="Arial" w:hAnsi="Arial"/>
          <w:sz w:val="22"/>
          <w:szCs w:val="22"/>
        </w:rPr>
        <w:t xml:space="preserve">Underwriter training started in Phase 2 but would have benefited from beginning in Phase 1, alongside model development.</w:t>
      </w:r>
    </w:p>
    <w:p>
      <w:pPr>
        <w:pStyle w:val="ListParagraph"/>
        <w:numPr>
          <w:ilvl w:val="0"/>
          <w:numId w:val="2"/>
        </w:numPr>
        <w:spacing w:after="50" w:before="50"/>
      </w:pPr>
      <w:r>
        <w:rPr>
          <w:rFonts w:ascii="Arial" w:cs="Arial" w:eastAsia="Arial" w:hAnsi="Arial"/>
          <w:sz w:val="22"/>
          <w:szCs w:val="22"/>
        </w:rPr>
        <w:t xml:space="preserve">Parallel monitoring build: </w:t>
      </w:r>
      <w:r>
        <w:rPr>
          <w:rFonts w:ascii="Arial" w:cs="Arial" w:eastAsia="Arial" w:hAnsi="Arial"/>
          <w:sz w:val="22"/>
          <w:szCs w:val="22"/>
        </w:rPr>
        <w:t xml:space="preserve">The model monitoring pipeline should be built alongside model development, not after go-live.</w:t>
      </w:r>
    </w:p>
    <w:p>
      <w:pPr>
        <w:pBdr>
          <w:bottom w:val="single" w:color="2E75B6" w:sz="6" w:space="1"/>
        </w:pBdr>
        <w:spacing w:after="200" w:before="200"/>
      </w:pPr>
    </w:p>
    <w:p>
      <w:pPr>
        <w:pStyle w:val="Heading1"/>
        <w:spacing w:after="140" w:before="360"/>
      </w:pPr>
      <w:r>
        <w:rPr>
          <w:rFonts w:ascii="Arial" w:cs="Arial" w:eastAsia="Arial" w:hAnsi="Arial"/>
          <w:b/>
          <w:bCs/>
          <w:color w:val="0D2B55"/>
          <w:sz w:val="34"/>
          <w:szCs w:val="34"/>
        </w:rPr>
        <w:t xml:space="preserve">Conclusion</w:t>
      </w:r>
    </w:p>
    <w:p>
      <w:pPr>
        <w:spacing w:after="100" w:before="60"/>
      </w:pPr>
      <w:r>
        <w:rPr>
          <w:rFonts w:ascii="Arial" w:cs="Arial" w:eastAsia="Arial" w:hAnsi="Arial"/>
          <w:sz w:val="22"/>
          <w:szCs w:val="22"/>
        </w:rPr>
        <w:t xml:space="preserve">Project Meridian demonstrates that AI-powered credit risk transformation, when executed with disciplined methodology and a strong emphasis on compliance and change management, can deliver material financial outcomes in a compressed timeframe. NLG's 34% reduction in delinquency rates and $47 million reduction in annual charge-off exposure were achieved without sacrificing loan volume — in fact, approval rates improved for the underserved segments most affected by legacy model limitations.</w:t>
      </w:r>
    </w:p>
    <w:p>
      <w:pPr>
        <w:spacing w:after="100" w:before="60"/>
      </w:pPr>
      <w:r>
        <w:rPr>
          <w:rFonts w:ascii="Arial" w:cs="Arial" w:eastAsia="Arial" w:hAnsi="Arial"/>
          <w:sz w:val="22"/>
          <w:szCs w:val="22"/>
        </w:rPr>
        <w:t xml:space="preserve">The architecture developed through this engagement now serves as NLG's platform for ongoing model iteration, with plans underway in 2024 to extend the approach to the small business lending portfolio and to incorporate real-time behavioral monitoring for early delinquency intervention.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2B55"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EEF5FB" w:val="clear"/>
            <w:tcMar>
              <w:top w:type="dxa" w:w="140"/>
              <w:left w:type="dxa" w:w="200"/>
              <w:bottom w:type="dxa" w:w="140"/>
              <w:right w:type="dxa" w:w="160"/>
            </w:tcMar>
          </w:tcPr>
          <w:p>
            <w:pPr>
              <w:spacing w:after="0" w:before="0"/>
            </w:pPr>
            <w:r>
              <w:rPr>
                <w:rFonts w:ascii="Arial" w:cs="Arial" w:eastAsia="Arial" w:hAnsi="Arial"/>
                <w:i/>
                <w:iCs/>
                <w:color w:val="0D2B55"/>
                <w:sz w:val="23"/>
                <w:szCs w:val="23"/>
              </w:rPr>
              <w:t xml:space="preserve">Project Meridian is a replicable framework for mid-market lenders seeking to modernize credit risk infrastructure. The combination of alternative data, gradient boosting models, dynamic pricing, and compliant explainability represents a defensible and regulatorily sound approach to AI-driven underwriting.</w:t>
            </w:r>
          </w:p>
        </w:tc>
      </w:tr>
    </w:tbl>
    <w:p>
      <w:pPr>
        <w:spacing w:after="80" w:before="160"/>
      </w:pPr>
    </w:p>
    <w:p>
      <w:pPr>
        <w:pBdr>
          <w:top w:val="single" w:color="C5D8EE" w:sz="3" w:space="1"/>
        </w:pBdr>
        <w:spacing w:after="40" w:before="120"/>
        <w:jc w:val="center"/>
      </w:pPr>
      <w:r>
        <w:rPr>
          <w:rFonts w:ascii="Arial" w:cs="Arial" w:eastAsia="Arial" w:hAnsi="Arial"/>
          <w:i/>
          <w:iCs/>
          <w:color w:val="595959"/>
          <w:sz w:val="18"/>
          <w:szCs w:val="18"/>
        </w:rPr>
        <w:t xml:space="preserve">This document is confidential and intended solely for the internal use of Nexus Lending Group.</w:t>
      </w:r>
    </w:p>
    <w:p>
      <w:pPr>
        <w:spacing w:after="0" w:before="0"/>
        <w:jc w:val="center"/>
      </w:pPr>
      <w:r>
        <w:rPr>
          <w:rFonts w:ascii="Arial" w:cs="Arial" w:eastAsia="Arial" w:hAnsi="Arial"/>
          <w:color w:val="595959"/>
          <w:sz w:val="18"/>
          <w:szCs w:val="18"/>
        </w:rPr>
        <w:t xml:space="preserve">Prepared by: Strategy &amp; Analytics Practice  |  Report Date: Q1 2024  |  Version: 1.2</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3" w:space="4"/>
      </w:pBdr>
      <w:tabs>
        <w:tab w:val="right" w:pos="9026"/>
      </w:tabs>
      <w:spacing w:after="0" w:before="80"/>
    </w:pPr>
    <w:r>
      <w:rPr>
        <w:rFonts w:ascii="Arial" w:cs="Arial" w:eastAsia="Arial" w:hAnsi="Arial"/>
        <w:color w:val="595959"/>
        <w:sz w:val="16"/>
        <w:szCs w:val="16"/>
      </w:rPr>
      <w:t xml:space="preserve">© 2024 Nexus Lending Group. All rights reserved.</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before="0"/>
    </w:pPr>
    <w:r>
      <w:rPr>
        <w:rFonts w:ascii="Arial" w:cs="Arial" w:eastAsia="Arial" w:hAnsi="Arial"/>
        <w:b/>
        <w:bCs/>
        <w:color w:val="2E75B6"/>
        <w:sz w:val="16"/>
        <w:szCs w:val="16"/>
      </w:rPr>
      <w:t xml:space="preserve">CASE STUDY  |  FINTECH</w:t>
    </w:r>
    <w:r>
      <w:rPr>
        <w:rFonts w:ascii="Arial" w:cs="Arial" w:eastAsia="Arial" w:hAnsi="Arial"/>
        <w:i/>
        <w:iCs/>
        <w:color w:val="595959"/>
        <w:sz w:val="16"/>
        <w:szCs w:val="16"/>
      </w:rPr>
      <w:t xml:space="preserve">	Nexus Lending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2B55"/>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6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2026-06-11T01:43:58.865Z</dcterms:created>
  <dcterms:modified xsi:type="dcterms:W3CDTF">2026-06-11T01:43:58.885Z</dcterms:modified>
</cp:coreProperties>
</file>

<file path=docProps/custom.xml><?xml version="1.0" encoding="utf-8"?>
<Properties xmlns="http://schemas.openxmlformats.org/officeDocument/2006/custom-properties" xmlns:vt="http://schemas.openxmlformats.org/officeDocument/2006/docPropsVTypes"/>
</file>