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金睛 RiskLens — 金融法律风险研判 AI 助手</w:t>
      </w:r>
    </w:p>
    <w:p>
      <w:pPr>
        <w:spacing w:after="120"/>
        <w:ind w:left="432"/>
      </w:pPr>
      <w:r>
        <w:rPr>
          <w:rFonts w:ascii="楷体" w:hAnsi="楷体" w:eastAsia="楷体"/>
          <w:b w:val="0"/>
          <w:color w:val="555555"/>
          <w:sz w:val="20"/>
        </w:rPr>
        <w:t>参赛赛道：**GOAI 2026 Boundless Agents（无界应用）· AI+金融**</w:t>
      </w:r>
    </w:p>
    <w:p>
      <w:pPr>
        <w:spacing w:after="120"/>
        <w:ind w:left="432"/>
      </w:pPr>
      <w:r>
        <w:rPr>
          <w:rFonts w:ascii="楷体" w:hAnsi="楷体" w:eastAsia="楷体"/>
          <w:b w:val="0"/>
          <w:color w:val="555555"/>
          <w:sz w:val="20"/>
        </w:rPr>
        <w:t>项目名称：**金睛 RiskLens**</w:t>
      </w:r>
    </w:p>
    <w:p>
      <w:pPr>
        <w:spacing w:after="120"/>
        <w:ind w:left="432"/>
      </w:pPr>
      <w:r>
        <w:rPr>
          <w:rFonts w:ascii="楷体" w:hAnsi="楷体" w:eastAsia="楷体"/>
          <w:b w:val="0"/>
          <w:color w:val="555555"/>
          <w:sz w:val="20"/>
        </w:rPr>
        <w:t>Demo 地址：https://ayiren.cn/legallens/</w:t>
      </w:r>
    </w:p>
    <w:p>
      <w:pPr>
        <w:spacing w:after="120"/>
        <w:ind w:left="432"/>
      </w:pPr>
      <w:r>
        <w:rPr>
          <w:rFonts w:ascii="楷体" w:hAnsi="楷体" w:eastAsia="楷体"/>
          <w:b w:val="0"/>
          <w:color w:val="555555"/>
          <w:sz w:val="20"/>
        </w:rPr>
        <w:t>源码仓库：https://github.com/A-yiren/legal-lens（私有，含提交后开公开仓库链接）</w:t>
      </w:r>
    </w:p>
    <w:p>
      <w:pPr>
        <w:spacing w:after="120"/>
      </w:pPr>
      <w:r>
        <w:rPr>
          <w:rFonts w:ascii="宋体" w:hAnsi="宋体" w:eastAsia="宋体"/>
          <w:b w:val="0"/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黑体" w:hAnsi="黑体" w:eastAsia="黑体"/>
          <w:b/>
          <w:color w:val="0C4A3E"/>
          <w:sz w:val="32"/>
        </w:rPr>
        <w:t>一、行业场景价值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金融行业 70% 以上的日常业务咨询与法律风险研判强相关。银行客户经理审核房贷/信用卡纠纷、保险公司理赔岗评估保险责任、理财经理审查理财适当性、信贷审批员判断授信风险——这些岗位每天要面对同一组问题：法条是什么、有没有类似判例、本案风险点在哪里、下一步该做什么。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但现实困境是：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**法规查询慢**：商业银行法、保险法、证券法、信托法等 41 部核心法律 + 数百个司法解释，翻查耗时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**类案检索难**：30 真实判例分散在中国裁判文书网、内部知识库、Excel 表格中，找不到过往判例就只能说"建议咨询律师"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**风险研判散**：法条 + 类案 + 客户情况需要人工拼接，错漏率与时效性都无法保证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**可溯源缺失**：大模型生成的"看似合理"答案无法标注来源，金融场景出错的代价不可承受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金睛 RiskLens</w:t>
      </w:r>
      <w:r>
        <w:rPr>
          <w:rFonts w:ascii="宋体" w:hAnsi="宋体" w:eastAsia="宋体"/>
          <w:b w:val="0"/>
          <w:sz w:val="22"/>
        </w:rPr>
        <w:t xml:space="preserve"> 把"查法条 → 找类案 → 研判风险 → 出下一步"四步串成可运行、可演示、可复用的 Agent 闭环，</w:t>
      </w:r>
      <w:r>
        <w:rPr>
          <w:rFonts w:ascii="宋体" w:hAnsi="宋体" w:eastAsia="宋体"/>
          <w:b w:val="0"/>
          <w:sz w:val="22"/>
        </w:rPr>
        <w:t>真实嵌入到银行/保险/理财/风控等岗位的日常决策流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before="240" w:after="160"/>
      </w:pPr>
      <w:r>
        <w:rPr>
          <w:rFonts w:ascii="黑体" w:hAnsi="黑体" w:eastAsia="黑体"/>
          <w:b/>
          <w:color w:val="0C4A3E"/>
          <w:sz w:val="32"/>
        </w:rPr>
        <w:t>二、Agent 能力与任务闭环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系统采用</w:t>
      </w:r>
      <w:r>
        <w:rPr>
          <w:rFonts w:ascii="宋体" w:hAnsi="宋体" w:eastAsia="宋体"/>
          <w:b w:val="0"/>
          <w:sz w:val="22"/>
        </w:rPr>
        <w:t>多 Agent 协同架构</w:t>
      </w:r>
      <w:r>
        <w:rPr>
          <w:rFonts w:ascii="宋体" w:hAnsi="宋体" w:eastAsia="宋体"/>
          <w:b w:val="0"/>
          <w:sz w:val="22"/>
        </w:rPr>
        <w:t>，不同职能 Agent 各司其职：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Agent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工具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输出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**A1 案情理解 Agent**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解析案情关键事实、识别案由、提取当事人/金额/争议焦点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LLM + 规则引擎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结构化案件画像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**A2 法规检索 Agent**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匹配适用法律、定位具体条款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RAG（BGE-small-zh-v1.5，1840 chunks）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候选法条 Top-5 + 相似度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**A3 类案匹配 Agent**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检索历史判例、计算相似度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RAG（60 真实判例 180 chunks）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相似判例 Top-3 + 引用条文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**A4 风险研判 Agent**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整合法条 + 类案 + 案情，输出研判结论与下一步建议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LLM + CoT 推理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 字段结构化报告（case_focus / legal_analysis / risks / next_steps / citations）</w:t>
            </w:r>
          </w:p>
        </w:tc>
      </w:tr>
    </w:tbl>
    <w:p/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完整任务闭环</w:t>
      </w:r>
      <w:r>
        <w:rPr>
          <w:rFonts w:ascii="宋体" w:hAnsi="宋体" w:eastAsia="宋体"/>
          <w:b w:val="0"/>
          <w:sz w:val="22"/>
        </w:rPr>
        <w:t>（覆盖大赛要求的 8 个环节）：</w:t>
      </w:r>
    </w:p>
    <w:p>
      <w:pPr>
        <w:spacing w:after="60"/>
        <w:ind w:left="288"/>
      </w:pPr>
      <w:r>
        <w:rPr>
          <w:rFonts w:ascii="宋体" w:hAnsi="宋体" w:eastAsia="宋体"/>
          <w:b w:val="0"/>
          <w:sz w:val="22"/>
        </w:rPr>
        <w:t>1. **任务输入**：用户在"案件分析"页粘贴案情描述</w:t>
      </w:r>
    </w:p>
    <w:p>
      <w:pPr>
        <w:spacing w:after="60"/>
        <w:ind w:left="288"/>
      </w:pPr>
      <w:r>
        <w:rPr>
          <w:rFonts w:ascii="宋体" w:hAnsi="宋体" w:eastAsia="宋体"/>
          <w:b w:val="0"/>
          <w:sz w:val="22"/>
        </w:rPr>
        <w:t>2. **任务拆解**：A1 拆出案由、金额、当事人、争议焦点</w:t>
      </w:r>
    </w:p>
    <w:p>
      <w:pPr>
        <w:spacing w:after="60"/>
        <w:ind w:left="288"/>
      </w:pPr>
      <w:r>
        <w:rPr>
          <w:rFonts w:ascii="宋体" w:hAnsi="宋体" w:eastAsia="宋体"/>
          <w:b w:val="0"/>
          <w:sz w:val="22"/>
        </w:rPr>
        <w:t>3. **上下文传递**：A1 结果 → A2 → A3 → A4，每步压缩关键事实</w:t>
      </w:r>
    </w:p>
    <w:p>
      <w:pPr>
        <w:spacing w:after="60"/>
        <w:ind w:left="288"/>
      </w:pPr>
      <w:r>
        <w:rPr>
          <w:rFonts w:ascii="宋体" w:hAnsi="宋体" w:eastAsia="宋体"/>
          <w:b w:val="0"/>
          <w:sz w:val="22"/>
        </w:rPr>
        <w:t>4. **工具调用**：A2/A3 调 RAG，A4 调 LLM（MiniMax-Text-01），合同审查走规则引擎</w:t>
      </w:r>
    </w:p>
    <w:p>
      <w:pPr>
        <w:spacing w:after="60"/>
        <w:ind w:left="288"/>
      </w:pPr>
      <w:r>
        <w:rPr>
          <w:rFonts w:ascii="宋体" w:hAnsi="宋体" w:eastAsia="宋体"/>
          <w:b w:val="0"/>
          <w:sz w:val="22"/>
        </w:rPr>
        <w:t>5. **结果验证**：每条结论自动引用对应法条/判例（`citations` 字段）</w:t>
      </w:r>
    </w:p>
    <w:p>
      <w:pPr>
        <w:spacing w:after="60"/>
        <w:ind w:left="288"/>
      </w:pPr>
      <w:r>
        <w:rPr>
          <w:rFonts w:ascii="宋体" w:hAnsi="宋体" w:eastAsia="宋体"/>
          <w:b w:val="0"/>
          <w:sz w:val="22"/>
        </w:rPr>
        <w:t>6. **执行证据沉淀**：分析结果落到 SQLite + 入参到案件库（用户可追溯）</w:t>
      </w:r>
    </w:p>
    <w:p>
      <w:pPr>
        <w:spacing w:after="60"/>
        <w:ind w:left="288"/>
      </w:pPr>
      <w:r>
        <w:rPr>
          <w:rFonts w:ascii="宋体" w:hAnsi="宋体" w:eastAsia="宋体"/>
          <w:b w:val="0"/>
          <w:sz w:val="22"/>
        </w:rPr>
        <w:t>7. **审批与回滚**：用户在案件库可编辑/删除案件，PUT/DELETE 端点直接生效</w:t>
      </w:r>
    </w:p>
    <w:p>
      <w:pPr>
        <w:spacing w:after="60"/>
        <w:ind w:left="288"/>
      </w:pPr>
      <w:r>
        <w:rPr>
          <w:rFonts w:ascii="宋体" w:hAnsi="宋体" w:eastAsia="宋体"/>
          <w:b w:val="0"/>
          <w:sz w:val="22"/>
        </w:rPr>
        <w:t>8. **经验沉淀**：用户新建案件可基于历史分析模板快速复用</w:t>
      </w:r>
    </w:p>
    <w:p>
      <w:pPr>
        <w:spacing w:before="240" w:after="160"/>
      </w:pPr>
      <w:r>
        <w:rPr>
          <w:rFonts w:ascii="黑体" w:hAnsi="黑体" w:eastAsia="黑体"/>
          <w:b/>
          <w:color w:val="0C4A3E"/>
          <w:sz w:val="32"/>
        </w:rPr>
        <w:t>三、产品体验与 Demo 完成度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已上线公共 Demo</w:t>
      </w:r>
      <w:r>
        <w:rPr>
          <w:rFonts w:ascii="宋体" w:hAnsi="宋体" w:eastAsia="宋体"/>
          <w:b w:val="0"/>
          <w:sz w:val="22"/>
        </w:rPr>
        <w:t>：https://ayiren.cn/legallens/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5 大核心页面，4 Agent 流程一气呵成：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**工作台**：统计卡片 + 知识库最近文档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**AI 分析**：案情输入 → 一键生成结构化分析报告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**知识库**：法律 vs 案例 双 tab 分类检索（1840 法规 / 60 判例）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**类案检索**：自然语言描述案情 → Top-3 相似判例（含案号、法院、判决日期）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**案件库**：CRUD 完整，自动保存分析结果，可按案号/客户/状态筛选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端到端验证 9/9 通过</w:t>
      </w:r>
      <w:r>
        <w:rPr>
          <w:rFonts w:ascii="宋体" w:hAnsi="宋体" w:eastAsia="宋体"/>
          <w:b w:val="0"/>
          <w:sz w:val="22"/>
        </w:rPr>
        <w:t>（2026-08-13 实测）：健康检查、6 项 REST CRUD、4 Agent 流程、3 类金融场景检索命中、引用溯源显示、登录注册、跨页面状态。</w:t>
      </w:r>
    </w:p>
    <w:p>
      <w:pPr>
        <w:spacing w:before="240" w:after="160"/>
      </w:pPr>
      <w:r>
        <w:rPr>
          <w:rFonts w:ascii="黑体" w:hAnsi="黑体" w:eastAsia="黑体"/>
          <w:b/>
          <w:color w:val="0C4A3E"/>
          <w:sz w:val="32"/>
        </w:rPr>
        <w:t>四、技术实现深度与工程可复现性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技术栈</w:t>
      </w:r>
      <w:r>
        <w:rPr>
          <w:rFonts w:ascii="宋体" w:hAnsi="宋体" w:eastAsia="宋体"/>
          <w:b w:val="0"/>
          <w:sz w:val="22"/>
        </w:rPr>
        <w:t>（全部开源可复现）：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后端：Python 3.12 + FastAPI 0.115 + SQLAlchemy + Pydantic v2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向量库：Qdrant（embedded local mode，单进程部署）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Embedding：BAAI/bge-small-zh-v1.5（512 维，本地推理）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LLM：MiniMax-Text-01（OpenAI 兼容接口）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前端：原生 HTML + Tailwind CDN + Font Awesome（无构建步骤）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核心数据资产</w:t>
      </w:r>
      <w:r>
        <w:rPr>
          <w:rFonts w:ascii="宋体" w:hAnsi="宋体" w:eastAsia="宋体"/>
          <w:b w:val="0"/>
          <w:sz w:val="22"/>
        </w:rPr>
        <w:t>（41 部法规 + 60 判例 全部公开可下载）：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**41 部法律**：26 部通用（民法典/刑法/民诉/刑诉/公司法/劳动法/知识产权/消费者保护）+ **15 部金融核心**（商业银行法/证券法/期货和衍生品法/证券投资基金法/信托法/反洗钱法/票据法/个人金融信息保护试行办法/征信业管理条例/商业银行理财业务监督管理办法/外汇管理条例/银行业监督管理法/存款保险条例/银行卡业务管理办法/民间借贷司法解释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**60 真实判例**：30 法律 + **30 金融**（金融借款/信用卡盗刷/内幕交易/保险代位/期货强行平仓/票据追索/融资租赁/征信/私募基金等）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工程亮点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**双 RAG 隔离**：法规 vs 案例走两个 Qdrant collection + 独立 payload `category` 字段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**检索增强溯源**：每个法条/判例都带 `citations` 字段链接回原文片段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**可观测**：所有检索返回 score + chunk_id，调试可追溯</w:t>
      </w:r>
    </w:p>
    <w:p>
      <w:pPr>
        <w:spacing w:before="240" w:after="160"/>
      </w:pPr>
      <w:r>
        <w:rPr>
          <w:rFonts w:ascii="黑体" w:hAnsi="黑体" w:eastAsia="黑体"/>
          <w:b/>
          <w:color w:val="0C4A3E"/>
          <w:sz w:val="32"/>
        </w:rPr>
        <w:t>五、安全、合规与开放复用价值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数据合规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全本地部署，案件数据不出企业内网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用户认证复用 aipath JWT，账号隔离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案件库 CRUD 强制带 user_id 过滤（多租户隔离）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行业应用边界</w:t>
      </w:r>
      <w:r>
        <w:rPr>
          <w:rFonts w:ascii="宋体" w:hAnsi="宋体" w:eastAsia="宋体"/>
          <w:b w:val="0"/>
          <w:sz w:val="22"/>
        </w:rPr>
        <w:t>（明确写入 UI）：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不替代律师/合规官/法官的最终决策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输出含"建议咨询专业人士"提示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金融风险研判**仅作为辅助参考**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开源价值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核心代码可开源（MIT）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41 部法规 + 60 判例种子可复用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部署文档完整（5 分钟起服务）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二次开发友好：所有数据 schema 公开，API 文档自动生成</w:t>
      </w:r>
    </w:p>
    <w:p>
      <w:pPr>
        <w:spacing w:after="120"/>
      </w:pPr>
      <w:r>
        <w:rPr>
          <w:rFonts w:ascii="宋体" w:hAnsi="宋体" w:eastAsia="宋体"/>
          <w:b w:val="0"/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黑体" w:hAnsi="黑体" w:eastAsia="黑体"/>
          <w:b/>
          <w:color w:val="0C4A3E"/>
          <w:sz w:val="32"/>
        </w:rPr>
        <w:t>总结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金睛 RiskLens</w:t>
      </w:r>
      <w:r>
        <w:rPr>
          <w:rFonts w:ascii="宋体" w:hAnsi="宋体" w:eastAsia="宋体"/>
          <w:b w:val="0"/>
          <w:sz w:val="22"/>
        </w:rPr>
        <w:t xml:space="preserve"> 不是聊天机器人，不是内容生成器，</w:t>
      </w:r>
      <w:r>
        <w:rPr>
          <w:rFonts w:ascii="宋体" w:hAnsi="宋体" w:eastAsia="宋体"/>
          <w:b w:val="0"/>
          <w:sz w:val="22"/>
        </w:rPr>
        <w:t>而是一个能真正进入金融岗位决策流的智能体应用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✅ 行业场景明确：金融法律风险研判（资料理解、规则匹配、风险提示、投研整理、流程辅助）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✅ 任务闭环完整：8 个环节全部跑通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✅ Demo 可访问：https://ayiren.cn/legallens/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✅ 技术可复现：纯开源栈 + 公开数据集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✅ 合规可上线：本地部署 + 明确应用边界</w:t>
      </w:r>
    </w:p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对应大赛评审 5 维度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评审维度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交付物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行业场景价值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 部法律 + 60 判例 + 3 类核心金融场景（银行/保险/理财）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Agent 能力与任务闭环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Agent 协同 + 8 环节闭环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产品体验与 Demo 完成度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 页面 + 公共可访问 + 9/9 端到端测试通过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技术实现深度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 双 collection + 引用溯源 + 可观测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安全合规与开放复用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本地部署 + MIT 协议 + 明确应用边界</w:t>
            </w:r>
          </w:p>
        </w:tc>
      </w:tr>
    </w:tbl>
    <w:p/>
    <w:p>
      <w:pPr>
        <w:spacing w:after="120"/>
        <w:ind w:firstLine="432"/>
      </w:pPr>
      <w:r>
        <w:rPr>
          <w:rFonts w:ascii="宋体" w:hAnsi="宋体" w:eastAsia="宋体"/>
          <w:b w:val="0"/>
          <w:sz w:val="22"/>
        </w:rPr>
        <w:t>一句话总结</w:t>
      </w:r>
      <w:r>
        <w:rPr>
          <w:rFonts w:ascii="宋体" w:hAnsi="宋体" w:eastAsia="宋体"/>
          <w:b w:val="0"/>
          <w:sz w:val="22"/>
        </w:rPr>
        <w:t>：金睛 RiskLens 是一款面向 AI+金融方向的智能体应用，通过 4 Agent 协同实现"查法条→找类案→研判风险→出方案"的任务闭环，让金融岗位的每一个决策都扎根于真实法律条文与可追溯判例。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