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/>
          <w:color w:val="0C4A3E"/>
          <w:sz w:val="64"/>
        </w:rPr>
        <w:t>律瞳 LegalLens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8"/>
        </w:rPr>
        <w:t>—— 律师专属的 AI 案件分析平台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4"/>
        </w:rPr>
        <w:t>—— AI Case Analysis Platform Built for Lawyers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2"/>
        </w:rPr>
        <w:t>产品介绍 / Product Overview</w:t>
      </w:r>
    </w:p>
    <w:p>
      <w:r>
        <w:br w:type="page"/>
      </w: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0C4A3E"/>
          <w:sz w:val="40"/>
        </w:rPr>
        <w:t>律瞳 LegalLens</w:t>
      </w: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0A3D33"/>
          <w:sz w:val="30"/>
        </w:rPr>
        <w:t>—— 律师专属的 AI 案件分析平台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0"/>
        </w:rPr>
        <w:t>让每一条法律意见，都有可追溯的引证；让每一次分析，都经多视角交叉校验。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0A3D33"/>
          <w:sz w:val="30"/>
        </w:rPr>
        <w:t>一、产品定位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法律工作者每天面对浩如烟海的法律法规、司法解释和类案判例。传统检索方式耗时费力，通用大模型又容易"编造"法条。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律瞳 LegalLens</w:t>
      </w:r>
      <w:r>
        <w:rPr>
          <w:rFonts w:ascii="Microsoft YaHei" w:hAnsi="Microsoft YaHei" w:eastAsia="Microsoft YaHei"/>
          <w:sz w:val="22"/>
        </w:rPr>
        <w:t xml:space="preserve"> 是一款面向律师的 AI 辅助分析平台。我们不训练任何模型，而是把"检索"做到极致——以</w:t>
      </w:r>
      <w:r>
        <w:rPr>
          <w:rFonts w:ascii="Microsoft YaHei" w:hAnsi="Microsoft YaHei" w:eastAsia="Microsoft YaHei"/>
          <w:b/>
          <w:sz w:val="22"/>
        </w:rPr>
        <w:t>中国现行法律法规</w:t>
      </w:r>
      <w:r>
        <w:rPr>
          <w:rFonts w:ascii="Microsoft YaHei" w:hAnsi="Microsoft YaHei" w:eastAsia="Microsoft YaHei"/>
          <w:sz w:val="22"/>
        </w:rPr>
        <w:t>和</w:t>
      </w:r>
      <w:r>
        <w:rPr>
          <w:rFonts w:ascii="Microsoft YaHei" w:hAnsi="Microsoft YaHei" w:eastAsia="Microsoft YaHei"/>
          <w:b/>
          <w:sz w:val="22"/>
        </w:rPr>
        <w:t>真实司法判例</w:t>
      </w:r>
      <w:r>
        <w:rPr>
          <w:rFonts w:ascii="Microsoft YaHei" w:hAnsi="Microsoft YaHei" w:eastAsia="Microsoft YaHei"/>
          <w:sz w:val="22"/>
        </w:rPr>
        <w:t>为底座，以</w:t>
      </w:r>
      <w:r>
        <w:rPr>
          <w:rFonts w:ascii="Microsoft YaHei" w:hAnsi="Microsoft YaHei" w:eastAsia="Microsoft YaHei"/>
          <w:b/>
          <w:sz w:val="22"/>
        </w:rPr>
        <w:t>多 Agent 协同校验</w:t>
      </w:r>
      <w:r>
        <w:rPr>
          <w:rFonts w:ascii="Microsoft YaHei" w:hAnsi="Microsoft YaHei" w:eastAsia="Microsoft YaHei"/>
          <w:sz w:val="22"/>
        </w:rPr>
        <w:t>为核心，让 AI 输出的每一条法律意见都有据可查、有源可溯。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核心理念：可追溯、可验证、可用但不滥用。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0A3D33"/>
          <w:sz w:val="30"/>
        </w:rPr>
        <w:t>二、四大核心能力</w:t>
      </w: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1. 案情智能分析 — 4 Agent 协同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 xml:space="preserve">律师输入一段案情描述，律瞳会启动 </w:t>
      </w:r>
      <w:r>
        <w:rPr>
          <w:rFonts w:ascii="Microsoft YaHei" w:hAnsi="Microsoft YaHei" w:eastAsia="Microsoft YaHei"/>
          <w:b/>
          <w:sz w:val="22"/>
        </w:rPr>
        <w:t>4 个独立 AI Agent 协同工作</w:t>
      </w:r>
      <w:r>
        <w:rPr>
          <w:rFonts w:ascii="Microsoft YaHei" w:hAnsi="Microsoft YaHei" w:eastAsia="Microsoft YaHei"/>
          <w:sz w:val="22"/>
        </w:rPr>
        <w:t>，而不是单次调用大模型：</w:t>
      </w:r>
    </w:p>
    <w:p>
      <w:pPr>
        <w:spacing w:before="120" w:after="120" w:line="288" w:lineRule="auto"/>
        <w:ind w:left="283"/>
        <w:shd w:val="clear" w:color="auto" w:fill="F5F5F4"/>
        <w:pBdr>
          <w:top w:val="single" w:sz="4" w:color="D6D3D1"/>
          <w:left w:val="single" w:sz="4" w:color="D6D3D1"/>
          <w:bottom w:val="single" w:sz="4" w:color="D6D3D1"/>
          <w:right w:val="single" w:sz="4" w:color="D6D3D1"/>
        </w:pBdr>
      </w:pPr>
      <w:r>
        <w:rPr>
          <w:rFonts w:ascii="Consolas" w:hAnsi="Consolas" w:eastAsia="SimSun"/>
          <w:sz w:val="18"/>
        </w:rPr>
        <w:t>案情输入</w:t>
      </w:r>
      <w:r>
        <w:br/>
      </w:r>
      <w:r>
        <w:rPr>
          <w:rFonts w:ascii="Consolas" w:hAnsi="Consolas" w:eastAsia="SimSun"/>
          <w:sz w:val="18"/>
        </w:rPr>
        <w:t xml:space="preserve">   ↓</w:t>
      </w:r>
      <w:r>
        <w:br/>
      </w:r>
      <w:r>
        <w:rPr>
          <w:rFonts w:ascii="Consolas" w:hAnsi="Consolas" w:eastAsia="SimSun"/>
          <w:sz w:val="18"/>
        </w:rPr>
        <w:t>【A1 焦点识别】识别法律关系、争议焦点、关键事实</w:t>
      </w:r>
      <w:r>
        <w:br/>
      </w:r>
      <w:r>
        <w:rPr>
          <w:rFonts w:ascii="Consolas" w:hAnsi="Consolas" w:eastAsia="SimSun"/>
          <w:sz w:val="18"/>
        </w:rPr>
        <w:t>【A4 风险评估】与 A1 并行：评估潜在法律风险</w:t>
      </w:r>
      <w:r>
        <w:br/>
      </w:r>
      <w:r>
        <w:rPr>
          <w:rFonts w:ascii="Consolas" w:hAnsi="Consolas" w:eastAsia="SimSun"/>
          <w:sz w:val="18"/>
        </w:rPr>
        <w:t xml:space="preserve">   ↓</w:t>
      </w:r>
      <w:r>
        <w:br/>
      </w:r>
      <w:r>
        <w:rPr>
          <w:rFonts w:ascii="Consolas" w:hAnsi="Consolas" w:eastAsia="SimSun"/>
          <w:sz w:val="18"/>
        </w:rPr>
        <w:t>【A2 法律分析】基于 A1 焦点 + 检索到的真实法条，输出结构化分析</w:t>
      </w:r>
      <w:r>
        <w:br/>
      </w:r>
      <w:r>
        <w:rPr>
          <w:rFonts w:ascii="Consolas" w:hAnsi="Consolas" w:eastAsia="SimSun"/>
          <w:sz w:val="18"/>
        </w:rPr>
        <w:t xml:space="preserve">   ↓</w:t>
      </w:r>
      <w:r>
        <w:br/>
      </w:r>
      <w:r>
        <w:rPr>
          <w:rFonts w:ascii="Consolas" w:hAnsi="Consolas" w:eastAsia="SimSun"/>
          <w:sz w:val="18"/>
        </w:rPr>
        <w:t>【A3 引用核验 ⭐】逐字核对每一条 [n] 引用是否真在召回文档中</w:t>
      </w:r>
      <w:r>
        <w:br/>
      </w:r>
      <w:r>
        <w:rPr>
          <w:rFonts w:ascii="Consolas" w:hAnsi="Consolas" w:eastAsia="SimSun"/>
          <w:sz w:val="18"/>
        </w:rPr>
        <w:t xml:space="preserve">   ↓</w:t>
      </w:r>
      <w:r>
        <w:br/>
      </w:r>
      <w:r>
        <w:rPr>
          <w:rFonts w:ascii="Consolas" w:hAnsi="Consolas" w:eastAsia="SimSun"/>
          <w:sz w:val="18"/>
        </w:rPr>
        <w:t>整合输出：过滤幻觉引用 · 重新编号 · 补全官方源 · 重算置信度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4 Agent 协同的核心价值</w:t>
      </w:r>
      <w:r>
        <w:rPr>
          <w:rFonts w:ascii="Microsoft YaHei" w:hAnsi="Microsoft YaHei" w:eastAsia="Microsoft YaHei"/>
          <w:sz w:val="22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传统单次 LLM 调用</w:t>
            </w:r>
          </w:p>
        </w:tc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律瞳 4 Agent 协同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一次生成所有内容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 个 Agent 分工 + 互相校验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法条可能编造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A3 专门核验，幻觉引用被剔除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风险评估靠模型"自觉"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A4 独立运行，专门扫描风险点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输出一锤定音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输出前先整合、去重、补元数据</w:t>
            </w:r>
          </w:p>
        </w:tc>
      </w:tr>
    </w:tbl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输出形式</w:t>
      </w:r>
      <w:r>
        <w:rPr>
          <w:rFonts w:ascii="Microsoft YaHei" w:hAnsi="Microsoft YaHei" w:eastAsia="Microsoft YaHei"/>
          <w:sz w:val="22"/>
        </w:rPr>
        <w:t>：每条观点都带 `[1] 民法典 第一千二百二十九条` 这样的引用编号，点开即跳到官方法律法规库原文。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2. 类案检索 — 8 大领域 30 个真实判例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律师在办案时，最常问的是"这种案子，以前法院怎么判？"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 xml:space="preserve">律瞳从 </w:t>
      </w:r>
      <w:r>
        <w:rPr>
          <w:rFonts w:ascii="Microsoft YaHei" w:hAnsi="Microsoft YaHei" w:eastAsia="Microsoft YaHei"/>
          <w:b/>
          <w:sz w:val="22"/>
        </w:rPr>
        <w:t>30 个真实案号格式判例</w:t>
      </w:r>
      <w:r>
        <w:rPr>
          <w:rFonts w:ascii="Microsoft YaHei" w:hAnsi="Microsoft YaHei" w:eastAsia="Microsoft YaHei"/>
          <w:sz w:val="22"/>
        </w:rPr>
        <w:t>中检索最相似的案件，覆盖 8 大领域：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典型判例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消费者维权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网购纠纷 7 日无理由退货、跨境电商质量纠纷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劳动纠纷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违法解除 2N 赔偿、竞业限制补偿、平台用工工伤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婚姻家庭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离婚房产分割、同居财产纠纷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公司治理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小股东关联交易、股权转让对赌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知识产权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软件著作权侵权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刑事案件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刷单诈骗、黑客入侵、商业秘密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交通事故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误工费与保险拒赔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其他民事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借款、居间、物业、医疗、高空抛物等</w:t>
            </w:r>
          </w:p>
        </w:tc>
      </w:tr>
    </w:tbl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每个判例均标注</w:t>
      </w:r>
      <w:r>
        <w:rPr>
          <w:rFonts w:ascii="Microsoft YaHei" w:hAnsi="Microsoft YaHei" w:eastAsia="Microsoft YaHei"/>
          <w:sz w:val="22"/>
        </w:rPr>
        <w:t>：案号 · 法院 · 案由 · 引用法条 · 案件焦点 · 判决结果。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支持按案由、法院级别筛选</w:t>
      </w:r>
      <w:r>
        <w:rPr>
          <w:rFonts w:ascii="Microsoft YaHei" w:hAnsi="Microsoft YaHei" w:eastAsia="Microsoft YaHei"/>
          <w:sz w:val="22"/>
        </w:rPr>
        <w:t>，让检索更精准。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3. 合同审查 — 规则引擎 + AI 综合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律师在审一份合同时，律瞳能做三件事：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(1) 规则引擎扫描</w:t>
      </w:r>
      <w:r>
        <w:rPr>
          <w:rFonts w:ascii="Microsoft YaHei" w:hAnsi="Microsoft YaHei" w:eastAsia="Microsoft YaHei"/>
          <w:sz w:val="22"/>
        </w:rPr>
        <w:t>（10+ 高风险模式） - 违约金过高（&gt;30% 标的） - 单方解除不对等 - 显失公平条款 - 管辖约定不利 - 知识产权归属不明 - 未约定争议解决 - 等等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(2) 必备条款检查</w:t>
      </w:r>
      <w:r>
        <w:rPr>
          <w:rFonts w:ascii="Microsoft YaHei" w:hAnsi="Microsoft YaHei" w:eastAsia="Microsoft YaHei"/>
          <w:sz w:val="22"/>
        </w:rPr>
        <w:t>（5 类合同模板） - 劳动合同、买卖合同、租赁合同、服务合同、综合合同 - 每类合同都有一套"必备条款"清单 - 自动标出"缺失条款"并给出建议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(3) AI 综合分析</w:t>
      </w:r>
      <w:r>
        <w:rPr>
          <w:rFonts w:ascii="Microsoft YaHei" w:hAnsi="Microsoft YaHei" w:eastAsia="Microsoft YaHei"/>
          <w:sz w:val="22"/>
        </w:rPr>
        <w:t xml:space="preserve"> - 整体评价：合同对哪方更有利 - 重点关注条款：哪几条最值得修改 - 建议修改：当前条款 vs 建议条款对照 - 潜在风险：3 个最需要警惕的风险点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输出形式</w:t>
      </w:r>
      <w:r>
        <w:rPr>
          <w:rFonts w:ascii="Microsoft YaHei" w:hAnsi="Microsoft YaHei" w:eastAsia="Microsoft YaHei"/>
          <w:sz w:val="22"/>
        </w:rPr>
        <w:t>：高/中/低风险等级 + 5 大模块完整报告。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4. 法律知识库 — 26 部现行法律全覆盖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律瞳内置 26 部中国现行法律的完整内容，每部法律都附带：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 xml:space="preserve">- ✅ </w:t>
      </w:r>
      <w:r>
        <w:rPr>
          <w:rFonts w:ascii="Microsoft YaHei" w:hAnsi="Microsoft YaHei" w:eastAsia="Microsoft YaHei"/>
          <w:b/>
          <w:sz w:val="22"/>
        </w:rPr>
        <w:t>官方源 URL</w:t>
      </w:r>
      <w:r>
        <w:rPr>
          <w:rFonts w:ascii="Microsoft YaHei" w:hAnsi="Microsoft YaHei" w:eastAsia="Microsoft YaHei"/>
          <w:sz w:val="22"/>
        </w:rPr>
        <w:t xml:space="preserve">（如国家法律法规数据库 flk.npc.gov.cn） - ✅ </w:t>
      </w:r>
      <w:r>
        <w:rPr>
          <w:rFonts w:ascii="Microsoft YaHei" w:hAnsi="Microsoft YaHei" w:eastAsia="Microsoft YaHei"/>
          <w:b/>
          <w:sz w:val="22"/>
        </w:rPr>
        <w:t>发布机关</w:t>
      </w:r>
      <w:r>
        <w:rPr>
          <w:rFonts w:ascii="Microsoft YaHei" w:hAnsi="Microsoft YaHei" w:eastAsia="Microsoft YaHei"/>
          <w:sz w:val="22"/>
        </w:rPr>
        <w:t xml:space="preserve">（全国人大常委会、国务院等） - ✅ </w:t>
      </w:r>
      <w:r>
        <w:rPr>
          <w:rFonts w:ascii="Microsoft YaHei" w:hAnsi="Microsoft YaHei" w:eastAsia="Microsoft YaHei"/>
          <w:b/>
          <w:sz w:val="22"/>
        </w:rPr>
        <w:t>施行日期</w:t>
      </w:r>
      <w:r>
        <w:rPr>
          <w:rFonts w:ascii="Microsoft YaHei" w:hAnsi="Microsoft YaHei" w:eastAsia="Microsoft YaHei"/>
          <w:sz w:val="22"/>
        </w:rPr>
        <w:t>与</w:t>
      </w:r>
      <w:r>
        <w:rPr>
          <w:rFonts w:ascii="Microsoft YaHei" w:hAnsi="Microsoft YaHei" w:eastAsia="Microsoft YaHei"/>
          <w:b/>
          <w:sz w:val="22"/>
        </w:rPr>
        <w:t>当前状态</w:t>
      </w:r>
      <w:r>
        <w:rPr>
          <w:rFonts w:ascii="Microsoft YaHei" w:hAnsi="Microsoft YaHei" w:eastAsia="Microsoft YaHei"/>
          <w:sz w:val="22"/>
        </w:rPr>
        <w:t xml:space="preserve">（现行/已修订/废止） - ✅ </w:t>
      </w:r>
      <w:r>
        <w:rPr>
          <w:rFonts w:ascii="Microsoft YaHei" w:hAnsi="Microsoft YaHei" w:eastAsia="Microsoft YaHei"/>
          <w:b/>
          <w:sz w:val="22"/>
        </w:rPr>
        <w:t>完整条款</w:t>
      </w:r>
      <w:r>
        <w:rPr>
          <w:rFonts w:ascii="Microsoft YaHei" w:hAnsi="Microsoft YaHei" w:eastAsia="Microsoft YaHei"/>
          <w:sz w:val="22"/>
        </w:rPr>
        <w:t>（按章节逐条呈现）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律师可以</w:t>
      </w:r>
      <w:r>
        <w:rPr>
          <w:rFonts w:ascii="Microsoft YaHei" w:hAnsi="Microsoft YaHei" w:eastAsia="Microsoft YaHei"/>
          <w:b/>
          <w:sz w:val="22"/>
        </w:rPr>
        <w:t>像用工具书一样检索、预览、跳转</w:t>
      </w:r>
      <w:r>
        <w:rPr>
          <w:rFonts w:ascii="Microsoft YaHei" w:hAnsi="Microsoft YaHei" w:eastAsia="Microsoft YaHei"/>
          <w:sz w:val="22"/>
        </w:rPr>
        <w:t>到原文，避免 AI 转述可能带来的偏差。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0A3D33"/>
          <w:sz w:val="30"/>
        </w:rPr>
        <w:t>三、典型应用场景</w:t>
      </w: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场景 1：律师快速了解案件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0"/>
        </w:rPr>
        <w:t>**律师李律**新接手一个"公司单方面解除劳动合同"案件，她需要在 30 分钟内初步判断胜诉可能性。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操作</w:t>
      </w:r>
      <w:r>
        <w:rPr>
          <w:rFonts w:ascii="Microsoft YaHei" w:hAnsi="Microsoft YaHei" w:eastAsia="Microsoft YaHei"/>
          <w:sz w:val="22"/>
        </w:rPr>
        <w:t>：在"AI 分析"输入案情，律瞳 4 Agent 协同分析，约 60-90 秒后输出：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输出节选</w:t>
      </w:r>
      <w:r>
        <w:rPr>
          <w:rFonts w:ascii="Microsoft YaHei" w:hAnsi="Microsoft YaHei" w:eastAsia="Microsoft YaHei"/>
          <w:sz w:val="22"/>
        </w:rPr>
        <w:t xml:space="preserve">： - </w:t>
      </w:r>
      <w:r>
        <w:rPr>
          <w:rFonts w:ascii="Microsoft YaHei" w:hAnsi="Microsoft YaHei" w:eastAsia="Microsoft YaHei"/>
          <w:b/>
          <w:sz w:val="22"/>
        </w:rPr>
        <w:t>A1 焦点</w:t>
      </w:r>
      <w:r>
        <w:rPr>
          <w:rFonts w:ascii="Microsoft YaHei" w:hAnsi="Microsoft YaHei" w:eastAsia="Microsoft YaHei"/>
          <w:sz w:val="22"/>
        </w:rPr>
        <w:t xml:space="preserve">：本案核心争议为"用人单位单方解除是否符合客观情况发生重大变化"以及"违法解除赔偿金计算" - </w:t>
      </w:r>
      <w:r>
        <w:rPr>
          <w:rFonts w:ascii="Microsoft YaHei" w:hAnsi="Microsoft YaHei" w:eastAsia="Microsoft YaHei"/>
          <w:b/>
          <w:sz w:val="22"/>
        </w:rPr>
        <w:t>A2 分析</w:t>
      </w:r>
      <w:r>
        <w:rPr>
          <w:rFonts w:ascii="Microsoft YaHei" w:hAnsi="Microsoft YaHei" w:eastAsia="Microsoft YaHei"/>
          <w:sz w:val="22"/>
        </w:rPr>
        <w:t>（带 [n] 引用）： - 用人单位主张"组织架构调整"属客观情况发生重大变化，依据《劳动合同法》第四十条第三项，</w:t>
      </w:r>
      <w:r>
        <w:rPr>
          <w:rFonts w:ascii="Microsoft YaHei" w:hAnsi="Microsoft YaHei" w:eastAsia="Microsoft YaHei"/>
          <w:b/>
          <w:sz w:val="22"/>
        </w:rPr>
        <w:t>应提前三十日书面通知或额外支付一个月工资</w:t>
      </w:r>
      <w:r>
        <w:rPr>
          <w:rFonts w:ascii="Microsoft YaHei" w:hAnsi="Microsoft YaHei" w:eastAsia="Microsoft YaHei"/>
          <w:sz w:val="22"/>
        </w:rPr>
        <w:t xml:space="preserve"> [1] - 公司未履行上述程序，构成违法解除，依据《劳动合同法》第八十七条，应支付 </w:t>
      </w:r>
      <w:r>
        <w:rPr>
          <w:rFonts w:ascii="Microsoft YaHei" w:hAnsi="Microsoft YaHei" w:eastAsia="Microsoft YaHei"/>
          <w:b/>
          <w:sz w:val="22"/>
        </w:rPr>
        <w:t>2N 赔偿金</w:t>
      </w:r>
      <w:r>
        <w:rPr>
          <w:rFonts w:ascii="Microsoft YaHei" w:hAnsi="Microsoft YaHei" w:eastAsia="Microsoft YaHei"/>
          <w:sz w:val="22"/>
        </w:rPr>
        <w:t xml:space="preserve"> [2] - 劳动者工作年限每满一年支付一个月工资 [3] - </w:t>
      </w:r>
      <w:r>
        <w:rPr>
          <w:rFonts w:ascii="Microsoft YaHei" w:hAnsi="Microsoft YaHei" w:eastAsia="Microsoft YaHei"/>
          <w:b/>
          <w:sz w:val="22"/>
        </w:rPr>
        <w:t>A4 风险</w:t>
      </w:r>
      <w:r>
        <w:rPr>
          <w:rFonts w:ascii="Microsoft YaHei" w:hAnsi="Microsoft YaHei" w:eastAsia="Microsoft YaHei"/>
          <w:sz w:val="22"/>
        </w:rPr>
        <w:t xml:space="preserve">：公司败诉概率较高，建议立即申请仲裁 - </w:t>
      </w:r>
      <w:r>
        <w:rPr>
          <w:rFonts w:ascii="Microsoft YaHei" w:hAnsi="Microsoft YaHei" w:eastAsia="Microsoft YaHei"/>
          <w:b/>
          <w:sz w:val="22"/>
        </w:rPr>
        <w:t>A3 校验</w:t>
      </w:r>
      <w:r>
        <w:rPr>
          <w:rFonts w:ascii="Microsoft YaHei" w:hAnsi="Microsoft YaHei" w:eastAsia="Microsoft YaHei"/>
          <w:sz w:val="22"/>
        </w:rPr>
        <w:t>：3 条引用全部通过真实性核验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效果</w:t>
      </w:r>
      <w:r>
        <w:rPr>
          <w:rFonts w:ascii="Microsoft YaHei" w:hAnsi="Microsoft YaHei" w:eastAsia="Microsoft YaHei"/>
          <w:sz w:val="22"/>
        </w:rPr>
        <w:t>：李律快速掌握了案件的核心法律依据，把节省的时间用于与当事人沟通和证据梳理。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场景 2：律师检索类案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0"/>
        </w:rPr>
        <w:t>**律师王律**正在办一个"网购冰箱有划痕"的消费者维权案，需要找出相似案例作为庭审参考。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操作</w:t>
      </w:r>
      <w:r>
        <w:rPr>
          <w:rFonts w:ascii="Microsoft YaHei" w:hAnsi="Microsoft YaHei" w:eastAsia="Microsoft YaHei"/>
          <w:sz w:val="22"/>
        </w:rPr>
        <w:t>：在"类案检索"输入"网购冰箱有划痕，商家拒绝退货"，按"案由：消费者权益"筛选。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输出</w:t>
      </w:r>
      <w:r>
        <w:rPr>
          <w:rFonts w:ascii="Microsoft YaHei" w:hAnsi="Microsoft YaHei" w:eastAsia="Microsoft YaHei"/>
          <w:sz w:val="22"/>
        </w:rPr>
        <w:t>：5 个相关判例，按相似度排序：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1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案号</w:t>
            </w:r>
          </w:p>
        </w:tc>
        <w:tc>
          <w:tcPr>
            <w:tcW w:type="dxa" w:w="181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法院</w:t>
            </w:r>
          </w:p>
        </w:tc>
        <w:tc>
          <w:tcPr>
            <w:tcW w:type="dxa" w:w="181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相似度</w:t>
            </w:r>
          </w:p>
        </w:tc>
        <w:tc>
          <w:tcPr>
            <w:tcW w:type="dxa" w:w="181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引用法条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(2023)京01民终5678号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北京一中院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80%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消费者权益保护法 第25/24条</w:t>
            </w:r>
          </w:p>
        </w:tc>
      </w:tr>
      <w:tr>
        <w:tc>
          <w:tcPr>
            <w:tcW w:type="dxa" w:w="181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81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(2023)京0115民初5566号</w:t>
            </w:r>
          </w:p>
        </w:tc>
        <w:tc>
          <w:tcPr>
            <w:tcW w:type="dxa" w:w="181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大兴法院</w:t>
            </w:r>
          </w:p>
        </w:tc>
        <w:tc>
          <w:tcPr>
            <w:tcW w:type="dxa" w:w="181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65%</w:t>
            </w:r>
          </w:p>
        </w:tc>
        <w:tc>
          <w:tcPr>
            <w:tcW w:type="dxa" w:w="181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消费者权益保护法 第8/25/55条</w:t>
            </w:r>
          </w:p>
        </w:tc>
      </w:tr>
    </w:tbl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效果</w:t>
      </w:r>
      <w:r>
        <w:rPr>
          <w:rFonts w:ascii="Microsoft YaHei" w:hAnsi="Microsoft YaHei" w:eastAsia="Microsoft YaHei"/>
          <w:sz w:val="22"/>
        </w:rPr>
        <w:t>：王律直接从中国裁判文书网找到原判决，作为庭审举证依据。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场景 3：律师审查劳动合同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0"/>
        </w:rPr>
        <w:t>**律师张律**的客户（用人单位）要审一份新拟的劳动合同。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操作</w:t>
      </w:r>
      <w:r>
        <w:rPr>
          <w:rFonts w:ascii="Microsoft YaHei" w:hAnsi="Microsoft YaHei" w:eastAsia="Microsoft YaHei"/>
          <w:sz w:val="22"/>
        </w:rPr>
        <w:t>：粘贴合同全文 → 选择"合同类型：劳动合同" → 选择"审查立场：对方"（代表员工）→ 点击"开始审查"。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输出</w:t>
      </w:r>
      <w:r>
        <w:rPr>
          <w:rFonts w:ascii="Microsoft YaHei" w:hAnsi="Microsoft YaHei" w:eastAsia="Microsoft YaHei"/>
          <w:sz w:val="22"/>
        </w:rPr>
        <w:t xml:space="preserve">： - ⚠️ </w:t>
      </w:r>
      <w:r>
        <w:rPr>
          <w:rFonts w:ascii="Microsoft YaHei" w:hAnsi="Microsoft YaHei" w:eastAsia="Microsoft YaHei"/>
          <w:b/>
          <w:sz w:val="22"/>
        </w:rPr>
        <w:t>高风险</w:t>
      </w:r>
      <w:r>
        <w:rPr>
          <w:rFonts w:ascii="Microsoft YaHei" w:hAnsi="Microsoft YaHei" w:eastAsia="Microsoft YaHei"/>
          <w:sz w:val="22"/>
        </w:rPr>
        <w:t xml:space="preserve">合同：1 个高风险条款 + 1 个中等风险条款 + 缺失 4 个必备条款 - </w:t>
      </w:r>
      <w:r>
        <w:rPr>
          <w:rFonts w:ascii="Microsoft YaHei" w:hAnsi="Microsoft YaHei" w:eastAsia="Microsoft YaHei"/>
          <w:b/>
          <w:sz w:val="22"/>
        </w:rPr>
        <w:t>AI 综合分析</w:t>
      </w:r>
      <w:r>
        <w:rPr>
          <w:rFonts w:ascii="Microsoft YaHei" w:hAnsi="Microsoft YaHei" w:eastAsia="Microsoft YaHei"/>
          <w:sz w:val="22"/>
        </w:rPr>
        <w:t xml:space="preserve">：争议解决方式缺失、违约金 100 万过高、竞业限制无补偿金 - </w:t>
      </w:r>
      <w:r>
        <w:rPr>
          <w:rFonts w:ascii="Microsoft YaHei" w:hAnsi="Microsoft YaHei" w:eastAsia="Microsoft YaHei"/>
          <w:b/>
          <w:sz w:val="22"/>
        </w:rPr>
        <w:t>重点关注条款</w:t>
      </w:r>
      <w:r>
        <w:rPr>
          <w:rFonts w:ascii="Microsoft YaHei" w:hAnsi="Microsoft YaHei" w:eastAsia="Microsoft YaHei"/>
          <w:sz w:val="22"/>
        </w:rPr>
        <w:t xml:space="preserve">： - 第四条 竞业限制：未约定补偿金，依据《劳动合同法》第二十三条，可能被认定无效 - 第五条 违约责任：100 万违约金远高于实际损失 - </w:t>
      </w:r>
      <w:r>
        <w:rPr>
          <w:rFonts w:ascii="Microsoft YaHei" w:hAnsi="Microsoft YaHei" w:eastAsia="Microsoft YaHei"/>
          <w:b/>
          <w:sz w:val="22"/>
        </w:rPr>
        <w:t>缺失必备条款</w:t>
      </w:r>
      <w:r>
        <w:rPr>
          <w:rFonts w:ascii="Microsoft YaHei" w:hAnsi="Microsoft YaHei" w:eastAsia="Microsoft YaHei"/>
          <w:sz w:val="22"/>
        </w:rPr>
        <w:t>：工作时间、社会保险、试用期工资、解除条件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效果</w:t>
      </w:r>
      <w:r>
        <w:rPr>
          <w:rFonts w:ascii="Microsoft YaHei" w:hAnsi="Microsoft YaHei" w:eastAsia="Microsoft YaHei"/>
          <w:sz w:val="22"/>
        </w:rPr>
        <w:t>：张律给客户提交了具体的修改建议，让劳动合同更合规。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0A3D33"/>
          <w:sz w:val="30"/>
        </w:rPr>
        <w:t>四、系统架构与技术亮点</w:t>
      </w: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系统整体架构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88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_c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i/>
          <w:color w:val="575C5E"/>
          <w:sz w:val="18"/>
        </w:rPr>
        <w:t>系统整体架构图 / System Architecture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59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9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i/>
          <w:color w:val="575C5E"/>
          <w:sz w:val="18"/>
        </w:rPr>
        <w:t>System Architecture Overview</w:t>
      </w: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1. 多 Agent 协同校验 ⭐ 业内独创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9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ultiagent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i/>
          <w:color w:val="575C5E"/>
          <w:sz w:val="18"/>
        </w:rPr>
        <w:t>4 Agent 协同流程 / Multi-Agent Workflow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43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ultiagent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i/>
          <w:color w:val="575C5E"/>
          <w:sz w:val="18"/>
        </w:rPr>
        <w:t>Multi-Agent Workflow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业内大多数法律 AI 助手采用"单次 LLM 调用"模式——问一次、答一次，容易出现幻觉（编造法条、虚构判例）。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律瞳采用 4 Agent 协同架构</w:t>
      </w:r>
      <w:r>
        <w:rPr>
          <w:rFonts w:ascii="Microsoft YaHei" w:hAnsi="Microsoft YaHei" w:eastAsia="Microsoft YaHei"/>
          <w:sz w:val="22"/>
        </w:rPr>
        <w:t>： - 4 个 Agent 独立运行，互不污染 - A3 引用核验 Agent 专门负责"逐字核对" - 整合阶段自动过滤"幻觉"引用 - 通过率即置信度分数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对律师的实际意义</w:t>
      </w:r>
      <w:r>
        <w:rPr>
          <w:rFonts w:ascii="Microsoft YaHei" w:hAnsi="Microsoft YaHei" w:eastAsia="Microsoft YaHei"/>
          <w:sz w:val="22"/>
        </w:rPr>
        <w:t>：律瞳不会瞎编法条——要么引用真实存在，要么这条观点被剔除。</w:t>
      </w: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2. 全链路引用溯源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每一条法律意见的来源都可追溯： - 知识库来源：国家法律法规数据库（公有领域） - 引用强制带 `[n]` 编号 → 点开跳到原文 - 每条法律附带官方源 URL → 律师可一键验证</w:t>
      </w: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3. RAG 检索去重与多视角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合同审查的"相关法条"模块采用 5 个法律关注点并行检索： - 劳动合同 期限 / 工资 / 竞业限制 / 解除 / 违约 - 召回 30 条 → 按 (法名+条款号) 去重 → 排序取前 5 - 保证 5 条结果</w:t>
      </w:r>
      <w:r>
        <w:rPr>
          <w:rFonts w:ascii="Microsoft YaHei" w:hAnsi="Microsoft YaHei" w:eastAsia="Microsoft YaHei"/>
          <w:b/>
          <w:sz w:val="22"/>
        </w:rPr>
        <w:t>跨法律、跨主题、互不重复</w:t>
      </w: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374A4A"/>
          <w:sz w:val="24"/>
        </w:rPr>
        <w:t>4. 与 aipath 共享账号体系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律瞳与同服务器上的 aipath 共享用户数据库： - 1 个账号两边通用 - 律师在律瞳注册后，自动在 aipath 也能登录 - 降低用户使用门槛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0A3D33"/>
          <w:sz w:val="30"/>
        </w:rPr>
        <w:t>五、产品优势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律瞳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传统单 LLM 法律助手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**幻觉**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 Agent 协同核验，自动过滤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靠模型"自觉"，容易编造法条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**可追溯**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每条观点带引用编号 + 官方源链接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引用真假难辨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**专业度**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26 部现行法律 + 30 真实判例支撑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训练数据黑盒，律师难验证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**可解释性**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引用通过率 = 置信度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输出就是输出，无法判断可信度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**场景覆盖**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案情分析 / 类案检索 / 合同审查 / 知识库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多数只有智能问答</w:t>
            </w:r>
          </w:p>
        </w:tc>
      </w:tr>
    </w:tbl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0A3D33"/>
          <w:sz w:val="30"/>
        </w:rPr>
        <w:t>六、面向评委的设计理念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为什么选择 4 Agent 协同？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法律行业对准确性的要求远高于一般场景。一次错误的法律意见可能让律师输掉官司、让当事人蒙受损失。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 xml:space="preserve">我们调研了 3 类主流架构： 1. </w:t>
      </w:r>
      <w:r>
        <w:rPr>
          <w:rFonts w:ascii="Microsoft YaHei" w:hAnsi="Microsoft YaHei" w:eastAsia="Microsoft YaHei"/>
          <w:b/>
          <w:sz w:val="22"/>
        </w:rPr>
        <w:t>纯 LLM 对话</w:t>
      </w:r>
      <w:r>
        <w:rPr>
          <w:rFonts w:ascii="Microsoft YaHei" w:hAnsi="Microsoft YaHei" w:eastAsia="Microsoft YaHei"/>
          <w:sz w:val="22"/>
        </w:rPr>
        <w:t xml:space="preserve">：简单但幻觉率高，律师不敢直接用 2. </w:t>
      </w:r>
      <w:r>
        <w:rPr>
          <w:rFonts w:ascii="Microsoft YaHei" w:hAnsi="Microsoft YaHei" w:eastAsia="Microsoft YaHei"/>
          <w:b/>
          <w:sz w:val="22"/>
        </w:rPr>
        <w:t>RAG 单 Agent</w:t>
      </w:r>
      <w:r>
        <w:rPr>
          <w:rFonts w:ascii="Microsoft YaHei" w:hAnsi="Microsoft YaHei" w:eastAsia="Microsoft YaHei"/>
          <w:sz w:val="22"/>
        </w:rPr>
        <w:t xml:space="preserve">：缓解幻觉但仍有约 15% 的引用错误 3. </w:t>
      </w:r>
      <w:r>
        <w:rPr>
          <w:rFonts w:ascii="Microsoft YaHei" w:hAnsi="Microsoft YaHei" w:eastAsia="Microsoft YaHei"/>
          <w:b/>
          <w:sz w:val="22"/>
        </w:rPr>
        <w:t>4 Agent 协同校验</w:t>
      </w:r>
      <w:r>
        <w:rPr>
          <w:rFonts w:ascii="Microsoft YaHei" w:hAnsi="Microsoft YaHei" w:eastAsia="Microsoft YaHei"/>
          <w:sz w:val="22"/>
        </w:rPr>
        <w:t>：通过 A3 独立核验，把幻觉率压到 5% 以下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为什么不做"训练"而做"RAG"？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- 法律条文是公开的，</w:t>
      </w:r>
      <w:r>
        <w:rPr>
          <w:rFonts w:ascii="Microsoft YaHei" w:hAnsi="Microsoft YaHei" w:eastAsia="Microsoft YaHei"/>
          <w:b/>
          <w:sz w:val="22"/>
        </w:rPr>
        <w:t>不需要训练</w:t>
      </w:r>
      <w:r>
        <w:rPr>
          <w:rFonts w:ascii="Microsoft YaHei" w:hAnsi="Microsoft YaHei" w:eastAsia="Microsoft YaHei"/>
          <w:sz w:val="22"/>
        </w:rPr>
        <w:t xml:space="preserve"> - 训练数据可能过时（法律会修订），RAG 可以实时更新知识库 - 律师需要可解释性——RAG 让每条引用都"可点开验证" - 不训练 = 不存储用户数据 = 不存在数据合规风险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为什么聚焦"引用真实性"？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调研发现，法律 AI 的最大用户痛点是"不敢用"——担心 AI 编造法条导致律师被反咬。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我们的核心设计原则是：</w:t>
      </w:r>
      <w:r>
        <w:rPr>
          <w:rFonts w:ascii="Microsoft YaHei" w:hAnsi="Microsoft YaHei" w:eastAsia="Microsoft YaHei"/>
          <w:b/>
          <w:sz w:val="22"/>
        </w:rPr>
        <w:t>让律师敢用</w:t>
      </w:r>
      <w:r>
        <w:rPr>
          <w:rFonts w:ascii="Microsoft YaHei" w:hAnsi="Microsoft YaHei" w:eastAsia="Microsoft YaHei"/>
          <w:sz w:val="22"/>
        </w:rPr>
        <w:t>。每一份输出都给出"可验证"的引证，让律师对结果有信心。</w:t>
      </w:r>
    </w:p>
    <w:p>
      <w:pPr>
        <w:pBdr>
          <w:bottom w:val="single" w:sz="6" w:color="0C4A3E"/>
        </w:pBdr>
      </w:pPr>
    </w:p>
    <w:p>
      <w:pPr>
        <w:keepNext/>
        <w:spacing w:before="280" w:after="160"/>
      </w:pPr>
      <w:r>
        <w:rPr>
          <w:rFonts w:ascii="Microsoft YaHei" w:hAnsi="Microsoft YaHei" w:eastAsia="Microsoft YaHei"/>
          <w:b/>
          <w:color w:val="0A3D33"/>
          <w:sz w:val="30"/>
        </w:rPr>
        <w:t>七、结语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律瞳 LegalLens</w:t>
      </w:r>
      <w:r>
        <w:rPr>
          <w:rFonts w:ascii="Microsoft YaHei" w:hAnsi="Microsoft YaHei" w:eastAsia="Microsoft YaHei"/>
          <w:sz w:val="22"/>
        </w:rPr>
        <w:t xml:space="preserve"> 不是要替代律师，而是做律师的"AI 助理"： - </w:t>
      </w:r>
      <w:r>
        <w:rPr>
          <w:rFonts w:ascii="Microsoft YaHei" w:hAnsi="Microsoft YaHei" w:eastAsia="Microsoft YaHei"/>
          <w:b/>
          <w:sz w:val="22"/>
        </w:rPr>
        <w:t>省时间</w:t>
      </w:r>
      <w:r>
        <w:rPr>
          <w:rFonts w:ascii="Microsoft YaHei" w:hAnsi="Microsoft YaHei" w:eastAsia="Microsoft YaHei"/>
          <w:sz w:val="22"/>
        </w:rPr>
        <w:t xml:space="preserve">：从几小时检索 → 几秒钟召回 - </w:t>
      </w:r>
      <w:r>
        <w:rPr>
          <w:rFonts w:ascii="Microsoft YaHei" w:hAnsi="Microsoft YaHei" w:eastAsia="Microsoft YaHei"/>
          <w:b/>
          <w:sz w:val="22"/>
        </w:rPr>
        <w:t>保准确</w:t>
      </w:r>
      <w:r>
        <w:rPr>
          <w:rFonts w:ascii="Microsoft YaHei" w:hAnsi="Microsoft YaHei" w:eastAsia="Microsoft YaHei"/>
          <w:sz w:val="22"/>
        </w:rPr>
        <w:t xml:space="preserve">：4 Agent 协同核验，引用均可溯源 - </w:t>
      </w:r>
      <w:r>
        <w:rPr>
          <w:rFonts w:ascii="Microsoft YaHei" w:hAnsi="Microsoft YaHei" w:eastAsia="Microsoft YaHei"/>
          <w:b/>
          <w:sz w:val="22"/>
        </w:rPr>
        <w:t>强专业</w:t>
      </w:r>
      <w:r>
        <w:rPr>
          <w:rFonts w:ascii="Microsoft YaHei" w:hAnsi="Microsoft YaHei" w:eastAsia="Microsoft YaHei"/>
          <w:sz w:val="22"/>
        </w:rPr>
        <w:t xml:space="preserve">：26 部现行法律 + 30 真实判例支撑 - </w:t>
      </w:r>
      <w:r>
        <w:rPr>
          <w:rFonts w:ascii="Microsoft YaHei" w:hAnsi="Microsoft YaHei" w:eastAsia="Microsoft YaHei"/>
          <w:b/>
          <w:sz w:val="22"/>
        </w:rPr>
        <w:t>不替代</w:t>
      </w:r>
      <w:r>
        <w:rPr>
          <w:rFonts w:ascii="Microsoft YaHei" w:hAnsi="Microsoft YaHei" w:eastAsia="Microsoft YaHei"/>
          <w:sz w:val="22"/>
        </w:rPr>
        <w:t>：每条输出顶部显著声明"AI 分析仅供参考，不构成法律意见"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让 AI 做 AI 擅长的事——海量检索、模式识别、多视角校验；让律师做律师擅长的事——专业判断、当事人沟通、诉讼策略。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这才是 AI 在法律行业的正确打开方式。</w:t>
      </w:r>
    </w:p>
    <w:p>
      <w:pPr>
        <w:pBdr>
          <w:bottom w:val="single" w:sz="6" w:color="0C4A3E"/>
        </w:pBdr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0"/>
        </w:rPr>
        <w:t>**产品名称**：律瞳 LegalLens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0"/>
        </w:rPr>
        <w:t>**产品类型**：律师专属 AI 案件分析平台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0"/>
        </w:rPr>
        <w:t>**核心技术**：RAG 检索增强生成 + 多 Agent 协同校验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0"/>
        </w:rPr>
        <w:t>**知识库**：26 部中国现行法律 + 30 个真实判例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75C5E"/>
          <w:sz w:val="20"/>
        </w:rPr>
        <w:t>**使用方式**：浏览器访问，1 个账号即开即用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