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附录 C · Demo 验证清单</w:t>
      </w:r>
    </w:p>
    <w:p>
      <w:r>
        <w:rPr>
          <w:b/>
        </w:rPr>
        <w:t>金睛 RiskLens · GOAI 2026 Boundless Agents · AI+金融</w:t>
      </w:r>
    </w:p>
    <w:p>
      <w:r>
        <w:t>（来源：GOAI 2026 比赛手册附录 C）</w:t>
      </w:r>
    </w:p>
    <w:p/>
    <w:p>
      <w:pPr>
        <w:pStyle w:val="Heading2"/>
      </w:pPr>
      <w:r>
        <w:t>✅ 可从零开始运行 Demo</w:t>
      </w:r>
    </w:p>
    <w:p>
      <w:pPr>
        <w:pStyle w:val="ListBullet"/>
      </w:pPr>
      <w:r>
        <w:t>环境：Python 3.12 + 系统依赖</w:t>
      </w:r>
    </w:p>
    <w:p>
      <w:pPr>
        <w:pStyle w:val="ListBullet"/>
      </w:pPr>
      <w:r>
        <w:t>依赖：pip install -r backend/requirements.txt (--break-system-packages)</w:t>
      </w:r>
    </w:p>
    <w:p>
      <w:pPr>
        <w:pStyle w:val="ListBullet"/>
      </w:pPr>
      <w:r>
        <w:t>配置：cp .env.example .env，填 LLM_API_KEY</w:t>
      </w:r>
    </w:p>
    <w:p>
      <w:pPr>
        <w:pStyle w:val="ListBullet"/>
      </w:pPr>
      <w:r>
        <w:t>启动：bash start.sh 或 uvicorn 单独启动</w:t>
      </w:r>
    </w:p>
    <w:p>
      <w:pPr>
        <w:pStyle w:val="ListBullet"/>
      </w:pPr>
      <w:r>
        <w:t>首次启动 30s 加载 Embedding 模型（CPU ~ 100MB）</w:t>
      </w:r>
    </w:p>
    <w:p>
      <w:pPr>
        <w:pStyle w:val="ListBullet"/>
      </w:pPr>
      <w:r>
        <w:t>详细步骤：见 DEPLOY.md（10 章部署运维指南）</w:t>
      </w:r>
    </w:p>
    <w:p>
      <w:pPr>
        <w:pStyle w:val="Heading2"/>
      </w:pPr>
      <w:r>
        <w:t>✅ 至少有一个完整任务链路</w:t>
      </w:r>
    </w:p>
    <w:p>
      <w:pPr>
        <w:pStyle w:val="ListBullet"/>
      </w:pPr>
      <w:r>
        <w:t>4 Agent 协同链路：A1 → A2 → A3 → A4 → A5</w:t>
      </w:r>
    </w:p>
    <w:p>
      <w:pPr>
        <w:pStyle w:val="ListBullet"/>
      </w:pPr>
      <w:r>
        <w:t>7 步任务闭环：输入 → 意图 → 规划 → 调用 → 交付 → 验证 → 安全</w:t>
      </w:r>
    </w:p>
    <w:p>
      <w:pPr>
        <w:pStyle w:val="ListBullet"/>
      </w:pPr>
      <w:r>
        <w:t>验收样本 1：网购退货 → A1 提取 2 焦点 → A2 召回消法 §25 → A3 拒绝 §28 → A4 给出建议</w:t>
      </w:r>
    </w:p>
    <w:p>
      <w:pPr>
        <w:pStyle w:val="ListBullet"/>
      </w:pPr>
      <w:r>
        <w:t>验收样本 2：劳动补偿 → A1 提取 2 焦点 → A2 召回劳动合同法 §38+§47 → A4 给出补偿标准</w:t>
      </w:r>
    </w:p>
    <w:p>
      <w:pPr>
        <w:pStyle w:val="ListBullet"/>
      </w:pPr>
      <w:r>
        <w:t>验收样本 3：三焦点混合 → A1 提取 4 焦点 → A2/A3 并行召回 → 4 条引用 + 0.819 置信度</w:t>
      </w:r>
    </w:p>
    <w:p>
      <w:pPr>
        <w:pStyle w:val="ListBullet"/>
      </w:pPr>
      <w:r>
        <w:t>端到端实测：60 秒出报告（含 Embedding 加载）</w:t>
      </w:r>
    </w:p>
    <w:p>
      <w:pPr>
        <w:pStyle w:val="Heading2"/>
      </w:pPr>
      <w:r>
        <w:t>✅ 样例数据与权限说明清楚</w:t>
      </w:r>
    </w:p>
    <w:p>
      <w:pPr>
        <w:pStyle w:val="ListBullet"/>
      </w:pPr>
      <w:r>
        <w:t>41 部核心法规（开源 MIT）：26 部通用 + 15 部金融</w:t>
      </w:r>
    </w:p>
    <w:p>
      <w:pPr>
        <w:pStyle w:val="ListBullet"/>
      </w:pPr>
      <w:r>
        <w:t>60 真实判例：全部来自公开裁判文书网（无敏感信息）</w:t>
      </w:r>
    </w:p>
    <w:p>
      <w:pPr>
        <w:pStyle w:val="ListBullet"/>
      </w:pPr>
      <w:r>
        <w:t>数据脱敏：判例中删除了当事人姓名、身份证号等敏感字段</w:t>
      </w:r>
    </w:p>
    <w:p>
      <w:pPr>
        <w:pStyle w:val="ListBullet"/>
      </w:pPr>
      <w:r>
        <w:t>授权说明：见 compliance/06-数据来源说明.md</w:t>
      </w:r>
    </w:p>
    <w:p>
      <w:pPr>
        <w:pStyle w:val="ListBullet"/>
      </w:pPr>
      <w:r>
        <w:t>用户数据：仅本地 SQLite，无第三方共享</w:t>
      </w:r>
    </w:p>
    <w:p>
      <w:pPr>
        <w:pStyle w:val="ListBullet"/>
      </w:pPr>
      <w:r>
        <w:t>DEMO 演示账号：demo / demo123（无敏感数据）</w:t>
      </w:r>
    </w:p>
    <w:p>
      <w:pPr>
        <w:pStyle w:val="Heading2"/>
      </w:pPr>
      <w:r>
        <w:t>✅ 失败与异常分支可解释</w:t>
      </w:r>
    </w:p>
    <w:p>
      <w:pPr>
        <w:pStyle w:val="ListBullet"/>
      </w:pPr>
      <w:r>
        <w:t>情形 1: 检索无相关法条 → 返回 '未找到相关法条' + 置信度降低</w:t>
      </w:r>
    </w:p>
    <w:p>
      <w:pPr>
        <w:pStyle w:val="ListBullet"/>
      </w:pPr>
      <w:r>
        <w:t>情形 2: 引用幻觉 → A5 引用核验层拒绝（validation_stats.rejected_count）</w:t>
      </w:r>
    </w:p>
    <w:p>
      <w:pPr>
        <w:pStyle w:val="ListBullet"/>
      </w:pPr>
      <w:r>
        <w:t>情形 3: LLM 调用超时 → 自动重试 1 次 + 降级提示</w:t>
      </w:r>
    </w:p>
    <w:p>
      <w:pPr>
        <w:pStyle w:val="ListBullet"/>
      </w:pPr>
      <w:r>
        <w:t>情形 4: 数据库连接失败 → 返回 503 + 错误日志</w:t>
      </w:r>
    </w:p>
    <w:p>
      <w:pPr>
        <w:pStyle w:val="ListBullet"/>
      </w:pPr>
      <w:r>
        <w:t>情形 5: 越权决策（投资/授信/理赔/风控）→ 明确免责声明</w:t>
      </w:r>
    </w:p>
    <w:p>
      <w:pPr>
        <w:pStyle w:val="ListBullet"/>
      </w:pPr>
      <w:r>
        <w:t>详细失败处理：见 backend/app/services/agents.py 的 _handle_a3_validation()</w:t>
      </w:r>
    </w:p>
    <w:p>
      <w:pPr>
        <w:pStyle w:val="Heading2"/>
      </w:pPr>
      <w:r>
        <w:t>✅ 输出结果可追溯</w:t>
      </w:r>
    </w:p>
    <w:p>
      <w:pPr>
        <w:pStyle w:val="ListBullet"/>
      </w:pPr>
      <w:r>
        <w:t>每条引用带：law_name + article_no + source_chunk_id + similarity</w:t>
      </w:r>
    </w:p>
    <w:p>
      <w:pPr>
        <w:pStyle w:val="ListBullet"/>
      </w:pPr>
      <w:r>
        <w:t>元数据保留：官方来源、发布机关、法律状态、施行日期</w:t>
      </w:r>
    </w:p>
    <w:p>
      <w:pPr>
        <w:pStyle w:val="ListBullet"/>
      </w:pPr>
      <w:r>
        <w:t>审计指标：validation_stats（引用核验）+ retrieval_stats（召回统计）</w:t>
      </w:r>
    </w:p>
    <w:p>
      <w:pPr>
        <w:pStyle w:val="ListBullet"/>
      </w:pPr>
      <w:r>
        <w:t>日志记录：/opt/legal-lens/storage/logs/uvicorn.log（按时间戳）</w:t>
      </w:r>
    </w:p>
    <w:p>
      <w:pPr>
        <w:pStyle w:val="ListBullet"/>
      </w:pPr>
      <w:r>
        <w:t>SQLite 案件库：每个分析保存为 case（case_id + analysis_id）</w:t>
      </w:r>
    </w:p>
    <w:p>
      <w:pPr>
        <w:pStyle w:val="ListBullet"/>
      </w:pPr>
      <w:r>
        <w:t>前端展示：每条引用可点击查看原文</w:t>
      </w:r>
    </w:p>
    <w:p>
      <w:pPr>
        <w:pStyle w:val="Heading2"/>
      </w:pPr>
      <w:r>
        <w:t>✅ 路演材料与 Demo 一致</w:t>
      </w:r>
    </w:p>
    <w:p>
      <w:pPr>
        <w:pStyle w:val="ListBullet"/>
      </w:pPr>
      <w:r>
        <w:t>PPT v3 (18 页) → 与实际产品功能一致</w:t>
      </w:r>
    </w:p>
    <w:p>
      <w:pPr>
        <w:pStyle w:val="ListBullet"/>
      </w:pPr>
      <w:r>
        <w:t>作品简介 (500 字) → 与 PPT 核心信息一致</w:t>
      </w:r>
    </w:p>
    <w:p>
      <w:pPr>
        <w:pStyle w:val="ListBullet"/>
      </w:pPr>
      <w:r>
        <w:t>Demo 视频 (2:40) → 录自真实公网部署 (ayiren.cn/legallens)</w:t>
      </w:r>
    </w:p>
    <w:p>
      <w:pPr>
        <w:pStyle w:val="ListBullet"/>
      </w:pPr>
      <w:r>
        <w:t>5 张产品截图 → 当前 v0.2.0 实际界面</w:t>
      </w:r>
    </w:p>
    <w:p>
      <w:pPr>
        <w:pStyle w:val="ListBullet"/>
      </w:pPr>
      <w:r>
        <w:t>Mobile UI 设计稿 → 与产品功能一致</w:t>
      </w:r>
    </w:p>
    <w:p>
      <w:pPr>
        <w:pStyle w:val="ListBullet"/>
      </w:pPr>
      <w:r>
        <w:t>5 张架构图 → 与代码实现一致 (v3 mermaid 源 + 8 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