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9A5D" w14:textId="77777777" w:rsidR="00C96316" w:rsidRPr="005D688F" w:rsidRDefault="00000000">
      <w:pPr>
        <w:pStyle w:val="Ttulo1"/>
        <w:rPr>
          <w:rFonts w:ascii="Arial" w:hAnsi="Arial" w:cs="Arial"/>
          <w:color w:val="000000" w:themeColor="text1"/>
        </w:rPr>
      </w:pPr>
      <w:r w:rsidRPr="005D688F">
        <w:rPr>
          <w:rFonts w:ascii="Arial" w:hAnsi="Arial" w:cs="Arial"/>
          <w:color w:val="000000" w:themeColor="text1"/>
        </w:rPr>
        <w:t>Interpretación del Problema 19 – Cointegración entre TB3M y TB6M</w:t>
      </w:r>
    </w:p>
    <w:p w14:paraId="1285CAFD" w14:textId="77777777" w:rsidR="00C96316" w:rsidRPr="005D688F" w:rsidRDefault="00000000">
      <w:pPr>
        <w:rPr>
          <w:rFonts w:ascii="Arial" w:hAnsi="Arial" w:cs="Arial"/>
          <w:color w:val="000000" w:themeColor="text1"/>
        </w:rPr>
      </w:pPr>
      <w:r w:rsidRPr="005D688F">
        <w:rPr>
          <w:rFonts w:ascii="Arial" w:hAnsi="Arial" w:cs="Arial"/>
          <w:color w:val="000000" w:themeColor="text1"/>
        </w:rPr>
        <w:t>El presente análisis corresponde al Problema 19 del examen final de Econometría, en el que se examinan las tasas de los bonos del Tesoro de tres meses (TB3M) y seis meses (TB6M) para evaluar su estacionariedad, cointegración y la especificación apropiada de un modelo de series de tiempo multivariado. A continuación se desarrolla la interpretación técnica y económica paso a paso, con base en las pruebas realizadas en el archivo HTML del ejercicio.</w:t>
      </w:r>
    </w:p>
    <w:p w14:paraId="31C90049"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a) Gráficas y comportamiento visual</w:t>
      </w:r>
    </w:p>
    <w:p w14:paraId="071CC917" w14:textId="77777777" w:rsidR="00C96316" w:rsidRPr="005D688F" w:rsidRDefault="00000000">
      <w:pPr>
        <w:rPr>
          <w:rFonts w:ascii="Arial" w:hAnsi="Arial" w:cs="Arial"/>
          <w:color w:val="000000" w:themeColor="text1"/>
        </w:rPr>
      </w:pPr>
      <w:r w:rsidRPr="005D688F">
        <w:rPr>
          <w:rFonts w:ascii="Arial" w:hAnsi="Arial" w:cs="Arial"/>
          <w:color w:val="000000" w:themeColor="text1"/>
        </w:rPr>
        <w:t>Las gráficas de ACF y PACF de las series en niveles muestran autocorrelaciones prolongadas, un indicio claro de la presencia de una raíz unitaria y, por tanto, de no estacionariedad. Al aplicar la primera diferencia (ΔTB3M y ΔTB6M), las autocorrelaciones desaparecen rápidamente, lo que indica que las series diferenciadas son estacionarias. Este comportamiento es típico de variables macroeconómicas con tendencia estocástica.</w:t>
      </w:r>
    </w:p>
    <w:p w14:paraId="765B1F4A"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b) Pruebas de raíz unitaria</w:t>
      </w:r>
    </w:p>
    <w:p w14:paraId="20CC52F8" w14:textId="77777777" w:rsidR="00C96316" w:rsidRPr="005D688F" w:rsidRDefault="00000000">
      <w:pPr>
        <w:rPr>
          <w:rFonts w:ascii="Arial" w:hAnsi="Arial" w:cs="Arial"/>
          <w:color w:val="000000" w:themeColor="text1"/>
        </w:rPr>
      </w:pPr>
      <w:r w:rsidRPr="005D688F">
        <w:rPr>
          <w:rFonts w:ascii="Arial" w:hAnsi="Arial" w:cs="Arial"/>
          <w:color w:val="000000" w:themeColor="text1"/>
        </w:rPr>
        <w:t>Se realizaron las pruebas ADF, PP, KPSS y Zivot-Andrews. En niveles, no se rechazó la hipótesis nula de raíz unitaria, confirmando que ambas series TB3M y TB6M son no estacionarias. En cambio, al aplicar la primera diferencia, las pruebas mostraron rechazo de la hipótesis nula, indicando que las series son I(1), es decir, estacionarias en diferencias. Esto implica que los niveles de las tasas comparten una tendencia común, mientras que sus cambios sí son estacionarios.</w:t>
      </w:r>
    </w:p>
    <w:p w14:paraId="5997BBF3"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c) Prueba de cointegración de Johansen</w:t>
      </w:r>
    </w:p>
    <w:p w14:paraId="2D123A89" w14:textId="77777777" w:rsidR="00C96316" w:rsidRPr="005D688F" w:rsidRDefault="00000000">
      <w:pPr>
        <w:rPr>
          <w:rFonts w:ascii="Arial" w:hAnsi="Arial" w:cs="Arial"/>
          <w:color w:val="000000" w:themeColor="text1"/>
        </w:rPr>
      </w:pPr>
      <w:r w:rsidRPr="005D688F">
        <w:rPr>
          <w:rFonts w:ascii="Arial" w:hAnsi="Arial" w:cs="Arial"/>
          <w:color w:val="000000" w:themeColor="text1"/>
        </w:rPr>
        <w:t>La prueba de cointegración de Johansen se utilizó para determinar si existe una relación de equilibrio de largo plazo entre las dos tasas. Los resultados del estadístico de traza y del valor propio máximo indican un rango de cointegración r = 1, lo que significa que existe una combinación lineal estacionaria entre TB3M y TB6M. En otras palabras, ambas tasas comparten una tendencia común a largo plazo, y la diferencia entre ellas es estacionaria. Esto sugiere que los movimientos en una tasa están estrechamente ligados a los movimientos en la otra.</w:t>
      </w:r>
    </w:p>
    <w:p w14:paraId="2F5C6AC5"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d) Significado económico de la cointegración</w:t>
      </w:r>
    </w:p>
    <w:p w14:paraId="0778C89C" w14:textId="77777777" w:rsidR="00C96316" w:rsidRPr="005D688F" w:rsidRDefault="00000000">
      <w:pPr>
        <w:rPr>
          <w:rFonts w:ascii="Arial" w:hAnsi="Arial" w:cs="Arial"/>
          <w:color w:val="000000" w:themeColor="text1"/>
        </w:rPr>
      </w:pPr>
      <w:r w:rsidRPr="005D688F">
        <w:rPr>
          <w:rFonts w:ascii="Arial" w:hAnsi="Arial" w:cs="Arial"/>
          <w:color w:val="000000" w:themeColor="text1"/>
        </w:rPr>
        <w:t>Desde un punto de vista económico, la cointegración entre TB3M y TB6M refleja la coherencia interna de la estructura temporal de tasas de interés. Ambas tasas responden al mismo componente de política monetaria o nivel de tasa base de corto plazo. El hecho de que el spread (TB6M – TB3M) sea estacionario indica que, aunque las tasas puedan moverse de forma independiente en el corto plazo, existe un mecanismo de corrección que las mantiene alineadas en el largo plazo. Si una tasa se desvía demasiado de la otra, las fuerzas de mercado tienden a restablecer el equilibrio.</w:t>
      </w:r>
    </w:p>
    <w:p w14:paraId="3FB4AF43"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lastRenderedPageBreak/>
        <w:t>e) Implicaciones para la modelación (VAR o VECM)</w:t>
      </w:r>
    </w:p>
    <w:p w14:paraId="11B465B9" w14:textId="77777777" w:rsidR="00C96316" w:rsidRPr="005D688F" w:rsidRDefault="00000000">
      <w:pPr>
        <w:rPr>
          <w:rFonts w:ascii="Arial" w:hAnsi="Arial" w:cs="Arial"/>
          <w:color w:val="000000" w:themeColor="text1"/>
        </w:rPr>
      </w:pPr>
      <w:r w:rsidRPr="005D688F">
        <w:rPr>
          <w:rFonts w:ascii="Arial" w:hAnsi="Arial" w:cs="Arial"/>
          <w:color w:val="000000" w:themeColor="text1"/>
        </w:rPr>
        <w:t>Dado que ambas series son I(1) y cointegradas (r = 1), el modelo apropiado es un Vector de Corrección de Error (VECM), el cual captura tanto la dinámica de corto plazo como el ajuste hacia el equilibrio de largo plazo mediante el término de corrección de error. Si no se hubiera encontrado cointegración, la especificación correcta habría sido un VAR en primeras diferencias para evitar relaciones espurias.</w:t>
      </w:r>
    </w:p>
    <w:p w14:paraId="50AF2F84"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f) Conclusiones técnicas y económicas</w:t>
      </w:r>
    </w:p>
    <w:p w14:paraId="6BBEB577" w14:textId="77777777" w:rsidR="00C96316" w:rsidRPr="005D688F" w:rsidRDefault="00000000">
      <w:pPr>
        <w:rPr>
          <w:rFonts w:ascii="Arial" w:hAnsi="Arial" w:cs="Arial"/>
          <w:color w:val="000000" w:themeColor="text1"/>
        </w:rPr>
      </w:pPr>
      <w:r w:rsidRPr="005D688F">
        <w:rPr>
          <w:rFonts w:ascii="Arial" w:hAnsi="Arial" w:cs="Arial"/>
          <w:color w:val="000000" w:themeColor="text1"/>
        </w:rPr>
        <w:t>1. Ambas series (TB3M y TB6M) son no estacionarias en niveles y estacionarias en primeras diferencias, es decir, son I(1).</w:t>
      </w:r>
      <w:r w:rsidRPr="005D688F">
        <w:rPr>
          <w:rFonts w:ascii="Arial" w:hAnsi="Arial" w:cs="Arial"/>
          <w:color w:val="000000" w:themeColor="text1"/>
        </w:rPr>
        <w:br/>
        <w:t>2. Se detecta una relación de cointegración (r = 1) mediante la prueba de Johansen.</w:t>
      </w:r>
      <w:r w:rsidRPr="005D688F">
        <w:rPr>
          <w:rFonts w:ascii="Arial" w:hAnsi="Arial" w:cs="Arial"/>
          <w:color w:val="000000" w:themeColor="text1"/>
        </w:rPr>
        <w:br/>
        <w:t>3. El modelo recomendado es un VECM, ya que las tasas comparten una tendencia común y existe un mecanismo de corrección de largo plazo.</w:t>
      </w:r>
      <w:r w:rsidRPr="005D688F">
        <w:rPr>
          <w:rFonts w:ascii="Arial" w:hAnsi="Arial" w:cs="Arial"/>
          <w:color w:val="000000" w:themeColor="text1"/>
        </w:rPr>
        <w:br/>
        <w:t>4. Económicamente, el spread entre las tasas de 3 y 6 meses es estacionario, lo que implica una estructura temporal de tasas consistente con el principio de expectativas y una política monetaria coherente a lo largo del tiempo.</w:t>
      </w:r>
    </w:p>
    <w:p w14:paraId="0E448042" w14:textId="77777777" w:rsidR="00C96316" w:rsidRPr="005D688F" w:rsidRDefault="00000000">
      <w:pPr>
        <w:pStyle w:val="Ttulo2"/>
        <w:rPr>
          <w:rFonts w:ascii="Arial" w:hAnsi="Arial" w:cs="Arial"/>
          <w:color w:val="000000" w:themeColor="text1"/>
        </w:rPr>
      </w:pPr>
      <w:r w:rsidRPr="005D688F">
        <w:rPr>
          <w:rFonts w:ascii="Arial" w:hAnsi="Arial" w:cs="Arial"/>
          <w:color w:val="000000" w:themeColor="text1"/>
        </w:rPr>
        <w:t>Conclusión general</w:t>
      </w:r>
    </w:p>
    <w:p w14:paraId="74F91859" w14:textId="77777777" w:rsidR="00C96316" w:rsidRPr="005D688F" w:rsidRDefault="00000000">
      <w:pPr>
        <w:rPr>
          <w:rFonts w:ascii="Arial" w:hAnsi="Arial" w:cs="Arial"/>
          <w:color w:val="000000" w:themeColor="text1"/>
        </w:rPr>
      </w:pPr>
      <w:r w:rsidRPr="005D688F">
        <w:rPr>
          <w:rFonts w:ascii="Arial" w:hAnsi="Arial" w:cs="Arial"/>
          <w:color w:val="000000" w:themeColor="text1"/>
        </w:rPr>
        <w:t>En resumen, el análisis demuestra que las tasas de los bonos del Tesoro a tres y seis meses (TB3M y TB6M) siguen una trayectoria común a largo plazo. La evidencia empírica confirma que ambas son I(1) y cointegradas, por lo que el modelo VECM es el más adecuado para describir su relación dinámica. Este resultado es coherente con la teoría económica que sostiene que los rendimientos de corto plazo se ajustan de forma conjunta ante cambios en la política monetaria.</w:t>
      </w:r>
    </w:p>
    <w:sectPr w:rsidR="00C96316" w:rsidRPr="005D68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1765872">
    <w:abstractNumId w:val="8"/>
  </w:num>
  <w:num w:numId="2" w16cid:durableId="1905142869">
    <w:abstractNumId w:val="6"/>
  </w:num>
  <w:num w:numId="3" w16cid:durableId="1700660286">
    <w:abstractNumId w:val="5"/>
  </w:num>
  <w:num w:numId="4" w16cid:durableId="886914669">
    <w:abstractNumId w:val="4"/>
  </w:num>
  <w:num w:numId="5" w16cid:durableId="1816798887">
    <w:abstractNumId w:val="7"/>
  </w:num>
  <w:num w:numId="6" w16cid:durableId="1840465300">
    <w:abstractNumId w:val="3"/>
  </w:num>
  <w:num w:numId="7" w16cid:durableId="1236434364">
    <w:abstractNumId w:val="2"/>
  </w:num>
  <w:num w:numId="8" w16cid:durableId="942763614">
    <w:abstractNumId w:val="1"/>
  </w:num>
  <w:num w:numId="9" w16cid:durableId="152470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673"/>
    <w:rsid w:val="005D688F"/>
    <w:rsid w:val="00AA1D8D"/>
    <w:rsid w:val="00B47730"/>
    <w:rsid w:val="00C963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A38D5"/>
  <w14:defaultImageDpi w14:val="300"/>
  <w15:docId w15:val="{1F8680D1-F463-2A4E-90BC-22827F6E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653</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Flores Mendoza Franco</cp:lastModifiedBy>
  <cp:revision>2</cp:revision>
  <dcterms:created xsi:type="dcterms:W3CDTF">2013-12-23T23:15:00Z</dcterms:created>
  <dcterms:modified xsi:type="dcterms:W3CDTF">2025-11-02T23:34:00Z</dcterms:modified>
  <cp:category/>
</cp:coreProperties>
</file>