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CCD54" w14:textId="309F6BD6" w:rsidR="00750117" w:rsidRPr="0034708D" w:rsidRDefault="00000000">
      <w:pPr>
        <w:pStyle w:val="Ttulo1"/>
        <w:rPr>
          <w:rFonts w:ascii="Arial" w:hAnsi="Arial" w:cs="Arial"/>
          <w:color w:val="000000" w:themeColor="text1"/>
          <w:sz w:val="22"/>
          <w:szCs w:val="22"/>
        </w:rPr>
      </w:pPr>
      <w:r w:rsidRPr="0034708D">
        <w:rPr>
          <w:rFonts w:ascii="Arial" w:hAnsi="Arial" w:cs="Arial"/>
          <w:color w:val="000000" w:themeColor="text1"/>
          <w:sz w:val="22"/>
          <w:szCs w:val="22"/>
        </w:rPr>
        <w:t xml:space="preserve">Interpretación del Problema 18 – ARIMA </w:t>
      </w:r>
      <w:proofErr w:type="spellStart"/>
      <w:r w:rsidRPr="0034708D">
        <w:rPr>
          <w:rFonts w:ascii="Arial" w:hAnsi="Arial" w:cs="Arial"/>
          <w:color w:val="000000" w:themeColor="text1"/>
          <w:sz w:val="22"/>
          <w:szCs w:val="22"/>
        </w:rPr>
        <w:t>sobre</w:t>
      </w:r>
      <w:proofErr w:type="spellEnd"/>
      <w:r w:rsidRPr="0034708D">
        <w:rPr>
          <w:rFonts w:ascii="Arial" w:hAnsi="Arial" w:cs="Arial"/>
          <w:color w:val="000000" w:themeColor="text1"/>
          <w:sz w:val="22"/>
          <w:szCs w:val="22"/>
        </w:rPr>
        <w:t xml:space="preserve"> </w:t>
      </w:r>
      <w:proofErr w:type="gramStart"/>
      <w:r w:rsidRPr="0034708D">
        <w:rPr>
          <w:rFonts w:ascii="Arial" w:hAnsi="Arial" w:cs="Arial"/>
          <w:color w:val="000000" w:themeColor="text1"/>
          <w:sz w:val="22"/>
          <w:szCs w:val="22"/>
        </w:rPr>
        <w:t>log(</w:t>
      </w:r>
      <w:proofErr w:type="gramEnd"/>
      <w:r w:rsidRPr="0034708D">
        <w:rPr>
          <w:rFonts w:ascii="Arial" w:hAnsi="Arial" w:cs="Arial"/>
          <w:color w:val="000000" w:themeColor="text1"/>
          <w:sz w:val="22"/>
          <w:szCs w:val="22"/>
        </w:rPr>
        <w:t>DPI)</w:t>
      </w:r>
    </w:p>
    <w:p w14:paraId="763DD1F9" w14:textId="77777777" w:rsidR="00750117" w:rsidRPr="0034708D" w:rsidRDefault="00000000">
      <w:pPr>
        <w:rPr>
          <w:rFonts w:ascii="Arial" w:hAnsi="Arial" w:cs="Arial"/>
          <w:color w:val="000000" w:themeColor="text1"/>
        </w:rPr>
      </w:pPr>
      <w:r w:rsidRPr="0034708D">
        <w:rPr>
          <w:rFonts w:ascii="Arial" w:hAnsi="Arial" w:cs="Arial"/>
          <w:color w:val="000000" w:themeColor="text1"/>
        </w:rPr>
        <w:t>El análisis corresponde al Problema 18 (pregunta 22.11 del Gujarati), en el cual se solicitó ajustar un modelo ARIMA adecuado para la serie logarítmica del Ingreso Personal Disponible (DPI). A continuación se presenta una interpretación detallada, tanto técnica como económica, siguiendo los pasos del procedimiento aplicado.</w:t>
      </w:r>
    </w:p>
    <w:p w14:paraId="3CAD4215" w14:textId="77777777" w:rsidR="00750117" w:rsidRPr="0034708D" w:rsidRDefault="00000000">
      <w:pPr>
        <w:pStyle w:val="Ttulo2"/>
        <w:rPr>
          <w:rFonts w:ascii="Arial" w:hAnsi="Arial" w:cs="Arial"/>
          <w:color w:val="000000" w:themeColor="text1"/>
          <w:sz w:val="22"/>
          <w:szCs w:val="22"/>
        </w:rPr>
      </w:pPr>
      <w:r w:rsidRPr="0034708D">
        <w:rPr>
          <w:rFonts w:ascii="Arial" w:hAnsi="Arial" w:cs="Arial"/>
          <w:color w:val="000000" w:themeColor="text1"/>
          <w:sz w:val="22"/>
          <w:szCs w:val="22"/>
        </w:rPr>
        <w:t>1. Contexto del dato y objetivo</w:t>
      </w:r>
    </w:p>
    <w:p w14:paraId="5DCCE66F" w14:textId="77777777" w:rsidR="00750117" w:rsidRPr="0034708D" w:rsidRDefault="00000000">
      <w:pPr>
        <w:rPr>
          <w:rFonts w:ascii="Arial" w:hAnsi="Arial" w:cs="Arial"/>
          <w:color w:val="000000" w:themeColor="text1"/>
        </w:rPr>
      </w:pPr>
      <w:r w:rsidRPr="0034708D">
        <w:rPr>
          <w:rFonts w:ascii="Arial" w:hAnsi="Arial" w:cs="Arial"/>
          <w:color w:val="000000" w:themeColor="text1"/>
        </w:rPr>
        <w:t xml:space="preserve">La variable utilizada fue el Ingreso Personal Disponible (DPI) expresado en miles de millones de dólares constantes de 1987, tomado de la Tabla 21.1 del Gujarati. El objetivo fue modelar la evolución temporal de </w:t>
      </w:r>
      <w:proofErr w:type="gramStart"/>
      <w:r w:rsidRPr="0034708D">
        <w:rPr>
          <w:rFonts w:ascii="Arial" w:hAnsi="Arial" w:cs="Arial"/>
          <w:color w:val="000000" w:themeColor="text1"/>
        </w:rPr>
        <w:t>log(</w:t>
      </w:r>
      <w:proofErr w:type="gramEnd"/>
      <w:r w:rsidRPr="0034708D">
        <w:rPr>
          <w:rFonts w:ascii="Arial" w:hAnsi="Arial" w:cs="Arial"/>
          <w:color w:val="000000" w:themeColor="text1"/>
        </w:rPr>
        <w:t>DPI) mediante un modelo ARIMA, capaz de capturar la dinámica de corto plazo y permitir pronósticos confiables.</w:t>
      </w:r>
    </w:p>
    <w:p w14:paraId="18B1231E" w14:textId="77777777" w:rsidR="00750117" w:rsidRPr="0034708D" w:rsidRDefault="00000000">
      <w:pPr>
        <w:pStyle w:val="Ttulo2"/>
        <w:rPr>
          <w:rFonts w:ascii="Arial" w:hAnsi="Arial" w:cs="Arial"/>
          <w:color w:val="000000" w:themeColor="text1"/>
          <w:sz w:val="22"/>
          <w:szCs w:val="22"/>
        </w:rPr>
      </w:pPr>
      <w:r w:rsidRPr="0034708D">
        <w:rPr>
          <w:rFonts w:ascii="Arial" w:hAnsi="Arial" w:cs="Arial"/>
          <w:color w:val="000000" w:themeColor="text1"/>
          <w:sz w:val="22"/>
          <w:szCs w:val="22"/>
        </w:rPr>
        <w:t>2. Transformación a log y diferenciación</w:t>
      </w:r>
    </w:p>
    <w:p w14:paraId="5E9CF3DD" w14:textId="77777777" w:rsidR="00750117" w:rsidRPr="0034708D" w:rsidRDefault="00000000">
      <w:pPr>
        <w:rPr>
          <w:rFonts w:ascii="Arial" w:hAnsi="Arial" w:cs="Arial"/>
          <w:color w:val="000000" w:themeColor="text1"/>
        </w:rPr>
      </w:pPr>
      <w:r w:rsidRPr="0034708D">
        <w:rPr>
          <w:rFonts w:ascii="Arial" w:hAnsi="Arial" w:cs="Arial"/>
          <w:color w:val="000000" w:themeColor="text1"/>
        </w:rPr>
        <w:t xml:space="preserve">Se aplicó la transformación logarítmica a la serie de DPI con el fin de estabilizar la varianza. Posteriormente se calculó la primera diferencia de </w:t>
      </w:r>
      <w:proofErr w:type="gramStart"/>
      <w:r w:rsidRPr="0034708D">
        <w:rPr>
          <w:rFonts w:ascii="Arial" w:hAnsi="Arial" w:cs="Arial"/>
          <w:color w:val="000000" w:themeColor="text1"/>
        </w:rPr>
        <w:t>log(</w:t>
      </w:r>
      <w:proofErr w:type="gramEnd"/>
      <w:r w:rsidRPr="0034708D">
        <w:rPr>
          <w:rFonts w:ascii="Arial" w:hAnsi="Arial" w:cs="Arial"/>
          <w:color w:val="000000" w:themeColor="text1"/>
        </w:rPr>
        <w:t>DPI), equivalente a las tasas de crecimiento aproximadas. Esto se realizó porque la serie original presentaba una tendencia determinista, es decir, era no estacionaria. Al diferenciarla, la serie se vuelve estacionaria, por lo que se fijó d = 1 en la especificación ARIMA.</w:t>
      </w:r>
    </w:p>
    <w:p w14:paraId="46444771" w14:textId="77777777" w:rsidR="00750117" w:rsidRPr="0034708D" w:rsidRDefault="00000000">
      <w:pPr>
        <w:pStyle w:val="Ttulo2"/>
        <w:rPr>
          <w:rFonts w:ascii="Arial" w:hAnsi="Arial" w:cs="Arial"/>
          <w:color w:val="000000" w:themeColor="text1"/>
          <w:sz w:val="22"/>
          <w:szCs w:val="22"/>
        </w:rPr>
      </w:pPr>
      <w:r w:rsidRPr="0034708D">
        <w:rPr>
          <w:rFonts w:ascii="Arial" w:hAnsi="Arial" w:cs="Arial"/>
          <w:color w:val="000000" w:themeColor="text1"/>
          <w:sz w:val="22"/>
          <w:szCs w:val="22"/>
        </w:rPr>
        <w:t>3. Prueba de raíz unitaria (ADF)</w:t>
      </w:r>
    </w:p>
    <w:p w14:paraId="447591F1" w14:textId="77777777" w:rsidR="00750117" w:rsidRPr="0034708D" w:rsidRDefault="00000000">
      <w:pPr>
        <w:rPr>
          <w:rFonts w:ascii="Arial" w:hAnsi="Arial" w:cs="Arial"/>
          <w:color w:val="000000" w:themeColor="text1"/>
        </w:rPr>
      </w:pPr>
      <w:r w:rsidRPr="0034708D">
        <w:rPr>
          <w:rFonts w:ascii="Arial" w:hAnsi="Arial" w:cs="Arial"/>
          <w:color w:val="000000" w:themeColor="text1"/>
        </w:rPr>
        <w:t xml:space="preserve">Se aplicó la prueba de Dickey-Fuller Aumentada (ADF) en niveles y en primera diferencia. En niveles, la prueba no permitió rechazar la hipótesis nula de raíz unitaria, confirmando que </w:t>
      </w:r>
      <w:proofErr w:type="gramStart"/>
      <w:r w:rsidRPr="0034708D">
        <w:rPr>
          <w:rFonts w:ascii="Arial" w:hAnsi="Arial" w:cs="Arial"/>
          <w:color w:val="000000" w:themeColor="text1"/>
        </w:rPr>
        <w:t>log(</w:t>
      </w:r>
      <w:proofErr w:type="gramEnd"/>
      <w:r w:rsidRPr="0034708D">
        <w:rPr>
          <w:rFonts w:ascii="Arial" w:hAnsi="Arial" w:cs="Arial"/>
          <w:color w:val="000000" w:themeColor="text1"/>
        </w:rPr>
        <w:t>DPI) no es estacionaria. Sin embargo, al tomar la primera diferencia, la hipótesis nula se rechazó, indicando que la serie Δ</w:t>
      </w:r>
      <w:proofErr w:type="gramStart"/>
      <w:r w:rsidRPr="0034708D">
        <w:rPr>
          <w:rFonts w:ascii="Arial" w:hAnsi="Arial" w:cs="Arial"/>
          <w:color w:val="000000" w:themeColor="text1"/>
        </w:rPr>
        <w:t>log(</w:t>
      </w:r>
      <w:proofErr w:type="gramEnd"/>
      <w:r w:rsidRPr="0034708D">
        <w:rPr>
          <w:rFonts w:ascii="Arial" w:hAnsi="Arial" w:cs="Arial"/>
          <w:color w:val="000000" w:themeColor="text1"/>
        </w:rPr>
        <w:t xml:space="preserve">DPI) es estacionaria. Esto demuestra que la serie </w:t>
      </w:r>
      <w:proofErr w:type="gramStart"/>
      <w:r w:rsidRPr="0034708D">
        <w:rPr>
          <w:rFonts w:ascii="Arial" w:hAnsi="Arial" w:cs="Arial"/>
          <w:color w:val="000000" w:themeColor="text1"/>
        </w:rPr>
        <w:t>log(</w:t>
      </w:r>
      <w:proofErr w:type="gramEnd"/>
      <w:r w:rsidRPr="0034708D">
        <w:rPr>
          <w:rFonts w:ascii="Arial" w:hAnsi="Arial" w:cs="Arial"/>
          <w:color w:val="000000" w:themeColor="text1"/>
        </w:rPr>
        <w:t xml:space="preserve">DPI) es integrada de orden uno, </w:t>
      </w:r>
      <w:proofErr w:type="gramStart"/>
      <w:r w:rsidRPr="0034708D">
        <w:rPr>
          <w:rFonts w:ascii="Arial" w:hAnsi="Arial" w:cs="Arial"/>
          <w:color w:val="000000" w:themeColor="text1"/>
        </w:rPr>
        <w:t>I(</w:t>
      </w:r>
      <w:proofErr w:type="gramEnd"/>
      <w:r w:rsidRPr="0034708D">
        <w:rPr>
          <w:rFonts w:ascii="Arial" w:hAnsi="Arial" w:cs="Arial"/>
          <w:color w:val="000000" w:themeColor="text1"/>
        </w:rPr>
        <w:t>1).</w:t>
      </w:r>
    </w:p>
    <w:p w14:paraId="6D6CA6DC" w14:textId="77777777" w:rsidR="00750117" w:rsidRPr="0034708D" w:rsidRDefault="00000000">
      <w:pPr>
        <w:pStyle w:val="Ttulo2"/>
        <w:rPr>
          <w:rFonts w:ascii="Arial" w:hAnsi="Arial" w:cs="Arial"/>
          <w:color w:val="000000" w:themeColor="text1"/>
          <w:sz w:val="22"/>
          <w:szCs w:val="22"/>
        </w:rPr>
      </w:pPr>
      <w:r w:rsidRPr="0034708D">
        <w:rPr>
          <w:rFonts w:ascii="Arial" w:hAnsi="Arial" w:cs="Arial"/>
          <w:color w:val="000000" w:themeColor="text1"/>
          <w:sz w:val="22"/>
          <w:szCs w:val="22"/>
        </w:rPr>
        <w:t>4. Identificación del modelo (ACF y PACF)</w:t>
      </w:r>
    </w:p>
    <w:p w14:paraId="7C4A3DBB" w14:textId="77777777" w:rsidR="00750117" w:rsidRPr="0034708D" w:rsidRDefault="00000000">
      <w:pPr>
        <w:rPr>
          <w:rFonts w:ascii="Arial" w:hAnsi="Arial" w:cs="Arial"/>
          <w:color w:val="000000" w:themeColor="text1"/>
        </w:rPr>
      </w:pPr>
      <w:r w:rsidRPr="0034708D">
        <w:rPr>
          <w:rFonts w:ascii="Arial" w:hAnsi="Arial" w:cs="Arial"/>
          <w:color w:val="000000" w:themeColor="text1"/>
        </w:rPr>
        <w:t>A partir de los gráficos de autocorrelación (ACF) y autocorrelación parcial (PACF) de Δ</w:t>
      </w:r>
      <w:proofErr w:type="gramStart"/>
      <w:r w:rsidRPr="0034708D">
        <w:rPr>
          <w:rFonts w:ascii="Arial" w:hAnsi="Arial" w:cs="Arial"/>
          <w:color w:val="000000" w:themeColor="text1"/>
        </w:rPr>
        <w:t>log(</w:t>
      </w:r>
      <w:proofErr w:type="gramEnd"/>
      <w:r w:rsidRPr="0034708D">
        <w:rPr>
          <w:rFonts w:ascii="Arial" w:hAnsi="Arial" w:cs="Arial"/>
          <w:color w:val="000000" w:themeColor="text1"/>
        </w:rPr>
        <w:t xml:space="preserve">DPI), se observó una estructura compatible con un proceso autorregresivo y de media móvil de bajo orden. Con base en ello, se propuso un modelo </w:t>
      </w:r>
      <w:proofErr w:type="gramStart"/>
      <w:r w:rsidRPr="0034708D">
        <w:rPr>
          <w:rFonts w:ascii="Arial" w:hAnsi="Arial" w:cs="Arial"/>
          <w:color w:val="000000" w:themeColor="text1"/>
        </w:rPr>
        <w:t>ARIMA(</w:t>
      </w:r>
      <w:proofErr w:type="gramEnd"/>
      <w:r w:rsidRPr="0034708D">
        <w:rPr>
          <w:rFonts w:ascii="Arial" w:hAnsi="Arial" w:cs="Arial"/>
          <w:color w:val="000000" w:themeColor="text1"/>
        </w:rPr>
        <w:t>1,1,1) como punto de partida razonable.</w:t>
      </w:r>
    </w:p>
    <w:p w14:paraId="472F19DB" w14:textId="77777777" w:rsidR="00750117" w:rsidRPr="0034708D" w:rsidRDefault="00000000">
      <w:pPr>
        <w:pStyle w:val="Ttulo2"/>
        <w:rPr>
          <w:rFonts w:ascii="Arial" w:hAnsi="Arial" w:cs="Arial"/>
          <w:color w:val="000000" w:themeColor="text1"/>
          <w:sz w:val="22"/>
          <w:szCs w:val="22"/>
        </w:rPr>
      </w:pPr>
      <w:r w:rsidRPr="0034708D">
        <w:rPr>
          <w:rFonts w:ascii="Arial" w:hAnsi="Arial" w:cs="Arial"/>
          <w:color w:val="000000" w:themeColor="text1"/>
          <w:sz w:val="22"/>
          <w:szCs w:val="22"/>
        </w:rPr>
        <w:t>5. Estimación del modelo</w:t>
      </w:r>
    </w:p>
    <w:p w14:paraId="74FFC830" w14:textId="77777777" w:rsidR="00750117" w:rsidRPr="0034708D" w:rsidRDefault="00000000">
      <w:pPr>
        <w:rPr>
          <w:rFonts w:ascii="Arial" w:hAnsi="Arial" w:cs="Arial"/>
          <w:color w:val="000000" w:themeColor="text1"/>
        </w:rPr>
      </w:pPr>
      <w:r w:rsidRPr="0034708D">
        <w:rPr>
          <w:rFonts w:ascii="Arial" w:hAnsi="Arial" w:cs="Arial"/>
          <w:color w:val="000000" w:themeColor="text1"/>
        </w:rPr>
        <w:t xml:space="preserve">El modelo </w:t>
      </w:r>
      <w:proofErr w:type="gramStart"/>
      <w:r w:rsidRPr="0034708D">
        <w:rPr>
          <w:rFonts w:ascii="Arial" w:hAnsi="Arial" w:cs="Arial"/>
          <w:color w:val="000000" w:themeColor="text1"/>
        </w:rPr>
        <w:t>ARIMA(</w:t>
      </w:r>
      <w:proofErr w:type="gramEnd"/>
      <w:r w:rsidRPr="0034708D">
        <w:rPr>
          <w:rFonts w:ascii="Arial" w:hAnsi="Arial" w:cs="Arial"/>
          <w:color w:val="000000" w:themeColor="text1"/>
        </w:rPr>
        <w:t xml:space="preserve">1,1,1) fue estimado sobre la serie </w:t>
      </w:r>
      <w:proofErr w:type="gramStart"/>
      <w:r w:rsidRPr="0034708D">
        <w:rPr>
          <w:rFonts w:ascii="Arial" w:hAnsi="Arial" w:cs="Arial"/>
          <w:color w:val="000000" w:themeColor="text1"/>
        </w:rPr>
        <w:t>log(</w:t>
      </w:r>
      <w:proofErr w:type="gramEnd"/>
      <w:r w:rsidRPr="0034708D">
        <w:rPr>
          <w:rFonts w:ascii="Arial" w:hAnsi="Arial" w:cs="Arial"/>
          <w:color w:val="000000" w:themeColor="text1"/>
        </w:rPr>
        <w:t xml:space="preserve">DPI). Los coeficientes </w:t>
      </w:r>
      <w:proofErr w:type="gramStart"/>
      <w:r w:rsidRPr="0034708D">
        <w:rPr>
          <w:rFonts w:ascii="Arial" w:hAnsi="Arial" w:cs="Arial"/>
          <w:color w:val="000000" w:themeColor="text1"/>
        </w:rPr>
        <w:t>AR(</w:t>
      </w:r>
      <w:proofErr w:type="gramEnd"/>
      <w:r w:rsidRPr="0034708D">
        <w:rPr>
          <w:rFonts w:ascii="Arial" w:hAnsi="Arial" w:cs="Arial"/>
          <w:color w:val="000000" w:themeColor="text1"/>
        </w:rPr>
        <w:t xml:space="preserve">1) y </w:t>
      </w:r>
      <w:proofErr w:type="gramStart"/>
      <w:r w:rsidRPr="0034708D">
        <w:rPr>
          <w:rFonts w:ascii="Arial" w:hAnsi="Arial" w:cs="Arial"/>
          <w:color w:val="000000" w:themeColor="text1"/>
        </w:rPr>
        <w:t>MA(</w:t>
      </w:r>
      <w:proofErr w:type="gramEnd"/>
      <w:r w:rsidRPr="0034708D">
        <w:rPr>
          <w:rFonts w:ascii="Arial" w:hAnsi="Arial" w:cs="Arial"/>
          <w:color w:val="000000" w:themeColor="text1"/>
        </w:rPr>
        <w:t>1) resultaron significativos, con signos coherentes y estadísticamente válidos. Además, los valores de los criterios AIC y BIC fueron relativamente bajos, lo cual respalda la selección del modelo por su buen ajuste estadístico.</w:t>
      </w:r>
    </w:p>
    <w:p w14:paraId="13AFCD48" w14:textId="77777777" w:rsidR="00750117" w:rsidRPr="0034708D" w:rsidRDefault="00000000">
      <w:pPr>
        <w:pStyle w:val="Ttulo2"/>
        <w:rPr>
          <w:rFonts w:ascii="Arial" w:hAnsi="Arial" w:cs="Arial"/>
          <w:color w:val="000000" w:themeColor="text1"/>
          <w:sz w:val="22"/>
          <w:szCs w:val="22"/>
        </w:rPr>
      </w:pPr>
      <w:r w:rsidRPr="0034708D">
        <w:rPr>
          <w:rFonts w:ascii="Arial" w:hAnsi="Arial" w:cs="Arial"/>
          <w:color w:val="000000" w:themeColor="text1"/>
          <w:sz w:val="22"/>
          <w:szCs w:val="22"/>
        </w:rPr>
        <w:t>6. Diagnóstico del modelo</w:t>
      </w:r>
    </w:p>
    <w:p w14:paraId="5A62EF96" w14:textId="77777777" w:rsidR="00750117" w:rsidRPr="0034708D" w:rsidRDefault="00000000">
      <w:pPr>
        <w:rPr>
          <w:rFonts w:ascii="Arial" w:hAnsi="Arial" w:cs="Arial"/>
          <w:color w:val="000000" w:themeColor="text1"/>
        </w:rPr>
      </w:pPr>
      <w:r w:rsidRPr="0034708D">
        <w:rPr>
          <w:rFonts w:ascii="Arial" w:hAnsi="Arial" w:cs="Arial"/>
          <w:color w:val="000000" w:themeColor="text1"/>
        </w:rPr>
        <w:t xml:space="preserve">El diagnóstico de los residuales mostró que no existe autocorrelación significativa, por lo que los errores se comportan como ruido blanco. Esto confirma que el modelo </w:t>
      </w:r>
      <w:proofErr w:type="gramStart"/>
      <w:r w:rsidRPr="0034708D">
        <w:rPr>
          <w:rFonts w:ascii="Arial" w:hAnsi="Arial" w:cs="Arial"/>
          <w:color w:val="000000" w:themeColor="text1"/>
        </w:rPr>
        <w:t>ARIMA(</w:t>
      </w:r>
      <w:proofErr w:type="gramEnd"/>
      <w:r w:rsidRPr="0034708D">
        <w:rPr>
          <w:rFonts w:ascii="Arial" w:hAnsi="Arial" w:cs="Arial"/>
          <w:color w:val="000000" w:themeColor="text1"/>
        </w:rPr>
        <w:t>1,1,1) capta adecuadamente la estructura temporal de la serie. En caso contrario, habría sido necesario ajustar los valores de p o q hasta eliminar la autocorrelación residual.</w:t>
      </w:r>
    </w:p>
    <w:p w14:paraId="208E42AF" w14:textId="77777777" w:rsidR="00750117" w:rsidRPr="0034708D" w:rsidRDefault="00000000">
      <w:pPr>
        <w:pStyle w:val="Ttulo2"/>
        <w:rPr>
          <w:rFonts w:ascii="Arial" w:hAnsi="Arial" w:cs="Arial"/>
          <w:color w:val="000000" w:themeColor="text1"/>
          <w:sz w:val="22"/>
          <w:szCs w:val="22"/>
        </w:rPr>
      </w:pPr>
      <w:r w:rsidRPr="0034708D">
        <w:rPr>
          <w:rFonts w:ascii="Arial" w:hAnsi="Arial" w:cs="Arial"/>
          <w:color w:val="000000" w:themeColor="text1"/>
          <w:sz w:val="22"/>
          <w:szCs w:val="22"/>
        </w:rPr>
        <w:lastRenderedPageBreak/>
        <w:t>7. Interpretación económica</w:t>
      </w:r>
    </w:p>
    <w:p w14:paraId="0CA0EA5A" w14:textId="77777777" w:rsidR="00750117" w:rsidRPr="0034708D" w:rsidRDefault="00000000">
      <w:pPr>
        <w:rPr>
          <w:rFonts w:ascii="Arial" w:hAnsi="Arial" w:cs="Arial"/>
          <w:color w:val="000000" w:themeColor="text1"/>
        </w:rPr>
      </w:pPr>
      <w:r w:rsidRPr="0034708D">
        <w:rPr>
          <w:rFonts w:ascii="Arial" w:hAnsi="Arial" w:cs="Arial"/>
          <w:color w:val="000000" w:themeColor="text1"/>
        </w:rPr>
        <w:t>El análisis indica que el Ingreso Personal Disponible, en términos logarítmicos, presenta una tendencia creciente de largo plazo. La primera diferencia, Δ</w:t>
      </w:r>
      <w:proofErr w:type="gramStart"/>
      <w:r w:rsidRPr="0034708D">
        <w:rPr>
          <w:rFonts w:ascii="Arial" w:hAnsi="Arial" w:cs="Arial"/>
          <w:color w:val="000000" w:themeColor="text1"/>
        </w:rPr>
        <w:t>log(</w:t>
      </w:r>
      <w:proofErr w:type="gramEnd"/>
      <w:r w:rsidRPr="0034708D">
        <w:rPr>
          <w:rFonts w:ascii="Arial" w:hAnsi="Arial" w:cs="Arial"/>
          <w:color w:val="000000" w:themeColor="text1"/>
        </w:rPr>
        <w:t>DPI), representa el crecimiento del ingreso, el cual muestra una ligera persistencia de corto plazo (efecto AR) y una corrección rápida ante shocks transitorios (efecto MA). En términos macroeconómicos, esto sugiere un patrón estable donde el ingreso se ajusta gradualmente ante perturbaciones, reflejando una economía con capacidad de recuperación y comportamiento predecible.</w:t>
      </w:r>
    </w:p>
    <w:p w14:paraId="144B29B5" w14:textId="77777777" w:rsidR="00750117" w:rsidRPr="0034708D" w:rsidRDefault="00000000">
      <w:pPr>
        <w:pStyle w:val="Ttulo2"/>
        <w:rPr>
          <w:rFonts w:ascii="Arial" w:hAnsi="Arial" w:cs="Arial"/>
          <w:color w:val="000000" w:themeColor="text1"/>
          <w:sz w:val="22"/>
          <w:szCs w:val="22"/>
        </w:rPr>
      </w:pPr>
      <w:r w:rsidRPr="0034708D">
        <w:rPr>
          <w:rFonts w:ascii="Arial" w:hAnsi="Arial" w:cs="Arial"/>
          <w:color w:val="000000" w:themeColor="text1"/>
          <w:sz w:val="22"/>
          <w:szCs w:val="22"/>
        </w:rPr>
        <w:t>8. Conclusión general</w:t>
      </w:r>
    </w:p>
    <w:p w14:paraId="228BC246" w14:textId="77777777" w:rsidR="00750117" w:rsidRPr="0034708D" w:rsidRDefault="00000000">
      <w:pPr>
        <w:rPr>
          <w:rFonts w:ascii="Arial" w:hAnsi="Arial" w:cs="Arial"/>
          <w:color w:val="000000" w:themeColor="text1"/>
        </w:rPr>
      </w:pPr>
      <w:r w:rsidRPr="0034708D">
        <w:rPr>
          <w:rFonts w:ascii="Arial" w:hAnsi="Arial" w:cs="Arial"/>
          <w:color w:val="000000" w:themeColor="text1"/>
        </w:rPr>
        <w:t xml:space="preserve">En conclusión, la serie </w:t>
      </w:r>
      <w:proofErr w:type="gramStart"/>
      <w:r w:rsidRPr="0034708D">
        <w:rPr>
          <w:rFonts w:ascii="Arial" w:hAnsi="Arial" w:cs="Arial"/>
          <w:color w:val="000000" w:themeColor="text1"/>
        </w:rPr>
        <w:t>log(</w:t>
      </w:r>
      <w:proofErr w:type="gramEnd"/>
      <w:r w:rsidRPr="0034708D">
        <w:rPr>
          <w:rFonts w:ascii="Arial" w:hAnsi="Arial" w:cs="Arial"/>
          <w:color w:val="000000" w:themeColor="text1"/>
        </w:rPr>
        <w:t xml:space="preserve">DPI) es no estacionaria en niveles pero estacionaria en primera diferencia. El modelo </w:t>
      </w:r>
      <w:proofErr w:type="gramStart"/>
      <w:r w:rsidRPr="0034708D">
        <w:rPr>
          <w:rFonts w:ascii="Arial" w:hAnsi="Arial" w:cs="Arial"/>
          <w:color w:val="000000" w:themeColor="text1"/>
        </w:rPr>
        <w:t>ARIMA(</w:t>
      </w:r>
      <w:proofErr w:type="gramEnd"/>
      <w:r w:rsidRPr="0034708D">
        <w:rPr>
          <w:rFonts w:ascii="Arial" w:hAnsi="Arial" w:cs="Arial"/>
          <w:color w:val="000000" w:themeColor="text1"/>
        </w:rPr>
        <w:t xml:space="preserve">1,1,1) describe correctamente la dinámica del crecimiento del ingreso personal disponible, mostrando residuales sin autocorrelación y un ajuste estadístico consistente. Económicamente, el modelo refleja una economía que mantiene un crecimiento sostenido del ingreso con respuestas moderadas frente a </w:t>
      </w:r>
      <w:proofErr w:type="gramStart"/>
      <w:r w:rsidRPr="0034708D">
        <w:rPr>
          <w:rFonts w:ascii="Arial" w:hAnsi="Arial" w:cs="Arial"/>
          <w:color w:val="000000" w:themeColor="text1"/>
        </w:rPr>
        <w:t>shocks</w:t>
      </w:r>
      <w:proofErr w:type="gramEnd"/>
      <w:r w:rsidRPr="0034708D">
        <w:rPr>
          <w:rFonts w:ascii="Arial" w:hAnsi="Arial" w:cs="Arial"/>
          <w:color w:val="000000" w:themeColor="text1"/>
        </w:rPr>
        <w:t xml:space="preserve"> de corto plazo.</w:t>
      </w:r>
    </w:p>
    <w:sectPr w:rsidR="00750117" w:rsidRPr="0034708D"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92BE1" w14:textId="77777777" w:rsidR="00A303A8" w:rsidRDefault="00A303A8" w:rsidP="0034708D">
      <w:pPr>
        <w:spacing w:after="0" w:line="240" w:lineRule="auto"/>
      </w:pPr>
      <w:r>
        <w:separator/>
      </w:r>
    </w:p>
  </w:endnote>
  <w:endnote w:type="continuationSeparator" w:id="0">
    <w:p w14:paraId="506DA166" w14:textId="77777777" w:rsidR="00A303A8" w:rsidRDefault="00A303A8" w:rsidP="00347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2FEC2" w14:textId="77777777" w:rsidR="00A303A8" w:rsidRDefault="00A303A8" w:rsidP="0034708D">
      <w:pPr>
        <w:spacing w:after="0" w:line="240" w:lineRule="auto"/>
      </w:pPr>
      <w:r>
        <w:separator/>
      </w:r>
    </w:p>
  </w:footnote>
  <w:footnote w:type="continuationSeparator" w:id="0">
    <w:p w14:paraId="0372EF91" w14:textId="77777777" w:rsidR="00A303A8" w:rsidRDefault="00A303A8" w:rsidP="003470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7B525" w14:textId="61F19795" w:rsidR="0034708D" w:rsidRDefault="0034708D">
    <w:pPr>
      <w:pStyle w:val="Encabezado"/>
    </w:pPr>
    <w:r>
      <w:t xml:space="preserve">Franco Flores </w:t>
    </w:r>
    <w:r>
      <w:tab/>
    </w:r>
    <w:r>
      <w:tab/>
      <w:t>A01452016</w:t>
    </w:r>
  </w:p>
  <w:p w14:paraId="59B70A7F" w14:textId="77777777" w:rsidR="0034708D" w:rsidRDefault="003470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45729709">
    <w:abstractNumId w:val="8"/>
  </w:num>
  <w:num w:numId="2" w16cid:durableId="1192112908">
    <w:abstractNumId w:val="6"/>
  </w:num>
  <w:num w:numId="3" w16cid:durableId="610237474">
    <w:abstractNumId w:val="5"/>
  </w:num>
  <w:num w:numId="4" w16cid:durableId="1687058610">
    <w:abstractNumId w:val="4"/>
  </w:num>
  <w:num w:numId="5" w16cid:durableId="1345327189">
    <w:abstractNumId w:val="7"/>
  </w:num>
  <w:num w:numId="6" w16cid:durableId="1968971517">
    <w:abstractNumId w:val="3"/>
  </w:num>
  <w:num w:numId="7" w16cid:durableId="1266841359">
    <w:abstractNumId w:val="2"/>
  </w:num>
  <w:num w:numId="8" w16cid:durableId="1004939238">
    <w:abstractNumId w:val="1"/>
  </w:num>
  <w:num w:numId="9" w16cid:durableId="806120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08D"/>
    <w:rsid w:val="00576673"/>
    <w:rsid w:val="00750117"/>
    <w:rsid w:val="00A303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62F50"/>
  <w14:defaultImageDpi w14:val="300"/>
  <w15:docId w15:val="{1F8680D1-F463-2A4E-90BC-22827F6E2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Flores Mendoza Franco</cp:lastModifiedBy>
  <cp:revision>2</cp:revision>
  <dcterms:created xsi:type="dcterms:W3CDTF">2013-12-23T23:15:00Z</dcterms:created>
  <dcterms:modified xsi:type="dcterms:W3CDTF">2025-11-02T23:01:00Z</dcterms:modified>
  <cp:category/>
</cp:coreProperties>
</file>